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6F394117" w:rsidR="001C5FFF" w:rsidRPr="00C11ED7" w:rsidRDefault="1796BD29">
      <w:pPr>
        <w:rPr>
          <w:rFonts w:ascii="Montserrat" w:hAnsi="Montserrat"/>
          <w:b/>
          <w:bCs/>
          <w:color w:val="0088C5"/>
          <w:sz w:val="28"/>
          <w:szCs w:val="28"/>
        </w:rPr>
      </w:pPr>
      <w:r w:rsidRPr="43AA8796">
        <w:rPr>
          <w:rFonts w:ascii="Montserrat" w:hAnsi="Montserrat"/>
          <w:b/>
          <w:bCs/>
          <w:color w:val="0088C5"/>
          <w:sz w:val="28"/>
          <w:szCs w:val="28"/>
        </w:rPr>
        <w:t>Incorporating climate scenario analysis into public transport emissions modelling</w:t>
      </w:r>
      <w:r w:rsidR="0002158C">
        <w:rPr>
          <w:rFonts w:ascii="Montserrat" w:hAnsi="Montserrat"/>
          <w:b/>
          <w:bCs/>
          <w:color w:val="0088C5"/>
          <w:sz w:val="28"/>
          <w:szCs w:val="28"/>
        </w:rPr>
        <w:t xml:space="preserve"> </w:t>
      </w:r>
    </w:p>
    <w:p w14:paraId="008DC27C" w14:textId="55F26FF5" w:rsidR="3E0250E9" w:rsidRDefault="00AC3B3C" w:rsidP="43AA8796">
      <w:pPr>
        <w:rPr>
          <w:rFonts w:ascii="Montserrat" w:hAnsi="Montserrat"/>
        </w:rPr>
      </w:pPr>
      <w:r w:rsidRPr="00AC3B3C">
        <w:rPr>
          <w:rFonts w:ascii="Montserrat" w:hAnsi="Montserrat"/>
        </w:rPr>
        <w:t>Emissions from public transport</w:t>
      </w:r>
      <w:r w:rsidR="00031907">
        <w:rPr>
          <w:rFonts w:ascii="Montserrat" w:hAnsi="Montserrat"/>
        </w:rPr>
        <w:t xml:space="preserve"> (PT)</w:t>
      </w:r>
      <w:r w:rsidRPr="00AC3B3C">
        <w:rPr>
          <w:rFonts w:ascii="Montserrat" w:hAnsi="Montserrat"/>
        </w:rPr>
        <w:t xml:space="preserve"> services are the second largest source of emissions for </w:t>
      </w:r>
      <w:r w:rsidR="00031907">
        <w:rPr>
          <w:rFonts w:ascii="Montserrat" w:hAnsi="Montserrat"/>
        </w:rPr>
        <w:t>Auckland Transport (</w:t>
      </w:r>
      <w:r w:rsidRPr="00AC3B3C">
        <w:rPr>
          <w:rFonts w:ascii="Montserrat" w:hAnsi="Montserrat"/>
        </w:rPr>
        <w:t>AT</w:t>
      </w:r>
      <w:r w:rsidR="00031907">
        <w:rPr>
          <w:rFonts w:ascii="Montserrat" w:hAnsi="Montserrat"/>
        </w:rPr>
        <w:t>)</w:t>
      </w:r>
      <w:r w:rsidRPr="00AC3B3C">
        <w:rPr>
          <w:rFonts w:ascii="Montserrat" w:hAnsi="Montserrat"/>
        </w:rPr>
        <w:t xml:space="preserve"> </w:t>
      </w:r>
      <w:r w:rsidRPr="00272401">
        <w:rPr>
          <w:rFonts w:ascii="Montserrat" w:hAnsi="Montserrat"/>
        </w:rPr>
        <w:t>(</w:t>
      </w:r>
      <w:r w:rsidR="00812829" w:rsidRPr="00272401">
        <w:rPr>
          <w:rFonts w:ascii="Montserrat" w:hAnsi="Montserrat"/>
        </w:rPr>
        <w:t>37</w:t>
      </w:r>
      <w:r w:rsidRPr="00272401">
        <w:rPr>
          <w:rFonts w:ascii="Montserrat" w:hAnsi="Montserrat"/>
        </w:rPr>
        <w:t>%</w:t>
      </w:r>
      <w:r w:rsidRPr="00AC3B3C">
        <w:rPr>
          <w:rFonts w:ascii="Montserrat" w:hAnsi="Montserrat"/>
        </w:rPr>
        <w:t xml:space="preserve"> of our emissions inventory for the year </w:t>
      </w:r>
      <w:r w:rsidRPr="00272401">
        <w:rPr>
          <w:rFonts w:ascii="Montserrat" w:hAnsi="Montserrat"/>
        </w:rPr>
        <w:t>20</w:t>
      </w:r>
      <w:r w:rsidR="00812829" w:rsidRPr="00272401">
        <w:rPr>
          <w:rFonts w:ascii="Montserrat" w:hAnsi="Montserrat"/>
        </w:rPr>
        <w:t>24</w:t>
      </w:r>
      <w:r w:rsidRPr="00272401">
        <w:rPr>
          <w:rFonts w:ascii="Montserrat" w:hAnsi="Montserrat"/>
        </w:rPr>
        <w:t>/2</w:t>
      </w:r>
      <w:r w:rsidR="00812829" w:rsidRPr="00272401">
        <w:rPr>
          <w:rFonts w:ascii="Montserrat" w:hAnsi="Montserrat"/>
        </w:rPr>
        <w:t>5</w:t>
      </w:r>
      <w:r w:rsidRPr="00AC3B3C">
        <w:rPr>
          <w:rFonts w:ascii="Montserrat" w:hAnsi="Montserrat"/>
        </w:rPr>
        <w:t xml:space="preserve">) and have been a focus area for emissions reduction activities for the past decade. </w:t>
      </w:r>
      <w:r w:rsidR="3E0250E9" w:rsidRPr="43AA8796">
        <w:rPr>
          <w:rFonts w:ascii="Montserrat" w:hAnsi="Montserrat"/>
        </w:rPr>
        <w:t>The speed of AT’s transition to low-emission PT fleets greatly affects AT’s emissions reduction efforts and can offset emissions from service growth.</w:t>
      </w:r>
    </w:p>
    <w:p w14:paraId="5C486B4A" w14:textId="561E1DE6" w:rsidR="0046420A" w:rsidRPr="0046420A" w:rsidRDefault="0046420A" w:rsidP="0046420A">
      <w:pPr>
        <w:rPr>
          <w:rFonts w:ascii="Montserrat" w:hAnsi="Montserrat"/>
        </w:rPr>
      </w:pPr>
      <w:r w:rsidRPr="0046420A">
        <w:rPr>
          <w:rFonts w:ascii="Montserrat" w:hAnsi="Montserrat"/>
        </w:rPr>
        <w:t>Rail services are already fully-electrified, and Auckland’s Low Emission Bus Roadmap sets out a plan for the transition to a fully electric bus fleet by 2035. As at May 2025, the AT bus fleet sits at 19% electric, making AT an Australasian leader for its electric bus fleet.</w:t>
      </w:r>
    </w:p>
    <w:p w14:paraId="670B2032" w14:textId="32EA8019" w:rsidR="0046420A" w:rsidRDefault="0046420A" w:rsidP="0046420A">
      <w:pPr>
        <w:rPr>
          <w:rFonts w:ascii="Montserrat" w:hAnsi="Montserrat"/>
        </w:rPr>
      </w:pPr>
      <w:r w:rsidRPr="0046420A">
        <w:rPr>
          <w:rFonts w:ascii="Montserrat" w:hAnsi="Montserrat"/>
        </w:rPr>
        <w:t xml:space="preserve">Two hybrid and two electric ferries are in </w:t>
      </w:r>
      <w:r w:rsidR="00402F3C">
        <w:rPr>
          <w:rFonts w:ascii="Montserrat" w:hAnsi="Montserrat"/>
        </w:rPr>
        <w:t>testing</w:t>
      </w:r>
      <w:r w:rsidRPr="0046420A">
        <w:rPr>
          <w:rFonts w:ascii="Montserrat" w:hAnsi="Montserrat"/>
        </w:rPr>
        <w:t xml:space="preserve"> and are expected to be in operation in late 2025. The ferry fleet has the greatest potential for emissions reduction, with emissions from this service expected to comprise around 50% of ATs operational emissions by 2050 as bus emissions decline due to decarbonisation.</w:t>
      </w:r>
    </w:p>
    <w:p w14:paraId="6A8BFB5C" w14:textId="67A86229" w:rsidR="3E0250E9" w:rsidRDefault="3E0250E9" w:rsidP="43AA8796">
      <w:pPr>
        <w:rPr>
          <w:rFonts w:ascii="Montserrat" w:hAnsi="Montserrat"/>
        </w:rPr>
      </w:pPr>
      <w:r w:rsidRPr="43AA8796">
        <w:rPr>
          <w:rFonts w:ascii="Montserrat" w:hAnsi="Montserrat"/>
        </w:rPr>
        <w:t xml:space="preserve">AT has developed and modelled three plausible climate scenarios (Orderly, Disorderly, Hot House World) to test the resilience of its transition pathways and identify emissions risks and opportunities. </w:t>
      </w:r>
    </w:p>
    <w:p w14:paraId="7F9FF53F" w14:textId="43617A9C" w:rsidR="3E0250E9" w:rsidRDefault="3E0250E9" w:rsidP="43AA8796">
      <w:pPr>
        <w:rPr>
          <w:noProof/>
        </w:rPr>
      </w:pPr>
      <w:r w:rsidRPr="43AA8796">
        <w:rPr>
          <w:rFonts w:ascii="Montserrat" w:hAnsi="Montserrat"/>
        </w:rPr>
        <w:t xml:space="preserve">Our scenario modelling to 2050 compares </w:t>
      </w:r>
      <w:r w:rsidR="006D43BF">
        <w:rPr>
          <w:rFonts w:ascii="Montserrat" w:hAnsi="Montserrat"/>
        </w:rPr>
        <w:t xml:space="preserve">PT </w:t>
      </w:r>
      <w:r w:rsidRPr="43AA8796">
        <w:rPr>
          <w:rFonts w:ascii="Montserrat" w:hAnsi="Montserrat"/>
        </w:rPr>
        <w:t xml:space="preserve">emissions outcomes under current funding settings versus enhanced policy and funding scenarios. The analysis shows there are clear emission advantages with greater investment. </w:t>
      </w:r>
    </w:p>
    <w:p w14:paraId="1E0384F4" w14:textId="77777777" w:rsidR="00191146" w:rsidRDefault="0046420A" w:rsidP="0046420A">
      <w:pPr>
        <w:rPr>
          <w:rFonts w:ascii="Montserrat" w:hAnsi="Montserrat"/>
        </w:rPr>
      </w:pPr>
      <w:r w:rsidRPr="0046420A">
        <w:rPr>
          <w:rFonts w:ascii="Montserrat" w:hAnsi="Montserrat"/>
        </w:rPr>
        <w:t>Delivery of electric buses and further ferry decarbonisation are dependent on sufficient funding. While funding for bus electrification at the current pace is supported by Auckland Council, the ferry fleet has yet to secure funding for further decarbonisation. With long ferry lifespans, delays in funding in the short-term will result in long-term ‘locking-in’ of emissions for AT</w:t>
      </w:r>
      <w:r w:rsidR="00A12F57">
        <w:rPr>
          <w:rFonts w:ascii="Montserrat" w:hAnsi="Montserrat"/>
        </w:rPr>
        <w:t>.</w:t>
      </w:r>
    </w:p>
    <w:p w14:paraId="7353B0E7" w14:textId="77777777" w:rsidR="00191146" w:rsidRDefault="00253522" w:rsidP="0046420A">
      <w:pPr>
        <w:rPr>
          <w:rFonts w:ascii="Montserrat" w:hAnsi="Montserrat"/>
        </w:rPr>
      </w:pPr>
      <w:r>
        <w:rPr>
          <w:rFonts w:ascii="Montserrat" w:hAnsi="Montserrat"/>
        </w:rPr>
        <w:t xml:space="preserve">Our paper discusses how scenario analysis was incorporated into modelling to provide long-term </w:t>
      </w:r>
      <w:r w:rsidR="00B22F44">
        <w:rPr>
          <w:rFonts w:ascii="Montserrat" w:hAnsi="Montserrat"/>
        </w:rPr>
        <w:t>climate risk information for decision-makers.</w:t>
      </w:r>
      <w:r>
        <w:rPr>
          <w:rFonts w:ascii="Montserrat" w:hAnsi="Montserrat"/>
        </w:rPr>
        <w:t xml:space="preserve"> </w:t>
      </w:r>
    </w:p>
    <w:p w14:paraId="3D51CAE4" w14:textId="670FDFD0" w:rsidR="00381A4A" w:rsidRPr="00381A4A" w:rsidRDefault="00381A4A" w:rsidP="00381A4A">
      <w:pPr>
        <w:spacing w:after="0" w:line="240" w:lineRule="auto"/>
        <w:rPr>
          <w:rFonts w:ascii="Times New Roman" w:eastAsia="Times New Roman" w:hAnsi="Times New Roman" w:cs="Times New Roman"/>
          <w:kern w:val="0"/>
          <w:sz w:val="24"/>
          <w:szCs w:val="24"/>
          <w:lang w:eastAsia="en-NZ"/>
          <w14:ligatures w14:val="none"/>
        </w:rPr>
      </w:pPr>
    </w:p>
    <w:p w14:paraId="150E543C" w14:textId="76B19B52" w:rsidR="00A12F57" w:rsidRPr="0046420A" w:rsidRDefault="00320ADD" w:rsidP="0046420A">
      <w:pPr>
        <w:rPr>
          <w:rFonts w:ascii="Montserrat" w:hAnsi="Montserrat"/>
        </w:rPr>
      </w:pPr>
      <w:r w:rsidRPr="00320ADD">
        <w:rPr>
          <w:rFonts w:ascii="Montserrat" w:hAnsi="Montserrat"/>
          <w:noProof/>
        </w:rPr>
        <w:drawing>
          <wp:inline distT="0" distB="0" distL="0" distR="0" wp14:anchorId="16A08789" wp14:editId="16383978">
            <wp:extent cx="5731510" cy="1518920"/>
            <wp:effectExtent l="0" t="0" r="2540" b="5080"/>
            <wp:docPr id="1674093295"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93295" name="Picture 1" descr="A close-up of a graph&#10;&#10;AI-generated content may be incorrect."/>
                    <pic:cNvPicPr/>
                  </pic:nvPicPr>
                  <pic:blipFill>
                    <a:blip r:embed="rId6"/>
                    <a:stretch>
                      <a:fillRect/>
                    </a:stretch>
                  </pic:blipFill>
                  <pic:spPr>
                    <a:xfrm>
                      <a:off x="0" y="0"/>
                      <a:ext cx="5731510" cy="1518920"/>
                    </a:xfrm>
                    <a:prstGeom prst="rect">
                      <a:avLst/>
                    </a:prstGeom>
                  </pic:spPr>
                </pic:pic>
              </a:graphicData>
            </a:graphic>
          </wp:inline>
        </w:drawing>
      </w:r>
    </w:p>
    <w:sectPr w:rsidR="00A12F57" w:rsidRPr="0046420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2158C"/>
    <w:rsid w:val="00031907"/>
    <w:rsid w:val="00110000"/>
    <w:rsid w:val="00114D8F"/>
    <w:rsid w:val="00191146"/>
    <w:rsid w:val="001C5FFF"/>
    <w:rsid w:val="00253522"/>
    <w:rsid w:val="00255C5E"/>
    <w:rsid w:val="00272401"/>
    <w:rsid w:val="00275298"/>
    <w:rsid w:val="002F44CC"/>
    <w:rsid w:val="00320ADD"/>
    <w:rsid w:val="00381A4A"/>
    <w:rsid w:val="00402F3C"/>
    <w:rsid w:val="0046420A"/>
    <w:rsid w:val="00483E07"/>
    <w:rsid w:val="004E2F08"/>
    <w:rsid w:val="0053583D"/>
    <w:rsid w:val="006D43BF"/>
    <w:rsid w:val="00812829"/>
    <w:rsid w:val="009F678A"/>
    <w:rsid w:val="00A12F57"/>
    <w:rsid w:val="00A7511C"/>
    <w:rsid w:val="00AC3B3C"/>
    <w:rsid w:val="00B22F44"/>
    <w:rsid w:val="00BB26FA"/>
    <w:rsid w:val="00C11ED7"/>
    <w:rsid w:val="00E6012E"/>
    <w:rsid w:val="0610F539"/>
    <w:rsid w:val="1796BD29"/>
    <w:rsid w:val="235CEDD3"/>
    <w:rsid w:val="3BD72618"/>
    <w:rsid w:val="3E0250E9"/>
    <w:rsid w:val="43AA8796"/>
    <w:rsid w:val="711D59B9"/>
    <w:rsid w:val="7C14F3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48859">
      <w:bodyDiv w:val="1"/>
      <w:marLeft w:val="0"/>
      <w:marRight w:val="0"/>
      <w:marTop w:val="0"/>
      <w:marBottom w:val="0"/>
      <w:divBdr>
        <w:top w:val="none" w:sz="0" w:space="0" w:color="auto"/>
        <w:left w:val="none" w:sz="0" w:space="0" w:color="auto"/>
        <w:bottom w:val="none" w:sz="0" w:space="0" w:color="auto"/>
        <w:right w:val="none" w:sz="0" w:space="0" w:color="auto"/>
      </w:divBdr>
      <w:divsChild>
        <w:div w:id="161259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Manoj Pokhrel (AT)</cp:lastModifiedBy>
  <cp:revision>8</cp:revision>
  <dcterms:created xsi:type="dcterms:W3CDTF">2025-08-07T01:43:00Z</dcterms:created>
  <dcterms:modified xsi:type="dcterms:W3CDTF">2025-08-07T22:44:00Z</dcterms:modified>
</cp:coreProperties>
</file>