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D5C67" w14:textId="77777777" w:rsidR="00AA050D" w:rsidRPr="00AA050D" w:rsidRDefault="00AA050D" w:rsidP="00AA050D">
      <w:pPr>
        <w:rPr>
          <w:rFonts w:ascii="Circular Std Bold" w:eastAsia="Times New Roman" w:hAnsi="Circular Std Bold" w:cs="Circular Std Bold"/>
          <w:b/>
          <w:color w:val="B2D34A"/>
          <w:kern w:val="32"/>
          <w:sz w:val="36"/>
          <w:szCs w:val="36"/>
          <w:lang w:val="en-NZ" w:eastAsia="en-NZ"/>
        </w:rPr>
      </w:pPr>
      <w:r w:rsidRPr="00AA050D">
        <w:rPr>
          <w:rFonts w:ascii="Circular Std Bold" w:eastAsia="Times New Roman" w:hAnsi="Circular Std Bold" w:cs="Circular Std Bold"/>
          <w:b/>
          <w:color w:val="B2D34A"/>
          <w:kern w:val="32"/>
          <w:sz w:val="36"/>
          <w:szCs w:val="36"/>
          <w:lang w:val="en-NZ" w:eastAsia="en-NZ"/>
        </w:rPr>
        <w:t xml:space="preserve">New Zealand Upgrade Programme – Transport </w:t>
      </w:r>
    </w:p>
    <w:p w14:paraId="5EE5191C" w14:textId="77777777" w:rsidR="00DF7B85" w:rsidRPr="007669E0" w:rsidRDefault="00DF7B85" w:rsidP="00CA531A">
      <w:pPr>
        <w:ind w:left="45"/>
        <w:jc w:val="center"/>
        <w:rPr>
          <w:rFonts w:ascii="Circular Std Bold" w:hAnsi="Circular Std Bold" w:cs="Circular Std Bold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7669E0" w14:paraId="789CB402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20AA5F2C" w14:textId="6DBABB39" w:rsidR="00AA050D" w:rsidRPr="00AA050D" w:rsidRDefault="00AA050D" w:rsidP="00AA050D">
            <w:pPr>
              <w:rPr>
                <w:rFonts w:ascii="Circular Std Book" w:hAnsi="Circular Std Book" w:cs="Circular Std Book"/>
              </w:rPr>
            </w:pPr>
            <w:r w:rsidRPr="00AA050D">
              <w:rPr>
                <w:rFonts w:ascii="Circular Std Book" w:hAnsi="Circular Std Book" w:cs="Circular Std Book"/>
              </w:rPr>
              <w:t xml:space="preserve">The New Zealand Upgrade Programme was announced on 29 January. The programme will invest $6.8 billion to get our cities moving, save lives and boost productivity. </w:t>
            </w:r>
          </w:p>
          <w:p w14:paraId="4311DCD9" w14:textId="77777777" w:rsidR="00AA050D" w:rsidRPr="00AA050D" w:rsidRDefault="00AA050D" w:rsidP="00AA050D">
            <w:pPr>
              <w:rPr>
                <w:rFonts w:ascii="Circular Std Book" w:hAnsi="Circular Std Book" w:cs="Circular Std Book"/>
              </w:rPr>
            </w:pPr>
          </w:p>
          <w:p w14:paraId="1F523DB6" w14:textId="77777777" w:rsidR="00AA050D" w:rsidRPr="00AA050D" w:rsidRDefault="00AA050D" w:rsidP="00AA050D">
            <w:pPr>
              <w:rPr>
                <w:rFonts w:ascii="Circular Std Book" w:hAnsi="Circular Std Book" w:cs="Circular Std Book"/>
              </w:rPr>
            </w:pPr>
            <w:r w:rsidRPr="00AA050D">
              <w:rPr>
                <w:rFonts w:ascii="Circular Std Book" w:hAnsi="Circular Std Book" w:cs="Circular Std Book"/>
              </w:rPr>
              <w:t xml:space="preserve">The $6.8 billion is being invested across road, rail, public transport and walking and cycling infrastructure. </w:t>
            </w:r>
          </w:p>
          <w:p w14:paraId="31163088" w14:textId="77777777" w:rsidR="00AA050D" w:rsidRPr="00AA050D" w:rsidRDefault="00AA050D" w:rsidP="00AA050D">
            <w:pPr>
              <w:rPr>
                <w:rFonts w:ascii="Circular Std Book" w:hAnsi="Circular Std Book" w:cs="Circular Std Book"/>
              </w:rPr>
            </w:pPr>
          </w:p>
          <w:p w14:paraId="3B509AD6" w14:textId="77777777" w:rsidR="00AA050D" w:rsidRPr="00AA050D" w:rsidRDefault="00AA050D" w:rsidP="00AA050D">
            <w:pPr>
              <w:rPr>
                <w:rFonts w:ascii="Circular Std Book" w:hAnsi="Circular Std Book" w:cs="Circular Std Book"/>
              </w:rPr>
            </w:pPr>
            <w:r w:rsidRPr="00AA050D">
              <w:rPr>
                <w:rFonts w:ascii="Circular Std Book" w:hAnsi="Circular Std Book" w:cs="Circular Std Book"/>
              </w:rPr>
              <w:t xml:space="preserve">A team has been set up at Waka Kotahi New Zealand Transport Agency to manage the programme. </w:t>
            </w:r>
          </w:p>
          <w:p w14:paraId="1E50DDE2" w14:textId="77777777" w:rsidR="00AA050D" w:rsidRPr="00AA050D" w:rsidRDefault="00AA050D" w:rsidP="00AA050D">
            <w:pPr>
              <w:rPr>
                <w:rFonts w:ascii="Circular Std Book" w:hAnsi="Circular Std Book" w:cs="Circular Std Book"/>
              </w:rPr>
            </w:pPr>
          </w:p>
          <w:p w14:paraId="1F5CEE49" w14:textId="77777777" w:rsidR="00AA050D" w:rsidRPr="00AA050D" w:rsidRDefault="00AA050D" w:rsidP="00AA050D">
            <w:pPr>
              <w:rPr>
                <w:rFonts w:ascii="Circular Std Book" w:hAnsi="Circular Std Book" w:cs="Circular Std Book"/>
              </w:rPr>
            </w:pPr>
            <w:r w:rsidRPr="00AA050D">
              <w:rPr>
                <w:rFonts w:ascii="Circular Std Book" w:hAnsi="Circular Std Book" w:cs="Circular Std Book"/>
              </w:rPr>
              <w:t xml:space="preserve">This presentation will provide delegates with a brief overview of the work to date by the PMO </w:t>
            </w:r>
            <w:bookmarkStart w:id="0" w:name="_GoBack"/>
            <w:bookmarkEnd w:id="0"/>
            <w:r w:rsidRPr="00AA050D">
              <w:rPr>
                <w:rFonts w:ascii="Circular Std Book" w:hAnsi="Circular Std Book" w:cs="Circular Std Book"/>
              </w:rPr>
              <w:t xml:space="preserve">and key messages on the what and the how going forward. </w:t>
            </w:r>
          </w:p>
          <w:p w14:paraId="4A13E749" w14:textId="77777777" w:rsidR="00657112" w:rsidRPr="007669E0" w:rsidRDefault="00657112" w:rsidP="00AA050D">
            <w:pPr>
              <w:autoSpaceDE w:val="0"/>
              <w:autoSpaceDN w:val="0"/>
              <w:rPr>
                <w:rFonts w:ascii="Circular Std Bold" w:hAnsi="Circular Std Bold" w:cs="Circular Std Bold"/>
                <w:sz w:val="22"/>
                <w:szCs w:val="22"/>
              </w:rPr>
            </w:pPr>
          </w:p>
        </w:tc>
      </w:tr>
    </w:tbl>
    <w:p w14:paraId="2EB29E6C" w14:textId="77777777" w:rsidR="00BE3A75" w:rsidRPr="007669E0" w:rsidRDefault="00BE3A75" w:rsidP="00657112">
      <w:pPr>
        <w:autoSpaceDE w:val="0"/>
        <w:autoSpaceDN w:val="0"/>
        <w:adjustRightInd w:val="0"/>
        <w:rPr>
          <w:rFonts w:ascii="Circular Std Bold" w:hAnsi="Circular Std Bold" w:cs="Circular Std Bold"/>
        </w:rPr>
      </w:pPr>
    </w:p>
    <w:sectPr w:rsidR="00BE3A75" w:rsidRPr="007669E0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1FB74" w14:textId="77777777" w:rsidR="00094515" w:rsidRDefault="00094515">
      <w:r>
        <w:separator/>
      </w:r>
    </w:p>
  </w:endnote>
  <w:endnote w:type="continuationSeparator" w:id="0">
    <w:p w14:paraId="7C124AEB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ld">
    <w:panose1 w:val="020B0804020101010102"/>
    <w:charset w:val="00"/>
    <w:family w:val="swiss"/>
    <w:notTrueType/>
    <w:pitch w:val="variable"/>
    <w:sig w:usb0="8000002F" w:usb1="5000E47B" w:usb2="00000008" w:usb3="00000000" w:csb0="00000001" w:csb1="00000000"/>
  </w:font>
  <w:font w:name="Circular Std Book">
    <w:altName w:val="Calibri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3657B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C8FE64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3480E" w14:textId="77777777"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46CE2A4E" wp14:editId="6E39DAB5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46C14" w14:textId="77777777" w:rsidR="00094515" w:rsidRDefault="00094515">
      <w:r>
        <w:separator/>
      </w:r>
    </w:p>
  </w:footnote>
  <w:footnote w:type="continuationSeparator" w:id="0">
    <w:p w14:paraId="276D3E2B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3BF76" w14:textId="77777777" w:rsidR="004F7FFB" w:rsidRDefault="000036D2">
    <w:pPr>
      <w:pStyle w:val="Header"/>
    </w:pPr>
    <w:r>
      <w:rPr>
        <w:noProof/>
      </w:rPr>
      <w:drawing>
        <wp:inline distT="0" distB="0" distL="0" distR="0" wp14:anchorId="4200AB2E" wp14:editId="2EB3E7BE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A4E5EF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99.5pt;height:83.35pt" o:bullet="t">
        <v:imagedata r:id="rId1" o:title="Bullet Point"/>
      </v:shape>
    </w:pict>
  </w:numPicBullet>
  <w:numPicBullet w:numPicBulletId="1">
    <w:pict>
      <v:shape id="_x0000_i1147" type="#_x0000_t75" style="width:177.15pt;height:169.1pt" o:bullet="t">
        <v:imagedata r:id="rId2" o:title="Conf-Icon"/>
      </v:shape>
    </w:pict>
  </w:numPicBullet>
  <w:numPicBullet w:numPicBulletId="2">
    <w:pict>
      <v:shape id="_x0000_i1148" type="#_x0000_t75" style="width:151.3pt;height:144.8pt" o:bullet="t">
        <v:imagedata r:id="rId3" o:title="Conf-Icon"/>
      </v:shape>
    </w:pict>
  </w:numPicBullet>
  <w:numPicBullet w:numPicBulletId="3">
    <w:pict>
      <v:shape id="_x0000_i1149" type="#_x0000_t75" style="width:122.15pt;height:112.45pt" o:bullet="t">
        <v:imagedata r:id="rId4" o:title="Bullet Point"/>
      </v:shape>
    </w:pict>
  </w:numPicBullet>
  <w:numPicBullet w:numPicBulletId="4">
    <w:pict>
      <v:shape id="_x0000_i1150" type="#_x0000_t75" style="width:109.2pt;height:107.6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1CD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A3491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669E0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11E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050D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360B5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5624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E253FE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90E22-14D2-4537-902B-33196CC4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569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3</cp:revision>
  <cp:lastPrinted>2017-09-24T23:53:00Z</cp:lastPrinted>
  <dcterms:created xsi:type="dcterms:W3CDTF">2020-03-04T04:37:00Z</dcterms:created>
  <dcterms:modified xsi:type="dcterms:W3CDTF">2020-03-04T04:38:00Z</dcterms:modified>
</cp:coreProperties>
</file>