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870AA" w14:textId="415EDAEF" w:rsidR="00241990" w:rsidRPr="00241990" w:rsidRDefault="00241990" w:rsidP="00F6197F">
      <w:pPr>
        <w:ind w:left="45"/>
        <w:rPr>
          <w:rFonts w:ascii="Circular Std Book" w:eastAsia="Times New Roman" w:hAnsi="Circular Std Book" w:cs="Circular Std Book"/>
          <w:b/>
          <w:color w:val="008A55"/>
          <w:kern w:val="32"/>
          <w:sz w:val="36"/>
          <w:szCs w:val="36"/>
          <w:lang w:val="en-NZ" w:eastAsia="en-NZ"/>
        </w:rPr>
      </w:pPr>
      <w:r w:rsidRPr="00241990">
        <w:rPr>
          <w:rFonts w:ascii="Circular Std Book" w:eastAsia="Times New Roman" w:hAnsi="Circular Std Book" w:cs="Circular Std Book"/>
          <w:b/>
          <w:color w:val="008A55"/>
          <w:kern w:val="32"/>
          <w:sz w:val="36"/>
          <w:szCs w:val="36"/>
          <w:lang w:val="en-NZ" w:eastAsia="en-NZ"/>
        </w:rPr>
        <w:t>Emission impossible? Measuring transport’s GHG impacts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592A7A35" w14:textId="3F5629FC" w:rsidR="00F6197F" w:rsidRDefault="00F6197F" w:rsidP="00F6197F">
            <w:pPr>
              <w:pStyle w:val="Default"/>
              <w:rPr>
                <w:sz w:val="22"/>
                <w:szCs w:val="22"/>
              </w:rPr>
            </w:pPr>
            <w:r>
              <w:rPr>
                <w:sz w:val="22"/>
                <w:szCs w:val="22"/>
              </w:rPr>
              <w:t>Road transport makes up nearly one fifth of all Greenhouse Gas (GHG) emissions in New Zealand. There are many different types of interventions available to help change travel patterns to reduce these emissions but not all are created equal. Understanding how different programmes can affect GHG emissions is an important part of the process when choosing which investments to prioritise within a finite budget. Much of the literature evaluating the impacts that land transport programmes have on reducing GHG emissions report modelled outcomes without</w:t>
            </w:r>
            <w:r w:rsidR="00FD5510">
              <w:rPr>
                <w:sz w:val="22"/>
                <w:szCs w:val="22"/>
              </w:rPr>
              <w:t xml:space="preserve"> p</w:t>
            </w:r>
            <w:r w:rsidR="00FD5510" w:rsidRPr="00FD5510">
              <w:rPr>
                <w:sz w:val="22"/>
                <w:szCs w:val="22"/>
                <w:lang w:val="en-GB"/>
              </w:rPr>
              <w:t xml:space="preserve">ost-implementation </w:t>
            </w:r>
            <w:r>
              <w:rPr>
                <w:sz w:val="22"/>
                <w:szCs w:val="22"/>
              </w:rPr>
              <w:t>measurement of impacts.</w:t>
            </w:r>
          </w:p>
          <w:p w14:paraId="4D9F24CF" w14:textId="4048DC2A" w:rsidR="00F6197F" w:rsidRDefault="00F6197F" w:rsidP="00F6197F">
            <w:pPr>
              <w:pStyle w:val="Default"/>
              <w:rPr>
                <w:sz w:val="22"/>
                <w:szCs w:val="22"/>
              </w:rPr>
            </w:pPr>
            <w:r>
              <w:rPr>
                <w:sz w:val="22"/>
                <w:szCs w:val="22"/>
              </w:rPr>
              <w:t>This work was commissioned by Waka Kotahi NZTA with an aim to fill that gap by reviewing programmes that have reported measured effects rather than modelling alone. The purpose of this research is to catalogue and evaluate GHG emission reduction benefits from recent land transport mode shift programmes and projects. Insights will be used to guide mode shift plans in our fast</w:t>
            </w:r>
            <w:r w:rsidR="003847CE">
              <w:rPr>
                <w:sz w:val="22"/>
                <w:szCs w:val="22"/>
              </w:rPr>
              <w:t>-</w:t>
            </w:r>
            <w:r>
              <w:rPr>
                <w:sz w:val="22"/>
                <w:szCs w:val="22"/>
              </w:rPr>
              <w:t xml:space="preserve">growing cities, so that Waka Kotahi NZ Transport Agency effectively contributes to achieving net zero land transport greenhouse gas emissions in NZ by 2050. </w:t>
            </w:r>
          </w:p>
          <w:p w14:paraId="6D540611" w14:textId="77777777" w:rsidR="00F6197F" w:rsidRDefault="00F6197F" w:rsidP="00F6197F">
            <w:pPr>
              <w:pStyle w:val="Default"/>
              <w:rPr>
                <w:sz w:val="22"/>
                <w:szCs w:val="22"/>
              </w:rPr>
            </w:pPr>
            <w:r>
              <w:rPr>
                <w:sz w:val="22"/>
                <w:szCs w:val="22"/>
              </w:rPr>
              <w:t xml:space="preserve">This presentation describes our findings including: </w:t>
            </w:r>
          </w:p>
          <w:p w14:paraId="4B79B775" w14:textId="77777777" w:rsidR="00F6197F" w:rsidRDefault="00F6197F" w:rsidP="00F6197F">
            <w:pPr>
              <w:pStyle w:val="Default"/>
              <w:numPr>
                <w:ilvl w:val="0"/>
                <w:numId w:val="32"/>
              </w:numPr>
              <w:rPr>
                <w:rFonts w:eastAsia="Times New Roman"/>
                <w:sz w:val="22"/>
                <w:szCs w:val="22"/>
              </w:rPr>
            </w:pPr>
            <w:r>
              <w:rPr>
                <w:rFonts w:eastAsia="Times New Roman"/>
                <w:sz w:val="22"/>
                <w:szCs w:val="22"/>
              </w:rPr>
              <w:t>Limitations with measuring GHG emissions reductions</w:t>
            </w:r>
          </w:p>
          <w:p w14:paraId="177FD1F5" w14:textId="77777777" w:rsidR="00F6197F" w:rsidRDefault="00F6197F" w:rsidP="00F6197F">
            <w:pPr>
              <w:pStyle w:val="Default"/>
              <w:numPr>
                <w:ilvl w:val="0"/>
                <w:numId w:val="32"/>
              </w:numPr>
              <w:rPr>
                <w:rFonts w:eastAsia="Times New Roman"/>
                <w:sz w:val="22"/>
                <w:szCs w:val="22"/>
              </w:rPr>
            </w:pPr>
            <w:r>
              <w:rPr>
                <w:rFonts w:eastAsia="Times New Roman"/>
                <w:sz w:val="22"/>
                <w:szCs w:val="22"/>
              </w:rPr>
              <w:t>Review of various international programmes and their applicability to New Zealand</w:t>
            </w:r>
          </w:p>
          <w:p w14:paraId="1DA65E4D" w14:textId="6795768C" w:rsidR="00F6197F" w:rsidRDefault="00F6197F" w:rsidP="00F6197F">
            <w:pPr>
              <w:pStyle w:val="Default"/>
              <w:numPr>
                <w:ilvl w:val="0"/>
                <w:numId w:val="32"/>
              </w:numPr>
              <w:rPr>
                <w:rFonts w:eastAsia="Times New Roman"/>
                <w:sz w:val="22"/>
                <w:szCs w:val="22"/>
              </w:rPr>
            </w:pPr>
            <w:r>
              <w:rPr>
                <w:rFonts w:eastAsia="Times New Roman"/>
                <w:sz w:val="22"/>
                <w:szCs w:val="22"/>
              </w:rPr>
              <w:t xml:space="preserve">Recommendations for how and why </w:t>
            </w:r>
            <w:r w:rsidR="003847CE" w:rsidRPr="003847CE">
              <w:rPr>
                <w:rFonts w:eastAsia="Times New Roman"/>
                <w:sz w:val="22"/>
                <w:szCs w:val="22"/>
                <w:lang w:val="en-GB"/>
              </w:rPr>
              <w:t xml:space="preserve">post-implementation </w:t>
            </w:r>
            <w:r>
              <w:rPr>
                <w:rFonts w:eastAsia="Times New Roman"/>
                <w:sz w:val="22"/>
                <w:szCs w:val="22"/>
              </w:rPr>
              <w:t>measurements should be applied in New Zealand</w:t>
            </w:r>
          </w:p>
          <w:p w14:paraId="2ACCD1EC" w14:textId="70DFAD0B"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83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5pt" o:bullet="t">
        <v:imagedata r:id="rId3" o:title="Conf-Icon"/>
      </v:shape>
    </w:pict>
  </w:numPicBullet>
  <w:numPicBullet w:numPicBulletId="3">
    <w:pict>
      <v:shape id="_x0000_i1029" type="#_x0000_t75" style="width:122.5pt;height:112.5pt" o:bullet="t">
        <v:imagedata r:id="rId4" o:title="Bullet Point"/>
      </v:shape>
    </w:pict>
  </w:numPicBullet>
  <w:numPicBullet w:numPicBulletId="4">
    <w:pict>
      <v:shape id="_x0000_i1030"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E0635"/>
    <w:multiLevelType w:val="hybridMultilevel"/>
    <w:tmpl w:val="77E29372"/>
    <w:lvl w:ilvl="0" w:tplc="81B8FBC6">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 w:numId="32">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1896"/>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4199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47CE"/>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B60DC"/>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6197F"/>
    <w:rsid w:val="00F701D4"/>
    <w:rsid w:val="00F71D8F"/>
    <w:rsid w:val="00F80562"/>
    <w:rsid w:val="00F92224"/>
    <w:rsid w:val="00FA33C5"/>
    <w:rsid w:val="00FA788B"/>
    <w:rsid w:val="00FA7BE5"/>
    <w:rsid w:val="00FD4335"/>
    <w:rsid w:val="00FD5510"/>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Default">
    <w:name w:val="Default"/>
    <w:basedOn w:val="Normal"/>
    <w:rsid w:val="00F6197F"/>
    <w:pPr>
      <w:autoSpaceDE w:val="0"/>
      <w:autoSpaceDN w:val="0"/>
    </w:pPr>
    <w:rPr>
      <w:rFonts w:ascii="Calibri" w:eastAsiaTheme="minorHAnsi" w:hAnsi="Calibri" w:cs="Calibri"/>
      <w:color w:val="00000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471019683">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45217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218</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1474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Lewis Thorwaldson</cp:lastModifiedBy>
  <cp:revision>8</cp:revision>
  <cp:lastPrinted>2017-09-24T23:53:00Z</cp:lastPrinted>
  <dcterms:created xsi:type="dcterms:W3CDTF">2020-09-03T01:08:00Z</dcterms:created>
  <dcterms:modified xsi:type="dcterms:W3CDTF">2020-10-15T23:35:00Z</dcterms:modified>
</cp:coreProperties>
</file>