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74B0C" w14:textId="307EA4A5" w:rsidR="00714297" w:rsidRPr="00F37C39" w:rsidRDefault="00AF0138" w:rsidP="00B745C8">
      <w:pPr>
        <w:pStyle w:val="Heading1"/>
        <w:keepNext w:val="0"/>
        <w:spacing w:before="0" w:after="0"/>
        <w:rPr>
          <w:rFonts w:ascii="Circular Std Book" w:hAnsi="Circular Std Book" w:cs="Circular Std Book"/>
          <w:bCs w:val="0"/>
          <w:color w:val="008A55"/>
          <w:sz w:val="36"/>
          <w:szCs w:val="36"/>
          <w:lang w:val="en-NZ" w:eastAsia="en-NZ"/>
        </w:rPr>
      </w:pPr>
      <w:r>
        <w:rPr>
          <w:rFonts w:ascii="Circular Std Book" w:hAnsi="Circular Std Book" w:cs="Circular Std Book"/>
          <w:bCs w:val="0"/>
          <w:color w:val="008A55"/>
          <w:sz w:val="36"/>
          <w:szCs w:val="36"/>
          <w:lang w:val="en-NZ" w:eastAsia="en-NZ"/>
        </w:rPr>
        <w:t>Evaluating land transport infrastructure GHG emissions</w:t>
      </w:r>
    </w:p>
    <w:p w14:paraId="621716A6"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0E9E08A1" w14:textId="77777777" w:rsidTr="00930A64">
        <w:trPr>
          <w:trHeight w:val="548"/>
        </w:trPr>
        <w:tc>
          <w:tcPr>
            <w:tcW w:w="10405" w:type="dxa"/>
            <w:tcBorders>
              <w:bottom w:val="nil"/>
            </w:tcBorders>
            <w:shd w:val="clear" w:color="auto" w:fill="auto"/>
          </w:tcPr>
          <w:p w14:paraId="0A914DD7" w14:textId="2AE47BC6" w:rsidR="00AF0138" w:rsidRPr="00AF0138" w:rsidRDefault="00AF0138" w:rsidP="00AF0138">
            <w:pPr>
              <w:rPr>
                <w:rFonts w:asciiTheme="minorHAnsi" w:hAnsiTheme="minorHAnsi" w:cstheme="minorHAnsi"/>
                <w:sz w:val="22"/>
                <w:szCs w:val="22"/>
                <w:shd w:val="clear" w:color="auto" w:fill="FFFFFF"/>
                <w:lang w:val="en-NZ" w:eastAsia="en-NZ"/>
              </w:rPr>
            </w:pPr>
            <w:r w:rsidRPr="00AF0138">
              <w:rPr>
                <w:rFonts w:asciiTheme="minorHAnsi" w:hAnsiTheme="minorHAnsi" w:cstheme="minorHAnsi"/>
                <w:sz w:val="22"/>
                <w:szCs w:val="22"/>
              </w:rPr>
              <w:t xml:space="preserve">Under the Government Policy Statement for Land Transport 2021, Climate Change is a strategic priority and Waka Kotahi has a key role to play through prioritising its investment decisions funded by the </w:t>
            </w:r>
            <w:r w:rsidRPr="00AF0138">
              <w:rPr>
                <w:rFonts w:asciiTheme="minorHAnsi" w:hAnsiTheme="minorHAnsi" w:cstheme="minorHAnsi"/>
                <w:sz w:val="22"/>
                <w:szCs w:val="22"/>
                <w:shd w:val="clear" w:color="auto" w:fill="FFFFFF"/>
              </w:rPr>
              <w:t>National Land Transport Fund</w:t>
            </w:r>
            <w:r w:rsidRPr="00AF0138">
              <w:rPr>
                <w:rFonts w:asciiTheme="minorHAnsi" w:hAnsiTheme="minorHAnsi" w:cstheme="minorHAnsi"/>
                <w:sz w:val="22"/>
                <w:szCs w:val="22"/>
              </w:rPr>
              <w:t xml:space="preserve"> to support the transition to a low carbon </w:t>
            </w:r>
            <w:r w:rsidRPr="00AF0138">
              <w:rPr>
                <w:rFonts w:asciiTheme="minorHAnsi" w:hAnsiTheme="minorHAnsi" w:cstheme="minorHAnsi"/>
                <w:sz w:val="22"/>
                <w:szCs w:val="22"/>
                <w:shd w:val="clear" w:color="auto" w:fill="FFFFFF"/>
              </w:rPr>
              <w:t>land transport system</w:t>
            </w:r>
            <w:r w:rsidRPr="00AF0138">
              <w:rPr>
                <w:rFonts w:asciiTheme="minorHAnsi" w:hAnsiTheme="minorHAnsi" w:cstheme="minorHAnsi"/>
                <w:sz w:val="22"/>
                <w:szCs w:val="22"/>
              </w:rPr>
              <w:t xml:space="preserve">.  This role will be amplified in 2021 when the Climate Change Commission recommends carbon reduction targets across a range of sectors, including transport.  Upcoming changes to the Resource Management Act also require infrastructure projects to assess and address climate change impacts. </w:t>
            </w:r>
          </w:p>
          <w:p w14:paraId="0363E02A" w14:textId="77777777" w:rsidR="00AF0138" w:rsidRPr="00AF0138" w:rsidRDefault="00AF0138" w:rsidP="00AF0138">
            <w:pPr>
              <w:rPr>
                <w:rFonts w:asciiTheme="minorHAnsi" w:hAnsiTheme="minorHAnsi" w:cstheme="minorHAnsi"/>
                <w:sz w:val="22"/>
                <w:szCs w:val="22"/>
              </w:rPr>
            </w:pPr>
          </w:p>
          <w:p w14:paraId="299B616F" w14:textId="77777777" w:rsidR="00AF0138" w:rsidRPr="00AF0138" w:rsidRDefault="00AF0138" w:rsidP="00AF0138">
            <w:pPr>
              <w:rPr>
                <w:rFonts w:asciiTheme="minorHAnsi" w:hAnsiTheme="minorHAnsi" w:cstheme="minorHAnsi"/>
                <w:sz w:val="22"/>
                <w:szCs w:val="22"/>
              </w:rPr>
            </w:pPr>
            <w:r w:rsidRPr="00AF0138">
              <w:rPr>
                <w:rFonts w:asciiTheme="minorHAnsi" w:hAnsiTheme="minorHAnsi" w:cstheme="minorHAnsi"/>
                <w:sz w:val="22"/>
                <w:szCs w:val="22"/>
              </w:rPr>
              <w:t>To gear up for this work, Waka Kotahi has developed a process that sets out our expectations and the methodology to measure embodied, operational and enabled carbon emissions from the land transport system.  This paper discusses the approach, methodology and wider implications of addressing enabled carbon generated from the construction, maintenance and use of our land transport system, including emissions from vehicles.</w:t>
            </w:r>
          </w:p>
          <w:p w14:paraId="3E1F480F" w14:textId="77777777" w:rsidR="00AF0138" w:rsidRPr="00AF0138" w:rsidRDefault="00AF0138" w:rsidP="00AF0138">
            <w:pPr>
              <w:rPr>
                <w:rFonts w:asciiTheme="minorHAnsi" w:hAnsiTheme="minorHAnsi" w:cstheme="minorHAnsi"/>
                <w:sz w:val="22"/>
                <w:szCs w:val="22"/>
              </w:rPr>
            </w:pPr>
          </w:p>
          <w:p w14:paraId="511C4961" w14:textId="14FFD2AD" w:rsidR="00AF0138" w:rsidRPr="00AF0138" w:rsidRDefault="00AF0138" w:rsidP="00AF0138">
            <w:pPr>
              <w:spacing w:line="240" w:lineRule="atLeast"/>
              <w:rPr>
                <w:rFonts w:asciiTheme="minorHAnsi" w:hAnsiTheme="minorHAnsi" w:cstheme="minorHAnsi"/>
                <w:sz w:val="22"/>
                <w:szCs w:val="22"/>
              </w:rPr>
            </w:pPr>
            <w:r w:rsidRPr="00AF0138">
              <w:rPr>
                <w:rFonts w:asciiTheme="minorHAnsi" w:hAnsiTheme="minorHAnsi" w:cstheme="minorHAnsi"/>
                <w:sz w:val="22"/>
                <w:szCs w:val="22"/>
              </w:rPr>
              <w:t xml:space="preserve">The methodology is based on international best practice and is part of a broader piece of emissions profiling work within Toitū Te Taiao, our Waka Kotahi Sustainability Action Plan.  Once fully implemented this methodology will be critical in helping us baseline our current land transport emissions, support our understanding of the transport contribution required to reach net zero greenhouse gas emissions by 2050 and assist infrastructure funding decision making to achieve required emissions reduction outcomes.  </w:t>
            </w:r>
          </w:p>
          <w:p w14:paraId="2ACCD1EC" w14:textId="103634B9" w:rsidR="00657112" w:rsidRPr="00AC2F42" w:rsidRDefault="00657112" w:rsidP="00E73FE4">
            <w:pPr>
              <w:rPr>
                <w:rFonts w:ascii="Graphik Regular" w:hAnsi="Graphik Regular" w:cs="Circular Std Book"/>
                <w:sz w:val="22"/>
                <w:szCs w:val="22"/>
              </w:rPr>
            </w:pPr>
          </w:p>
        </w:tc>
      </w:tr>
    </w:tbl>
    <w:p w14:paraId="5FBDBD50" w14:textId="77777777" w:rsidR="00BE3A75" w:rsidRPr="00657112" w:rsidRDefault="00BE3A75" w:rsidP="00657112">
      <w:pPr>
        <w:autoSpaceDE w:val="0"/>
        <w:autoSpaceDN w:val="0"/>
        <w:adjustRightInd w:val="0"/>
        <w:rPr>
          <w:rFonts w:ascii="Fakt Pro Bln" w:hAnsi="Fakt Pro Bln" w:cs="Circular Std Book"/>
        </w:rPr>
      </w:pPr>
    </w:p>
    <w:sectPr w:rsidR="00BE3A75" w:rsidRPr="00657112" w:rsidSect="009202AF">
      <w:headerReference w:type="default" r:id="rId8"/>
      <w:footerReference w:type="even" r:id="rId9"/>
      <w:footerReference w:type="default" r:id="rId10"/>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522AB" w14:textId="77777777" w:rsidR="00A83F1F" w:rsidRDefault="00A83F1F">
      <w:r>
        <w:separator/>
      </w:r>
    </w:p>
  </w:endnote>
  <w:endnote w:type="continuationSeparator" w:id="0">
    <w:p w14:paraId="7250FCF2" w14:textId="77777777" w:rsidR="00A83F1F" w:rsidRDefault="00A83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Calibri">
    <w:panose1 w:val="020F0502020204030204"/>
    <w:charset w:val="00"/>
    <w:family w:val="swiss"/>
    <w:pitch w:val="variable"/>
    <w:sig w:usb0="E4002EFF" w:usb1="C000247B" w:usb2="00000009" w:usb3="00000000" w:csb0="000001FF" w:csb1="00000000"/>
  </w:font>
  <w:font w:name="Graphik Regular">
    <w:altName w:val="Calibri"/>
    <w:panose1 w:val="020B0503030202060203"/>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7AF1"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08129B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908A3" w14:textId="4BAE7EEB" w:rsidR="000036D2" w:rsidRDefault="00F37C39" w:rsidP="009202AF">
    <w:pPr>
      <w:pStyle w:val="Footer"/>
      <w:ind w:left="-709"/>
      <w:jc w:val="right"/>
    </w:pPr>
    <w:r>
      <w:rPr>
        <w:noProof/>
      </w:rPr>
      <w:drawing>
        <wp:anchor distT="0" distB="0" distL="114300" distR="114300" simplePos="0" relativeHeight="251659264" behindDoc="1" locked="0" layoutInCell="1" allowOverlap="1" wp14:anchorId="0047EC88" wp14:editId="1828D4D2">
          <wp:simplePos x="0" y="0"/>
          <wp:positionH relativeFrom="column">
            <wp:posOffset>-6985</wp:posOffset>
          </wp:positionH>
          <wp:positionV relativeFrom="paragraph">
            <wp:posOffset>-398780</wp:posOffset>
          </wp:positionV>
          <wp:extent cx="6562725" cy="820420"/>
          <wp:effectExtent l="0" t="0" r="9525" b="0"/>
          <wp:wrapTight wrapText="bothSides">
            <wp:wrapPolygon edited="0">
              <wp:start x="0" y="0"/>
              <wp:lineTo x="0" y="21065"/>
              <wp:lineTo x="21569" y="21065"/>
              <wp:lineTo x="21569" y="0"/>
              <wp:lineTo x="0" y="0"/>
            </wp:wrapPolygon>
          </wp:wrapTight>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6_Transport2021_WebsiteHeader_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82042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1FF11" w14:textId="77777777" w:rsidR="00A83F1F" w:rsidRDefault="00A83F1F">
      <w:r>
        <w:separator/>
      </w:r>
    </w:p>
  </w:footnote>
  <w:footnote w:type="continuationSeparator" w:id="0">
    <w:p w14:paraId="0E43CB24" w14:textId="77777777" w:rsidR="00A83F1F" w:rsidRDefault="00A83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4A422" w14:textId="5B2A84E4" w:rsidR="00F37C39" w:rsidRDefault="00F37C39">
    <w:pPr>
      <w:pStyle w:val="Header"/>
    </w:pPr>
    <w:r>
      <w:rPr>
        <w:noProof/>
      </w:rPr>
      <w:drawing>
        <wp:anchor distT="0" distB="0" distL="114300" distR="114300" simplePos="0" relativeHeight="251658240" behindDoc="1" locked="0" layoutInCell="1" allowOverlap="1" wp14:anchorId="3B105FEC" wp14:editId="57BF263B">
          <wp:simplePos x="0" y="0"/>
          <wp:positionH relativeFrom="margin">
            <wp:align>left</wp:align>
          </wp:positionH>
          <wp:positionV relativeFrom="paragraph">
            <wp:posOffset>180975</wp:posOffset>
          </wp:positionV>
          <wp:extent cx="6562725" cy="1640840"/>
          <wp:effectExtent l="0" t="0" r="9525" b="0"/>
          <wp:wrapTight wrapText="bothSides">
            <wp:wrapPolygon edited="0">
              <wp:start x="0" y="0"/>
              <wp:lineTo x="0" y="21316"/>
              <wp:lineTo x="21569" y="21316"/>
              <wp:lineTo x="21569" y="0"/>
              <wp:lineTo x="0" y="0"/>
            </wp:wrapPolygon>
          </wp:wrapTight>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6_Transport2021_WebsiteHeader_footer.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6" type="#_x0000_t75" style="width:99.75pt;height:83.25pt" o:bullet="t">
        <v:imagedata r:id="rId1" o:title="Bullet Point"/>
      </v:shape>
    </w:pict>
  </w:numPicBullet>
  <w:numPicBullet w:numPicBulletId="1">
    <w:pict>
      <v:shape id="_x0000_i1157" type="#_x0000_t75" style="width:177pt;height:169.5pt" o:bullet="t">
        <v:imagedata r:id="rId2" o:title="Conf-Icon"/>
      </v:shape>
    </w:pict>
  </w:numPicBullet>
  <w:numPicBullet w:numPicBulletId="2">
    <w:pict>
      <v:shape id="_x0000_i1158" type="#_x0000_t75" style="width:151.5pt;height:144.75pt" o:bullet="t">
        <v:imagedata r:id="rId3" o:title="Conf-Icon"/>
      </v:shape>
    </w:pict>
  </w:numPicBullet>
  <w:numPicBullet w:numPicBulletId="3">
    <w:pict>
      <v:shape id="_x0000_i1159" type="#_x0000_t75" style="width:122.25pt;height:112.5pt" o:bullet="t">
        <v:imagedata r:id="rId4" o:title="Bullet Point"/>
      </v:shape>
    </w:pict>
  </w:numPicBullet>
  <w:numPicBullet w:numPicBulletId="4">
    <w:pict>
      <v:shape id="_x0000_i1160"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177B5"/>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3F1F"/>
    <w:rsid w:val="00A857AD"/>
    <w:rsid w:val="00AA02A4"/>
    <w:rsid w:val="00AA16D9"/>
    <w:rsid w:val="00AA2696"/>
    <w:rsid w:val="00AB1096"/>
    <w:rsid w:val="00AB2488"/>
    <w:rsid w:val="00AC2F42"/>
    <w:rsid w:val="00AC472E"/>
    <w:rsid w:val="00AD0B66"/>
    <w:rsid w:val="00AD4FFD"/>
    <w:rsid w:val="00AE2126"/>
    <w:rsid w:val="00AF0138"/>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37C39"/>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0FF68"/>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 w:id="191242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41C4F4-7DEB-444F-87D9-4D90FA068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1586</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Glenda Harding</cp:lastModifiedBy>
  <cp:revision>2</cp:revision>
  <cp:lastPrinted>2017-09-24T23:53:00Z</cp:lastPrinted>
  <dcterms:created xsi:type="dcterms:W3CDTF">2021-05-02T22:20:00Z</dcterms:created>
  <dcterms:modified xsi:type="dcterms:W3CDTF">2021-05-02T22:20:00Z</dcterms:modified>
</cp:coreProperties>
</file>