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0C2AD"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p w14:paraId="1E091DB3" w14:textId="3A6FFFD9" w:rsidR="00145056" w:rsidRPr="008B662C" w:rsidRDefault="00CA6459" w:rsidP="00145056">
      <w:pPr>
        <w:ind w:left="-567" w:right="-613"/>
        <w:rPr>
          <w:rFonts w:asciiTheme="minorHAnsi" w:hAnsiTheme="minorHAnsi" w:cstheme="minorHAnsi"/>
          <w:b/>
          <w:bCs/>
          <w:color w:val="C2563D"/>
          <w:sz w:val="28"/>
          <w:szCs w:val="28"/>
          <w:bdr w:val="none" w:sz="0" w:space="0" w:color="auto" w:frame="1"/>
          <w:lang w:eastAsia="en-NZ"/>
        </w:rPr>
      </w:pPr>
      <w:r>
        <w:rPr>
          <w:rFonts w:asciiTheme="minorHAnsi" w:hAnsiTheme="minorHAnsi" w:cstheme="minorHAnsi"/>
          <w:b/>
          <w:bCs/>
          <w:color w:val="C2563D"/>
          <w:sz w:val="28"/>
          <w:szCs w:val="28"/>
          <w:bdr w:val="none" w:sz="0" w:space="0" w:color="auto" w:frame="1"/>
          <w:lang w:eastAsia="en-NZ"/>
        </w:rPr>
        <w:t>The Direct Science of Granular Pavement Layer Compaction</w:t>
      </w:r>
    </w:p>
    <w:p w14:paraId="5EC50E01"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tbl>
      <w:tblPr>
        <w:tblStyle w:val="TableGrid"/>
        <w:tblW w:w="0" w:type="auto"/>
        <w:tblInd w:w="-567" w:type="dxa"/>
        <w:tblLook w:val="04A0" w:firstRow="1" w:lastRow="0" w:firstColumn="1" w:lastColumn="0" w:noHBand="0" w:noVBand="1"/>
      </w:tblPr>
      <w:tblGrid>
        <w:gridCol w:w="9016"/>
      </w:tblGrid>
      <w:tr w:rsidR="00145056" w:rsidRPr="008B662C" w14:paraId="1B8F552B" w14:textId="77777777" w:rsidTr="00145056">
        <w:tc>
          <w:tcPr>
            <w:tcW w:w="9016" w:type="dxa"/>
            <w:tcBorders>
              <w:top w:val="nil"/>
              <w:left w:val="nil"/>
              <w:bottom w:val="nil"/>
              <w:right w:val="nil"/>
            </w:tcBorders>
          </w:tcPr>
          <w:p w14:paraId="1398E12B" w14:textId="77777777" w:rsidR="00CA6459" w:rsidRPr="00CA6459" w:rsidRDefault="00CA6459" w:rsidP="00CA6459">
            <w:pPr>
              <w:spacing w:line="276" w:lineRule="auto"/>
              <w:jc w:val="both"/>
              <w:rPr>
                <w:rFonts w:eastAsia="Times New Roman" w:cs="Times New Roman"/>
                <w:sz w:val="20"/>
                <w:szCs w:val="24"/>
              </w:rPr>
            </w:pPr>
            <w:r w:rsidRPr="00CA6459">
              <w:rPr>
                <w:rFonts w:eastAsia="Times New Roman" w:cs="Times New Roman"/>
                <w:sz w:val="20"/>
                <w:szCs w:val="24"/>
              </w:rPr>
              <w:t xml:space="preserve">The performance of granular pavement layers </w:t>
            </w:r>
            <w:proofErr w:type="gramStart"/>
            <w:r w:rsidRPr="00CA6459">
              <w:rPr>
                <w:rFonts w:eastAsia="Times New Roman" w:cs="Times New Roman"/>
                <w:sz w:val="20"/>
                <w:szCs w:val="24"/>
              </w:rPr>
              <w:t>are</w:t>
            </w:r>
            <w:proofErr w:type="gramEnd"/>
            <w:r w:rsidRPr="00CA6459">
              <w:rPr>
                <w:rFonts w:eastAsia="Times New Roman" w:cs="Times New Roman"/>
                <w:sz w:val="20"/>
                <w:szCs w:val="24"/>
              </w:rPr>
              <w:t xml:space="preserve"> heavily dependent on the density that is achieved during construction.  The Waka-Kotahi NZTA B-series specifications require the Contractor to undertake plateau density tests to determine the compaction plant combination and number of compaction passes required to achieve the specified pavement layer density.  Current industry best practise in New Zealand is to conduct the plateau density test using a nuclear density meter (NDM) in backscatter mode.  The principle of compacting granular pavement layers is to compact the layer from the bottom up, yet the backscatter mode on the NDM only measures the top 70 to 90 mm.  High air voids at the bottom of a cement bound granular layer on a major infrastructure project sparked further investigation with the following findings and results:</w:t>
            </w:r>
          </w:p>
          <w:p w14:paraId="6B02F31A" w14:textId="6A34D096" w:rsidR="00CA6459" w:rsidRPr="00CA6459" w:rsidRDefault="00CA6459" w:rsidP="00DB4B3A">
            <w:pPr>
              <w:numPr>
                <w:ilvl w:val="0"/>
                <w:numId w:val="8"/>
              </w:numPr>
              <w:spacing w:after="160" w:line="276" w:lineRule="auto"/>
              <w:ind w:left="459" w:hanging="459"/>
              <w:contextualSpacing/>
              <w:jc w:val="both"/>
              <w:rPr>
                <w:rFonts w:eastAsia="Times New Roman" w:cs="Times New Roman"/>
                <w:sz w:val="20"/>
                <w:szCs w:val="24"/>
              </w:rPr>
            </w:pPr>
            <w:r w:rsidRPr="00CA6459">
              <w:rPr>
                <w:rFonts w:eastAsia="Times New Roman" w:cs="Times New Roman"/>
                <w:sz w:val="20"/>
                <w:szCs w:val="24"/>
              </w:rPr>
              <w:t>the plateau density test carried out using the NDM</w:t>
            </w:r>
            <w:r w:rsidR="00DB4B3A">
              <w:rPr>
                <w:rFonts w:eastAsia="Times New Roman" w:cs="Times New Roman"/>
                <w:sz w:val="20"/>
                <w:szCs w:val="24"/>
              </w:rPr>
              <w:t>’</w:t>
            </w:r>
            <w:r w:rsidRPr="00CA6459">
              <w:rPr>
                <w:rFonts w:eastAsia="Times New Roman" w:cs="Times New Roman"/>
                <w:sz w:val="20"/>
                <w:szCs w:val="24"/>
              </w:rPr>
              <w:t>s backscatter mode generates a low number of primary high amplitude compaction passes and a high number of secondary static compaction passes when compared with performing the plateau density test using the NDM in direct transmission mode to the full depth and half depth of the layer, which generated the opposite rolling pattern.</w:t>
            </w:r>
          </w:p>
          <w:p w14:paraId="6B352D65" w14:textId="77777777" w:rsidR="00CA6459" w:rsidRPr="00CA6459" w:rsidRDefault="00CA6459" w:rsidP="00DB4B3A">
            <w:pPr>
              <w:numPr>
                <w:ilvl w:val="0"/>
                <w:numId w:val="8"/>
              </w:numPr>
              <w:spacing w:after="160" w:line="276" w:lineRule="auto"/>
              <w:ind w:left="459" w:hanging="459"/>
              <w:contextualSpacing/>
              <w:jc w:val="both"/>
              <w:rPr>
                <w:rFonts w:eastAsia="Times New Roman" w:cs="Times New Roman"/>
                <w:sz w:val="20"/>
                <w:szCs w:val="24"/>
              </w:rPr>
            </w:pPr>
            <w:r w:rsidRPr="00CA6459">
              <w:rPr>
                <w:rFonts w:eastAsia="Times New Roman" w:cs="Times New Roman"/>
                <w:sz w:val="20"/>
                <w:szCs w:val="24"/>
              </w:rPr>
              <w:t>The degree of compaction in the areas that were compacted using the direct transmission plateau density test rolling patterns achieved a significantly different outcome in the voids in the lower bounds of the pavement layer.</w:t>
            </w:r>
          </w:p>
          <w:p w14:paraId="721B6CC1" w14:textId="34999FDC" w:rsidR="00CA6459" w:rsidRPr="00CA6459" w:rsidRDefault="00CA6459" w:rsidP="00DB4B3A">
            <w:pPr>
              <w:numPr>
                <w:ilvl w:val="0"/>
                <w:numId w:val="8"/>
              </w:numPr>
              <w:spacing w:after="160" w:line="276" w:lineRule="auto"/>
              <w:ind w:left="459" w:hanging="459"/>
              <w:contextualSpacing/>
              <w:jc w:val="both"/>
              <w:rPr>
                <w:rFonts w:eastAsia="Times New Roman" w:cs="Times New Roman"/>
                <w:sz w:val="20"/>
                <w:szCs w:val="24"/>
              </w:rPr>
            </w:pPr>
            <w:r w:rsidRPr="00CA6459">
              <w:rPr>
                <w:rFonts w:eastAsia="Times New Roman" w:cs="Times New Roman"/>
                <w:sz w:val="20"/>
                <w:szCs w:val="24"/>
              </w:rPr>
              <w:t>These results have led to changing both the plateau density test and the density acceptance criteria test from using NZS 4407</w:t>
            </w:r>
            <w:r w:rsidR="00DB4B3A">
              <w:rPr>
                <w:rFonts w:eastAsia="Times New Roman" w:cs="Times New Roman"/>
                <w:sz w:val="20"/>
                <w:szCs w:val="24"/>
              </w:rPr>
              <w:t>:</w:t>
            </w:r>
            <w:r w:rsidRPr="00CA6459">
              <w:rPr>
                <w:rFonts w:eastAsia="Times New Roman" w:cs="Times New Roman"/>
                <w:sz w:val="20"/>
                <w:szCs w:val="24"/>
              </w:rPr>
              <w:t>2015</w:t>
            </w:r>
            <w:r w:rsidR="00DB4B3A">
              <w:rPr>
                <w:rFonts w:eastAsia="Times New Roman" w:cs="Times New Roman"/>
                <w:sz w:val="20"/>
                <w:szCs w:val="24"/>
              </w:rPr>
              <w:t>-</w:t>
            </w:r>
            <w:r w:rsidRPr="00CA6459">
              <w:rPr>
                <w:rFonts w:eastAsia="Times New Roman" w:cs="Times New Roman"/>
                <w:sz w:val="20"/>
                <w:szCs w:val="24"/>
              </w:rPr>
              <w:t>Test 4.3 – Backscatter mode to NZS 4407:2015</w:t>
            </w:r>
            <w:r w:rsidR="00DB4B3A">
              <w:rPr>
                <w:rFonts w:eastAsia="Times New Roman" w:cs="Times New Roman"/>
                <w:sz w:val="20"/>
                <w:szCs w:val="24"/>
              </w:rPr>
              <w:t>-</w:t>
            </w:r>
            <w:r w:rsidRPr="00CA6459">
              <w:rPr>
                <w:rFonts w:eastAsia="Times New Roman" w:cs="Times New Roman"/>
                <w:sz w:val="20"/>
                <w:szCs w:val="24"/>
              </w:rPr>
              <w:t>Test 4.2 – Direct Transmission mode.</w:t>
            </w:r>
          </w:p>
          <w:p w14:paraId="21282C10" w14:textId="77777777" w:rsidR="00CA6459" w:rsidRPr="00CA6459" w:rsidRDefault="00CA6459" w:rsidP="00DB4B3A">
            <w:pPr>
              <w:numPr>
                <w:ilvl w:val="0"/>
                <w:numId w:val="8"/>
              </w:numPr>
              <w:spacing w:after="160" w:line="276" w:lineRule="auto"/>
              <w:ind w:left="459" w:hanging="459"/>
              <w:contextualSpacing/>
              <w:jc w:val="both"/>
              <w:rPr>
                <w:rFonts w:eastAsia="Times New Roman" w:cs="Times New Roman"/>
                <w:sz w:val="20"/>
                <w:szCs w:val="24"/>
              </w:rPr>
            </w:pPr>
            <w:r w:rsidRPr="00CA6459">
              <w:rPr>
                <w:rFonts w:eastAsia="Times New Roman" w:cs="Times New Roman"/>
                <w:sz w:val="20"/>
                <w:szCs w:val="24"/>
              </w:rPr>
              <w:t>The degree of compaction acceptance criteria has been set as per the relevant tables in NZTA B/2 to B/8 for both the full depth and half depth direct transmission tests.</w:t>
            </w:r>
          </w:p>
          <w:p w14:paraId="1D2F36B5" w14:textId="77777777" w:rsidR="00CA6459" w:rsidRPr="00CA6459" w:rsidRDefault="00CA6459" w:rsidP="00DB4B3A">
            <w:pPr>
              <w:numPr>
                <w:ilvl w:val="0"/>
                <w:numId w:val="8"/>
              </w:numPr>
              <w:spacing w:after="160" w:line="276" w:lineRule="auto"/>
              <w:ind w:left="459" w:hanging="459"/>
              <w:contextualSpacing/>
              <w:jc w:val="both"/>
              <w:rPr>
                <w:rFonts w:eastAsia="Times New Roman" w:cs="Times New Roman"/>
                <w:sz w:val="20"/>
                <w:szCs w:val="24"/>
              </w:rPr>
            </w:pPr>
            <w:r w:rsidRPr="00CA6459">
              <w:rPr>
                <w:rFonts w:eastAsia="Times New Roman" w:cs="Times New Roman"/>
                <w:sz w:val="20"/>
                <w:szCs w:val="24"/>
              </w:rPr>
              <w:t>Density calculations of the lower half of the compacted layer are used for monitoring of trends and data collection purposes rather than being a contractual requirement.</w:t>
            </w:r>
          </w:p>
          <w:p w14:paraId="37528FE0" w14:textId="77777777" w:rsidR="00CA6459" w:rsidRPr="00CA6459" w:rsidRDefault="00CA6459" w:rsidP="00CA6459">
            <w:pPr>
              <w:spacing w:line="276" w:lineRule="auto"/>
              <w:jc w:val="both"/>
              <w:rPr>
                <w:rFonts w:eastAsia="Times New Roman" w:cs="Times New Roman"/>
                <w:sz w:val="20"/>
                <w:szCs w:val="24"/>
              </w:rPr>
            </w:pPr>
          </w:p>
          <w:p w14:paraId="75666135" w14:textId="450E7EF4" w:rsidR="00CA6459" w:rsidRPr="00CA6459" w:rsidRDefault="00CA6459" w:rsidP="00CA6459">
            <w:pPr>
              <w:spacing w:line="276" w:lineRule="auto"/>
              <w:jc w:val="both"/>
              <w:rPr>
                <w:rFonts w:eastAsia="Times New Roman" w:cs="Times New Roman"/>
                <w:sz w:val="20"/>
                <w:szCs w:val="24"/>
              </w:rPr>
            </w:pPr>
            <w:r w:rsidRPr="00CA6459">
              <w:rPr>
                <w:rFonts w:eastAsia="Times New Roman" w:cs="Times New Roman"/>
                <w:sz w:val="20"/>
                <w:szCs w:val="24"/>
              </w:rPr>
              <w:t xml:space="preserve">The findings of the above project trails </w:t>
            </w:r>
            <w:r w:rsidR="00DB4B3A">
              <w:rPr>
                <w:rFonts w:eastAsia="Times New Roman" w:cs="Times New Roman"/>
                <w:sz w:val="20"/>
                <w:szCs w:val="24"/>
              </w:rPr>
              <w:t xml:space="preserve">were </w:t>
            </w:r>
            <w:r w:rsidRPr="00CA6459">
              <w:rPr>
                <w:rFonts w:eastAsia="Times New Roman" w:cs="Times New Roman"/>
                <w:sz w:val="20"/>
                <w:szCs w:val="24"/>
              </w:rPr>
              <w:t>incorporated into the “Plateau Density Test” technical advice note (TAN), w</w:t>
            </w:r>
            <w:r w:rsidR="00DB4B3A">
              <w:rPr>
                <w:rFonts w:eastAsia="Times New Roman" w:cs="Times New Roman"/>
                <w:sz w:val="20"/>
                <w:szCs w:val="24"/>
              </w:rPr>
              <w:t xml:space="preserve">as </w:t>
            </w:r>
            <w:r w:rsidRPr="00CA6459">
              <w:rPr>
                <w:rFonts w:eastAsia="Times New Roman" w:cs="Times New Roman"/>
                <w:sz w:val="20"/>
                <w:szCs w:val="24"/>
              </w:rPr>
              <w:t>drafted by the NPTG for Waka-Kotahi NZTA since mid-2020.  The TAN provides guidance of the appropriate compaction equipment used for a variety of materials, the layer thicknesses appropriate for these materials and describes how the plateau density test should be carried out on new pavement construction and pavement rehabilitation projects in New Zealand.</w:t>
            </w:r>
          </w:p>
          <w:p w14:paraId="73AC307A" w14:textId="77777777" w:rsidR="00CA6459" w:rsidRPr="00CA6459" w:rsidRDefault="00CA6459" w:rsidP="00CA6459">
            <w:pPr>
              <w:spacing w:line="276" w:lineRule="auto"/>
              <w:jc w:val="both"/>
              <w:rPr>
                <w:rFonts w:eastAsia="Times New Roman" w:cs="Times New Roman"/>
                <w:sz w:val="20"/>
                <w:szCs w:val="24"/>
              </w:rPr>
            </w:pPr>
          </w:p>
          <w:p w14:paraId="2FCCACD6" w14:textId="1972C629" w:rsidR="00CA6459" w:rsidRPr="00CA6459" w:rsidRDefault="00CA6459" w:rsidP="00CA6459">
            <w:pPr>
              <w:spacing w:line="276" w:lineRule="auto"/>
              <w:jc w:val="both"/>
              <w:rPr>
                <w:rFonts w:eastAsia="Times New Roman" w:cs="Times New Roman"/>
                <w:sz w:val="20"/>
                <w:szCs w:val="24"/>
              </w:rPr>
            </w:pPr>
            <w:r w:rsidRPr="00CA6459">
              <w:rPr>
                <w:rFonts w:eastAsia="Times New Roman" w:cs="Times New Roman"/>
                <w:sz w:val="20"/>
                <w:szCs w:val="24"/>
              </w:rPr>
              <w:t xml:space="preserve">This </w:t>
            </w:r>
            <w:r w:rsidR="00DB4B3A">
              <w:rPr>
                <w:rFonts w:eastAsia="Times New Roman" w:cs="Times New Roman"/>
                <w:sz w:val="20"/>
                <w:szCs w:val="24"/>
              </w:rPr>
              <w:t xml:space="preserve">presentation outlines </w:t>
            </w:r>
            <w:r w:rsidRPr="00CA6459">
              <w:rPr>
                <w:rFonts w:eastAsia="Times New Roman" w:cs="Times New Roman"/>
                <w:sz w:val="20"/>
                <w:szCs w:val="24"/>
              </w:rPr>
              <w:t xml:space="preserve">the </w:t>
            </w:r>
            <w:r w:rsidR="00DB4B3A">
              <w:rPr>
                <w:rFonts w:eastAsia="Times New Roman" w:cs="Times New Roman"/>
                <w:sz w:val="20"/>
                <w:szCs w:val="24"/>
              </w:rPr>
              <w:t xml:space="preserve">results </w:t>
            </w:r>
            <w:r w:rsidRPr="00CA6459">
              <w:rPr>
                <w:rFonts w:eastAsia="Times New Roman" w:cs="Times New Roman"/>
                <w:sz w:val="20"/>
                <w:szCs w:val="24"/>
              </w:rPr>
              <w:t>of the trials and the content of the draft TAN on this subject.</w:t>
            </w:r>
          </w:p>
          <w:p w14:paraId="35C9D8CF" w14:textId="77777777" w:rsidR="00145056" w:rsidRPr="008B662C" w:rsidRDefault="00145056" w:rsidP="00145056">
            <w:pPr>
              <w:ind w:left="-567" w:right="-613"/>
              <w:rPr>
                <w:rFonts w:asciiTheme="minorHAnsi" w:hAnsiTheme="minorHAnsi" w:cstheme="minorHAnsi"/>
                <w:sz w:val="18"/>
                <w:szCs w:val="18"/>
                <w:bdr w:val="none" w:sz="0" w:space="0" w:color="auto" w:frame="1"/>
                <w:lang w:eastAsia="en-NZ"/>
              </w:rPr>
            </w:pPr>
          </w:p>
        </w:tc>
      </w:tr>
    </w:tbl>
    <w:p w14:paraId="64C30F89" w14:textId="77777777" w:rsidR="00145056" w:rsidRPr="008B662C" w:rsidRDefault="00145056" w:rsidP="00DB4B3A">
      <w:pPr>
        <w:ind w:right="-613"/>
        <w:rPr>
          <w:rFonts w:asciiTheme="minorHAnsi" w:hAnsiTheme="minorHAnsi" w:cstheme="minorHAnsi"/>
          <w:sz w:val="18"/>
          <w:szCs w:val="18"/>
          <w:bdr w:val="none" w:sz="0" w:space="0" w:color="auto" w:frame="1"/>
          <w:lang w:eastAsia="en-NZ"/>
        </w:rPr>
      </w:pPr>
    </w:p>
    <w:sectPr w:rsidR="00145056" w:rsidRPr="008B662C" w:rsidSect="008F587C">
      <w:headerReference w:type="default" r:id="rId7"/>
      <w:footerReference w:type="default" r:id="rId8"/>
      <w:pgSz w:w="11906" w:h="16838" w:code="9"/>
      <w:pgMar w:top="567" w:right="1440" w:bottom="567"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4FC5A" w14:textId="77777777" w:rsidR="00010A14" w:rsidRDefault="00010A14" w:rsidP="00861CAA">
      <w:r>
        <w:separator/>
      </w:r>
    </w:p>
  </w:endnote>
  <w:endnote w:type="continuationSeparator" w:id="0">
    <w:p w14:paraId="25B87FDC" w14:textId="77777777" w:rsidR="00010A14" w:rsidRDefault="00010A14" w:rsidP="0086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1518F" w14:textId="77777777" w:rsidR="00861CAA" w:rsidRDefault="00861CAA" w:rsidP="00CE0801">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52793" w14:textId="77777777" w:rsidR="00010A14" w:rsidRDefault="00010A14" w:rsidP="00861CAA">
      <w:r>
        <w:separator/>
      </w:r>
    </w:p>
  </w:footnote>
  <w:footnote w:type="continuationSeparator" w:id="0">
    <w:p w14:paraId="255EC2EA" w14:textId="77777777" w:rsidR="00010A14" w:rsidRDefault="00010A14" w:rsidP="0086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9A227" w14:textId="77777777" w:rsidR="00861CAA" w:rsidRDefault="000C09C5" w:rsidP="00861CAA">
    <w:pPr>
      <w:pStyle w:val="Header"/>
      <w:ind w:left="-567"/>
    </w:pPr>
    <w:r>
      <w:rPr>
        <w:noProof/>
      </w:rPr>
      <w:drawing>
        <wp:anchor distT="0" distB="0" distL="114300" distR="114300" simplePos="0" relativeHeight="251658240" behindDoc="1" locked="0" layoutInCell="1" allowOverlap="1" wp14:anchorId="77E96E48" wp14:editId="5138CA9F">
          <wp:simplePos x="0" y="0"/>
          <wp:positionH relativeFrom="margin">
            <wp:posOffset>-534670</wp:posOffset>
          </wp:positionH>
          <wp:positionV relativeFrom="paragraph">
            <wp:posOffset>-180340</wp:posOffset>
          </wp:positionV>
          <wp:extent cx="6591600" cy="1647535"/>
          <wp:effectExtent l="0" t="0" r="0" b="0"/>
          <wp:wrapTight wrapText="bothSides">
            <wp:wrapPolygon edited="0">
              <wp:start x="0" y="0"/>
              <wp:lineTo x="0" y="21234"/>
              <wp:lineTo x="21538" y="21234"/>
              <wp:lineTo x="21538"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s White.jpg"/>
                  <pic:cNvPicPr/>
                </pic:nvPicPr>
                <pic:blipFill>
                  <a:blip r:embed="rId1">
                    <a:extLst>
                      <a:ext uri="{28A0092B-C50C-407E-A947-70E740481C1C}">
                        <a14:useLocalDpi xmlns:a14="http://schemas.microsoft.com/office/drawing/2010/main" val="0"/>
                      </a:ext>
                    </a:extLst>
                  </a:blip>
                  <a:stretch>
                    <a:fillRect/>
                  </a:stretch>
                </pic:blipFill>
                <pic:spPr>
                  <a:xfrm>
                    <a:off x="0" y="0"/>
                    <a:ext cx="6591600" cy="16475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30.75pt;height:223.05pt" o:bullet="t">
        <v:imagedata r:id="rId1" o:title="bullet point"/>
      </v:shape>
    </w:pict>
  </w:numPicBullet>
  <w:abstractNum w:abstractNumId="0" w15:restartNumberingAfterBreak="0">
    <w:nsid w:val="0B804E06"/>
    <w:multiLevelType w:val="hybridMultilevel"/>
    <w:tmpl w:val="0680C38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60A1845"/>
    <w:multiLevelType w:val="hybridMultilevel"/>
    <w:tmpl w:val="740EB2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25819A2"/>
    <w:multiLevelType w:val="hybridMultilevel"/>
    <w:tmpl w:val="3FACF412"/>
    <w:lvl w:ilvl="0" w:tplc="1409000F">
      <w:start w:val="1"/>
      <w:numFmt w:val="decimal"/>
      <w:lvlText w:val="%1."/>
      <w:lvlJc w:val="left"/>
      <w:pPr>
        <w:ind w:left="153" w:hanging="360"/>
      </w:p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3" w15:restartNumberingAfterBreak="0">
    <w:nsid w:val="417A1B17"/>
    <w:multiLevelType w:val="multilevel"/>
    <w:tmpl w:val="D8FE07B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51E55"/>
    <w:multiLevelType w:val="hybridMultilevel"/>
    <w:tmpl w:val="6128DA1C"/>
    <w:lvl w:ilvl="0" w:tplc="CB4259B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19534CD"/>
    <w:multiLevelType w:val="hybridMultilevel"/>
    <w:tmpl w:val="314E0D0E"/>
    <w:lvl w:ilvl="0" w:tplc="EC064FA8">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25A289F"/>
    <w:multiLevelType w:val="hybridMultilevel"/>
    <w:tmpl w:val="0722FABC"/>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7" w15:restartNumberingAfterBreak="0">
    <w:nsid w:val="770B2E5D"/>
    <w:multiLevelType w:val="hybridMultilevel"/>
    <w:tmpl w:val="C0F045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AA"/>
    <w:rsid w:val="00010A14"/>
    <w:rsid w:val="000A3788"/>
    <w:rsid w:val="000C09C5"/>
    <w:rsid w:val="000F4004"/>
    <w:rsid w:val="00116FCF"/>
    <w:rsid w:val="00145056"/>
    <w:rsid w:val="00313843"/>
    <w:rsid w:val="003146C8"/>
    <w:rsid w:val="00535F90"/>
    <w:rsid w:val="00647EE9"/>
    <w:rsid w:val="00790E7A"/>
    <w:rsid w:val="007D36F8"/>
    <w:rsid w:val="00861CAA"/>
    <w:rsid w:val="008B662C"/>
    <w:rsid w:val="008F587C"/>
    <w:rsid w:val="0098723D"/>
    <w:rsid w:val="00AF5864"/>
    <w:rsid w:val="00CA6459"/>
    <w:rsid w:val="00CE0801"/>
    <w:rsid w:val="00CF4287"/>
    <w:rsid w:val="00D31C06"/>
    <w:rsid w:val="00DB4B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A2C21"/>
  <w15:chartTrackingRefBased/>
  <w15:docId w15:val="{30E6F1B9-15D9-4B02-B44E-8EAB5C31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E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CAA"/>
    <w:pPr>
      <w:tabs>
        <w:tab w:val="center" w:pos="4513"/>
        <w:tab w:val="right" w:pos="9026"/>
      </w:tabs>
    </w:pPr>
  </w:style>
  <w:style w:type="character" w:customStyle="1" w:styleId="HeaderChar">
    <w:name w:val="Header Char"/>
    <w:basedOn w:val="DefaultParagraphFont"/>
    <w:link w:val="Header"/>
    <w:uiPriority w:val="99"/>
    <w:rsid w:val="00861CAA"/>
  </w:style>
  <w:style w:type="paragraph" w:styleId="Footer">
    <w:name w:val="footer"/>
    <w:basedOn w:val="Normal"/>
    <w:link w:val="FooterChar"/>
    <w:uiPriority w:val="99"/>
    <w:unhideWhenUsed/>
    <w:rsid w:val="00861CAA"/>
    <w:pPr>
      <w:tabs>
        <w:tab w:val="center" w:pos="4513"/>
        <w:tab w:val="right" w:pos="9026"/>
      </w:tabs>
    </w:pPr>
  </w:style>
  <w:style w:type="character" w:customStyle="1" w:styleId="FooterChar">
    <w:name w:val="Footer Char"/>
    <w:basedOn w:val="DefaultParagraphFont"/>
    <w:link w:val="Footer"/>
    <w:uiPriority w:val="99"/>
    <w:rsid w:val="00861CAA"/>
  </w:style>
  <w:style w:type="paragraph" w:styleId="BalloonText">
    <w:name w:val="Balloon Text"/>
    <w:basedOn w:val="Normal"/>
    <w:link w:val="BalloonTextChar"/>
    <w:uiPriority w:val="99"/>
    <w:semiHidden/>
    <w:unhideWhenUsed/>
    <w:rsid w:val="00861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CAA"/>
    <w:rPr>
      <w:rFonts w:ascii="Segoe UI" w:hAnsi="Segoe UI" w:cs="Segoe UI"/>
      <w:sz w:val="18"/>
      <w:szCs w:val="18"/>
    </w:rPr>
  </w:style>
  <w:style w:type="paragraph" w:styleId="ListParagraph">
    <w:name w:val="List Paragraph"/>
    <w:basedOn w:val="Normal"/>
    <w:uiPriority w:val="34"/>
    <w:qFormat/>
    <w:rsid w:val="00790E7A"/>
    <w:pPr>
      <w:ind w:left="720"/>
    </w:pPr>
  </w:style>
  <w:style w:type="paragraph" w:styleId="NormalWeb">
    <w:name w:val="Normal (Web)"/>
    <w:basedOn w:val="Normal"/>
    <w:uiPriority w:val="99"/>
    <w:semiHidden/>
    <w:unhideWhenUsed/>
    <w:rsid w:val="00790E7A"/>
    <w:pPr>
      <w:spacing w:before="100" w:beforeAutospacing="1" w:after="100" w:afterAutospacing="1"/>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CE0801"/>
    <w:rPr>
      <w:i/>
      <w:iCs/>
    </w:rPr>
  </w:style>
  <w:style w:type="character" w:styleId="Hyperlink">
    <w:name w:val="Hyperlink"/>
    <w:rsid w:val="007D36F8"/>
    <w:rPr>
      <w:color w:val="0000FF"/>
      <w:u w:val="single"/>
    </w:rPr>
  </w:style>
  <w:style w:type="character" w:styleId="UnresolvedMention">
    <w:name w:val="Unresolved Mention"/>
    <w:basedOn w:val="DefaultParagraphFont"/>
    <w:uiPriority w:val="99"/>
    <w:semiHidden/>
    <w:unhideWhenUsed/>
    <w:rsid w:val="00313843"/>
    <w:rPr>
      <w:color w:val="605E5C"/>
      <w:shd w:val="clear" w:color="auto" w:fill="E1DFDD"/>
    </w:rPr>
  </w:style>
  <w:style w:type="table" w:styleId="TableGrid">
    <w:name w:val="Table Grid"/>
    <w:basedOn w:val="TableNormal"/>
    <w:uiPriority w:val="39"/>
    <w:rsid w:val="0014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071416">
      <w:bodyDiv w:val="1"/>
      <w:marLeft w:val="0"/>
      <w:marRight w:val="0"/>
      <w:marTop w:val="0"/>
      <w:marBottom w:val="0"/>
      <w:divBdr>
        <w:top w:val="none" w:sz="0" w:space="0" w:color="auto"/>
        <w:left w:val="none" w:sz="0" w:space="0" w:color="auto"/>
        <w:bottom w:val="none" w:sz="0" w:space="0" w:color="auto"/>
        <w:right w:val="none" w:sz="0" w:space="0" w:color="auto"/>
      </w:divBdr>
    </w:div>
    <w:div w:id="18808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Thorsten Froebel (Higgins)</cp:lastModifiedBy>
  <cp:revision>2</cp:revision>
  <dcterms:created xsi:type="dcterms:W3CDTF">2021-06-29T02:38:00Z</dcterms:created>
  <dcterms:modified xsi:type="dcterms:W3CDTF">2021-06-29T02:38:00Z</dcterms:modified>
</cp:coreProperties>
</file>