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69A7" w14:textId="1B136569" w:rsidR="003700D4" w:rsidRPr="003700D4" w:rsidRDefault="003700D4" w:rsidP="003700D4">
      <w:pPr>
        <w:rPr>
          <w:rFonts w:ascii="Montserrat" w:hAnsi="Montserrat"/>
          <w:b/>
          <w:bCs/>
          <w:i/>
          <w:iCs/>
          <w:color w:val="0088C5"/>
          <w:sz w:val="28"/>
          <w:szCs w:val="28"/>
        </w:rPr>
      </w:pPr>
      <w:r w:rsidRPr="003700D4">
        <w:rPr>
          <w:rFonts w:ascii="Montserrat" w:hAnsi="Montserrat"/>
          <w:b/>
          <w:bCs/>
          <w:i/>
          <w:iCs/>
          <w:color w:val="0088C5"/>
          <w:sz w:val="28"/>
          <w:szCs w:val="28"/>
        </w:rPr>
        <w:t>Resilience in Action: NZTA’s Decision-Led Approach</w:t>
      </w:r>
      <w:r>
        <w:rPr>
          <w:rFonts w:ascii="Montserrat" w:hAnsi="Montserrat"/>
          <w:b/>
          <w:bCs/>
          <w:i/>
          <w:iCs/>
          <w:color w:val="0088C5"/>
          <w:sz w:val="28"/>
          <w:szCs w:val="28"/>
        </w:rPr>
        <w:t xml:space="preserve"> and Epitaph Case Study</w:t>
      </w:r>
    </w:p>
    <w:p w14:paraId="1884CFC3" w14:textId="680E500F" w:rsidR="00597B23" w:rsidRPr="001E58F2" w:rsidRDefault="00597B23" w:rsidP="00597B23">
      <w:pPr>
        <w:rPr>
          <w:rFonts w:ascii="Montserrat" w:hAnsi="Montserrat"/>
        </w:rPr>
      </w:pPr>
      <w:r w:rsidRPr="001E58F2">
        <w:rPr>
          <w:rFonts w:ascii="Montserrat" w:hAnsi="Montserrat"/>
        </w:rPr>
        <w:t xml:space="preserve">Land transport infrastructure represents a significant investment of public funds, and delivering value for money is central to the NZ Transport Agency’s (NZTA) mandate. </w:t>
      </w:r>
      <w:r w:rsidR="00891793">
        <w:rPr>
          <w:rFonts w:ascii="Montserrat" w:hAnsi="Montserrat"/>
        </w:rPr>
        <w:t xml:space="preserve"> With this lens, NZTA needs to ensure it has a best practice and future-focused mindset.  </w:t>
      </w:r>
      <w:r w:rsidRPr="001E58F2">
        <w:rPr>
          <w:rFonts w:ascii="Montserrat" w:hAnsi="Montserrat"/>
        </w:rPr>
        <w:t>The Decision-Led Approach</w:t>
      </w:r>
      <w:r w:rsidR="00E36367">
        <w:rPr>
          <w:rFonts w:ascii="Montserrat" w:hAnsi="Montserrat"/>
        </w:rPr>
        <w:t>,</w:t>
      </w:r>
      <w:r w:rsidRPr="001E58F2">
        <w:rPr>
          <w:rFonts w:ascii="Montserrat" w:hAnsi="Montserrat"/>
        </w:rPr>
        <w:t xml:space="preserve"> </w:t>
      </w:r>
      <w:r w:rsidR="00E36367">
        <w:rPr>
          <w:rFonts w:ascii="Montserrat" w:hAnsi="Montserrat"/>
        </w:rPr>
        <w:t xml:space="preserve">NZTA’s new operating model, </w:t>
      </w:r>
      <w:r w:rsidRPr="001E58F2">
        <w:rPr>
          <w:rFonts w:ascii="Montserrat" w:hAnsi="Montserrat"/>
        </w:rPr>
        <w:t xml:space="preserve">supports this by ensuring project teams focus on doing the right work at the right time to enable timely, well-informed decisions. </w:t>
      </w:r>
      <w:r w:rsidR="00E36367">
        <w:rPr>
          <w:rFonts w:ascii="Montserrat" w:hAnsi="Montserrat"/>
        </w:rPr>
        <w:t xml:space="preserve">It includes upfront thinking about what decisions need to be made when and who are the right people to have at the table. </w:t>
      </w:r>
      <w:r w:rsidRPr="001E58F2">
        <w:rPr>
          <w:rFonts w:ascii="Montserrat" w:hAnsi="Montserrat"/>
        </w:rPr>
        <w:t>It accelerates investment case development and project delivery while maintaining a strong focus on affordability and value.</w:t>
      </w:r>
    </w:p>
    <w:p w14:paraId="3A233605" w14:textId="3E4B7F1A" w:rsidR="00597B23" w:rsidRPr="001E58F2" w:rsidRDefault="00597B23" w:rsidP="00597B23">
      <w:pPr>
        <w:rPr>
          <w:rFonts w:ascii="Montserrat" w:hAnsi="Montserrat"/>
        </w:rPr>
      </w:pPr>
      <w:r w:rsidRPr="001E58F2">
        <w:rPr>
          <w:rFonts w:ascii="Montserrat" w:hAnsi="Montserrat"/>
        </w:rPr>
        <w:t>In a resource-constrained environment, this approach helps NZTA manage its project portfolio more effectively, ensuring investment progresses when it is most needed and that work is fit-for-purpose. This creates a more resilient investment system</w:t>
      </w:r>
      <w:r w:rsidR="0044623F">
        <w:rPr>
          <w:rFonts w:ascii="Montserrat" w:hAnsi="Montserrat"/>
        </w:rPr>
        <w:t xml:space="preserve"> </w:t>
      </w:r>
      <w:r w:rsidRPr="001E58F2">
        <w:rPr>
          <w:rFonts w:ascii="Montserrat" w:hAnsi="Montserrat"/>
        </w:rPr>
        <w:t>that adapts to changing conditions and prioritises outcomes over process.</w:t>
      </w:r>
    </w:p>
    <w:p w14:paraId="73DC30E9" w14:textId="77777777" w:rsidR="00597B23" w:rsidRDefault="00597B23" w:rsidP="00597B23">
      <w:pPr>
        <w:rPr>
          <w:rFonts w:ascii="Montserrat" w:hAnsi="Montserrat"/>
        </w:rPr>
      </w:pPr>
      <w:r w:rsidRPr="001E58F2">
        <w:rPr>
          <w:rFonts w:ascii="Montserrat" w:hAnsi="Montserrat"/>
        </w:rPr>
        <w:t xml:space="preserve">This presentation first explores the theory behind the Decision-Led Approach, outlining how it supports resilience through better economics and funding decisions across the project lifecycle. </w:t>
      </w:r>
    </w:p>
    <w:p w14:paraId="614D4557" w14:textId="7157E4AE" w:rsidR="00CC7546" w:rsidRDefault="00C67051" w:rsidP="00641BA2">
      <w:pPr>
        <w:rPr>
          <w:rFonts w:ascii="Montserrat" w:hAnsi="Montserrat"/>
        </w:rPr>
      </w:pPr>
      <w:r>
        <w:rPr>
          <w:rFonts w:ascii="Montserrat" w:hAnsi="Montserrat"/>
        </w:rPr>
        <w:t>It then</w:t>
      </w:r>
      <w:r w:rsidR="00597B23">
        <w:rPr>
          <w:rFonts w:ascii="Montserrat" w:hAnsi="Montserrat"/>
        </w:rPr>
        <w:t xml:space="preserve"> showcase</w:t>
      </w:r>
      <w:r>
        <w:rPr>
          <w:rFonts w:ascii="Montserrat" w:hAnsi="Montserrat"/>
        </w:rPr>
        <w:t>s</w:t>
      </w:r>
      <w:r w:rsidR="00597B23">
        <w:rPr>
          <w:rFonts w:ascii="Montserrat" w:hAnsi="Montserrat"/>
        </w:rPr>
        <w:t xml:space="preserve"> the application of Decision-Led Approach through an example case of Epitaph Resilience Project.</w:t>
      </w:r>
      <w:r w:rsidR="002570B8">
        <w:rPr>
          <w:rFonts w:ascii="Montserrat" w:hAnsi="Montserrat"/>
        </w:rPr>
        <w:t xml:space="preserve"> </w:t>
      </w:r>
    </w:p>
    <w:p w14:paraId="6C6A0D9E" w14:textId="77777777" w:rsidR="008304B5" w:rsidRPr="008304B5" w:rsidRDefault="008304B5" w:rsidP="008304B5">
      <w:pPr>
        <w:rPr>
          <w:rFonts w:ascii="Montserrat" w:hAnsi="Montserrat"/>
        </w:rPr>
      </w:pPr>
      <w:r w:rsidRPr="008304B5">
        <w:rPr>
          <w:rFonts w:ascii="Montserrat" w:hAnsi="Montserrat"/>
        </w:rPr>
        <w:t xml:space="preserve">A shallow landslide </w:t>
      </w:r>
      <w:r>
        <w:rPr>
          <w:rFonts w:ascii="Montserrat" w:hAnsi="Montserrat"/>
        </w:rPr>
        <w:t xml:space="preserve">– </w:t>
      </w:r>
      <w:r w:rsidRPr="008304B5">
        <w:rPr>
          <w:rFonts w:ascii="Montserrat" w:hAnsi="Montserrat"/>
        </w:rPr>
        <w:t xml:space="preserve">known as the Epitaph Landslide </w:t>
      </w:r>
      <w:r>
        <w:rPr>
          <w:rFonts w:ascii="Montserrat" w:hAnsi="Montserrat"/>
        </w:rPr>
        <w:t>–</w:t>
      </w:r>
      <w:r w:rsidRPr="008304B5">
        <w:rPr>
          <w:rFonts w:ascii="Montserrat" w:hAnsi="Montserrat"/>
        </w:rPr>
        <w:t xml:space="preserve"> is threatening the resilience of a section of State Highway 6 on the West Coast. The landslide drops steeply toward the sea, with limited space available for emergency or long-term structural solutions. Frequent heavy rainfall further compromises the site’s stability.</w:t>
      </w:r>
    </w:p>
    <w:p w14:paraId="23FAA9D1" w14:textId="3FE50C00" w:rsidR="001826B7" w:rsidRDefault="008304B5" w:rsidP="00641BA2">
      <w:pPr>
        <w:rPr>
          <w:rFonts w:ascii="Montserrat" w:hAnsi="Montserrat"/>
        </w:rPr>
      </w:pPr>
      <w:r w:rsidRPr="008304B5">
        <w:rPr>
          <w:rFonts w:ascii="Montserrat" w:hAnsi="Montserrat"/>
        </w:rPr>
        <w:t>To address these challenges, the Decision-Led Approach was adopted. This approach enabled accelerated project development while ensuring a right-sized, value-for-money solution. Given the complex site conditions and broader constraints, th</w:t>
      </w:r>
      <w:r w:rsidR="00472DD9">
        <w:rPr>
          <w:rFonts w:ascii="Montserrat" w:hAnsi="Montserrat"/>
        </w:rPr>
        <w:t>e Decision-Led</w:t>
      </w:r>
      <w:r w:rsidR="00661F9C">
        <w:rPr>
          <w:rFonts w:ascii="Montserrat" w:hAnsi="Montserrat"/>
        </w:rPr>
        <w:t xml:space="preserve"> </w:t>
      </w:r>
      <w:r w:rsidR="00472DD9">
        <w:rPr>
          <w:rFonts w:ascii="Montserrat" w:hAnsi="Montserrat"/>
        </w:rPr>
        <w:t>A</w:t>
      </w:r>
      <w:r w:rsidR="00661F9C">
        <w:rPr>
          <w:rFonts w:ascii="Montserrat" w:hAnsi="Montserrat"/>
        </w:rPr>
        <w:t xml:space="preserve">pproach </w:t>
      </w:r>
      <w:r w:rsidRPr="008304B5">
        <w:rPr>
          <w:rFonts w:ascii="Montserrat" w:hAnsi="Montserrat"/>
        </w:rPr>
        <w:t>was critical in ensuring that decisions were made at the right time, by the right people, and with the right level of evidence and analysis.</w:t>
      </w:r>
    </w:p>
    <w:p w14:paraId="6DC40587" w14:textId="77777777" w:rsidR="001826B7" w:rsidRDefault="001826B7" w:rsidP="00641BA2">
      <w:pPr>
        <w:rPr>
          <w:rFonts w:ascii="Montserrat" w:hAnsi="Montserrat"/>
        </w:rPr>
      </w:pPr>
    </w:p>
    <w:p w14:paraId="05AEE835" w14:textId="77777777" w:rsidR="001826B7" w:rsidRDefault="001826B7" w:rsidP="00641BA2">
      <w:pPr>
        <w:rPr>
          <w:rFonts w:ascii="Montserrat" w:hAnsi="Montserrat"/>
        </w:rPr>
      </w:pPr>
    </w:p>
    <w:p w14:paraId="324BEBB8" w14:textId="77777777" w:rsidR="001826B7" w:rsidRDefault="001826B7" w:rsidP="00641BA2">
      <w:pPr>
        <w:rPr>
          <w:rFonts w:ascii="Montserrat" w:hAnsi="Montserrat"/>
        </w:rPr>
      </w:pPr>
    </w:p>
    <w:p w14:paraId="54BA0F9F" w14:textId="77777777" w:rsidR="001826B7" w:rsidRDefault="001826B7" w:rsidP="00641BA2">
      <w:pPr>
        <w:rPr>
          <w:rFonts w:ascii="Montserrat" w:hAnsi="Montserrat"/>
        </w:rPr>
      </w:pPr>
    </w:p>
    <w:p w14:paraId="561CE1FD" w14:textId="77777777" w:rsidR="001C114C" w:rsidRPr="00C11ED7" w:rsidRDefault="001C114C">
      <w:pPr>
        <w:rPr>
          <w:rFonts w:ascii="Montserrat" w:hAnsi="Montserrat"/>
        </w:rPr>
      </w:pPr>
    </w:p>
    <w:sectPr w:rsidR="001C114C" w:rsidRPr="00C11ED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572D" w14:textId="77777777" w:rsidR="00A53F31" w:rsidRDefault="00A53F31" w:rsidP="00C11ED7">
      <w:pPr>
        <w:spacing w:after="0" w:line="240" w:lineRule="auto"/>
      </w:pPr>
      <w:r>
        <w:separator/>
      </w:r>
    </w:p>
  </w:endnote>
  <w:endnote w:type="continuationSeparator" w:id="0">
    <w:p w14:paraId="2CC55230" w14:textId="77777777" w:rsidR="00A53F31" w:rsidRDefault="00A53F31" w:rsidP="00C11ED7">
      <w:pPr>
        <w:spacing w:after="0" w:line="240" w:lineRule="auto"/>
      </w:pPr>
      <w:r>
        <w:continuationSeparator/>
      </w:r>
    </w:p>
  </w:endnote>
  <w:endnote w:type="continuationNotice" w:id="1">
    <w:p w14:paraId="6862B10C" w14:textId="77777777" w:rsidR="00A53F31" w:rsidRDefault="00A53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C2143" w14:textId="77777777" w:rsidR="00A53F31" w:rsidRDefault="00A53F31" w:rsidP="00C11ED7">
      <w:pPr>
        <w:spacing w:after="0" w:line="240" w:lineRule="auto"/>
      </w:pPr>
      <w:r>
        <w:separator/>
      </w:r>
    </w:p>
  </w:footnote>
  <w:footnote w:type="continuationSeparator" w:id="0">
    <w:p w14:paraId="34B59F06" w14:textId="77777777" w:rsidR="00A53F31" w:rsidRDefault="00A53F31" w:rsidP="00C11ED7">
      <w:pPr>
        <w:spacing w:after="0" w:line="240" w:lineRule="auto"/>
      </w:pPr>
      <w:r>
        <w:continuationSeparator/>
      </w:r>
    </w:p>
  </w:footnote>
  <w:footnote w:type="continuationNotice" w:id="1">
    <w:p w14:paraId="14AB7B6E" w14:textId="77777777" w:rsidR="00A53F31" w:rsidRDefault="00A53F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713"/>
    <w:multiLevelType w:val="hybridMultilevel"/>
    <w:tmpl w:val="395261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488"/>
    <w:multiLevelType w:val="multilevel"/>
    <w:tmpl w:val="26F2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E6D07"/>
    <w:multiLevelType w:val="multilevel"/>
    <w:tmpl w:val="0992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344972"/>
    <w:multiLevelType w:val="hybridMultilevel"/>
    <w:tmpl w:val="A9D6E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53292"/>
    <w:multiLevelType w:val="multilevel"/>
    <w:tmpl w:val="74B2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37F77"/>
    <w:multiLevelType w:val="multilevel"/>
    <w:tmpl w:val="A050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101044"/>
    <w:multiLevelType w:val="multilevel"/>
    <w:tmpl w:val="73FE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33557"/>
    <w:multiLevelType w:val="multilevel"/>
    <w:tmpl w:val="0354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378C3"/>
    <w:multiLevelType w:val="multilevel"/>
    <w:tmpl w:val="29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0D44D7"/>
    <w:multiLevelType w:val="hybridMultilevel"/>
    <w:tmpl w:val="6FE8A5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57275"/>
    <w:multiLevelType w:val="hybridMultilevel"/>
    <w:tmpl w:val="81980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F2735"/>
    <w:multiLevelType w:val="hybridMultilevel"/>
    <w:tmpl w:val="9062A2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152837">
    <w:abstractNumId w:val="3"/>
  </w:num>
  <w:num w:numId="2" w16cid:durableId="507601018">
    <w:abstractNumId w:val="0"/>
  </w:num>
  <w:num w:numId="3" w16cid:durableId="2025129933">
    <w:abstractNumId w:val="9"/>
  </w:num>
  <w:num w:numId="4" w16cid:durableId="1331760948">
    <w:abstractNumId w:val="11"/>
  </w:num>
  <w:num w:numId="5" w16cid:durableId="1539974996">
    <w:abstractNumId w:val="8"/>
  </w:num>
  <w:num w:numId="6" w16cid:durableId="1887840037">
    <w:abstractNumId w:val="1"/>
  </w:num>
  <w:num w:numId="7" w16cid:durableId="1974821727">
    <w:abstractNumId w:val="6"/>
  </w:num>
  <w:num w:numId="8" w16cid:durableId="1282348378">
    <w:abstractNumId w:val="2"/>
  </w:num>
  <w:num w:numId="9" w16cid:durableId="219245705">
    <w:abstractNumId w:val="5"/>
  </w:num>
  <w:num w:numId="10" w16cid:durableId="363484548">
    <w:abstractNumId w:val="10"/>
  </w:num>
  <w:num w:numId="11" w16cid:durableId="1389919225">
    <w:abstractNumId w:val="4"/>
  </w:num>
  <w:num w:numId="12" w16cid:durableId="88039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01773C"/>
    <w:rsid w:val="00024B10"/>
    <w:rsid w:val="00076736"/>
    <w:rsid w:val="00077CFD"/>
    <w:rsid w:val="00086706"/>
    <w:rsid w:val="000935C1"/>
    <w:rsid w:val="00095C1E"/>
    <w:rsid w:val="000A1243"/>
    <w:rsid w:val="000D7E2E"/>
    <w:rsid w:val="000F2A2F"/>
    <w:rsid w:val="00110000"/>
    <w:rsid w:val="00110935"/>
    <w:rsid w:val="001112A0"/>
    <w:rsid w:val="0012247B"/>
    <w:rsid w:val="00150C65"/>
    <w:rsid w:val="001515E0"/>
    <w:rsid w:val="001731FC"/>
    <w:rsid w:val="00174FA0"/>
    <w:rsid w:val="001826B7"/>
    <w:rsid w:val="001A3428"/>
    <w:rsid w:val="001B5245"/>
    <w:rsid w:val="001C114C"/>
    <w:rsid w:val="001C5FFF"/>
    <w:rsid w:val="001E58F2"/>
    <w:rsid w:val="001F3DA0"/>
    <w:rsid w:val="001F4991"/>
    <w:rsid w:val="00200887"/>
    <w:rsid w:val="002259A7"/>
    <w:rsid w:val="0025163D"/>
    <w:rsid w:val="00256DA8"/>
    <w:rsid w:val="002570B8"/>
    <w:rsid w:val="00270EAE"/>
    <w:rsid w:val="00287295"/>
    <w:rsid w:val="002C2694"/>
    <w:rsid w:val="00301EB2"/>
    <w:rsid w:val="00303ED8"/>
    <w:rsid w:val="003700D4"/>
    <w:rsid w:val="003742CD"/>
    <w:rsid w:val="003810F8"/>
    <w:rsid w:val="003B52F5"/>
    <w:rsid w:val="003E66D5"/>
    <w:rsid w:val="003F618B"/>
    <w:rsid w:val="00410769"/>
    <w:rsid w:val="0043758C"/>
    <w:rsid w:val="0044623F"/>
    <w:rsid w:val="004552DF"/>
    <w:rsid w:val="00467F30"/>
    <w:rsid w:val="00472DD9"/>
    <w:rsid w:val="00483E07"/>
    <w:rsid w:val="00486AAE"/>
    <w:rsid w:val="00496FF3"/>
    <w:rsid w:val="004B1FAD"/>
    <w:rsid w:val="004B5AA2"/>
    <w:rsid w:val="004C65A3"/>
    <w:rsid w:val="004E50EA"/>
    <w:rsid w:val="004F088B"/>
    <w:rsid w:val="004F5EE5"/>
    <w:rsid w:val="00530E10"/>
    <w:rsid w:val="0053144D"/>
    <w:rsid w:val="0053583D"/>
    <w:rsid w:val="00550CDE"/>
    <w:rsid w:val="00551F45"/>
    <w:rsid w:val="00570653"/>
    <w:rsid w:val="00583DDD"/>
    <w:rsid w:val="00597B23"/>
    <w:rsid w:val="005B3EC5"/>
    <w:rsid w:val="005C5886"/>
    <w:rsid w:val="005D5B94"/>
    <w:rsid w:val="005D73BC"/>
    <w:rsid w:val="005E1B1A"/>
    <w:rsid w:val="00605C67"/>
    <w:rsid w:val="00641BA2"/>
    <w:rsid w:val="00661F9C"/>
    <w:rsid w:val="00680B54"/>
    <w:rsid w:val="006B438B"/>
    <w:rsid w:val="0070392B"/>
    <w:rsid w:val="00710EAF"/>
    <w:rsid w:val="00712462"/>
    <w:rsid w:val="00766ADA"/>
    <w:rsid w:val="00770019"/>
    <w:rsid w:val="0079743D"/>
    <w:rsid w:val="007C638A"/>
    <w:rsid w:val="007D4E09"/>
    <w:rsid w:val="007E41A0"/>
    <w:rsid w:val="008304B5"/>
    <w:rsid w:val="008558BF"/>
    <w:rsid w:val="00857EC1"/>
    <w:rsid w:val="00872CC2"/>
    <w:rsid w:val="008764A7"/>
    <w:rsid w:val="00891793"/>
    <w:rsid w:val="008978DC"/>
    <w:rsid w:val="008A3D27"/>
    <w:rsid w:val="008F0162"/>
    <w:rsid w:val="00990F9C"/>
    <w:rsid w:val="00991E01"/>
    <w:rsid w:val="009C3460"/>
    <w:rsid w:val="009D18BD"/>
    <w:rsid w:val="009E6634"/>
    <w:rsid w:val="009F34C3"/>
    <w:rsid w:val="00A178D6"/>
    <w:rsid w:val="00A21200"/>
    <w:rsid w:val="00A242C9"/>
    <w:rsid w:val="00A33E58"/>
    <w:rsid w:val="00A421E5"/>
    <w:rsid w:val="00A53A65"/>
    <w:rsid w:val="00A53F31"/>
    <w:rsid w:val="00A54962"/>
    <w:rsid w:val="00A54C46"/>
    <w:rsid w:val="00AB2017"/>
    <w:rsid w:val="00AB49AC"/>
    <w:rsid w:val="00AD575E"/>
    <w:rsid w:val="00B0559C"/>
    <w:rsid w:val="00B46FED"/>
    <w:rsid w:val="00B73329"/>
    <w:rsid w:val="00B77B22"/>
    <w:rsid w:val="00B81A0E"/>
    <w:rsid w:val="00BA3360"/>
    <w:rsid w:val="00BC0649"/>
    <w:rsid w:val="00BC1C63"/>
    <w:rsid w:val="00BC461E"/>
    <w:rsid w:val="00BD7ACB"/>
    <w:rsid w:val="00C11ED7"/>
    <w:rsid w:val="00C30F7A"/>
    <w:rsid w:val="00C52437"/>
    <w:rsid w:val="00C55867"/>
    <w:rsid w:val="00C60E17"/>
    <w:rsid w:val="00C6465E"/>
    <w:rsid w:val="00C67051"/>
    <w:rsid w:val="00C90009"/>
    <w:rsid w:val="00C914C2"/>
    <w:rsid w:val="00CC7546"/>
    <w:rsid w:val="00CD14CC"/>
    <w:rsid w:val="00CD2E8E"/>
    <w:rsid w:val="00CE3DB1"/>
    <w:rsid w:val="00CF1014"/>
    <w:rsid w:val="00D14B51"/>
    <w:rsid w:val="00D25FF3"/>
    <w:rsid w:val="00D26FC7"/>
    <w:rsid w:val="00D36CC1"/>
    <w:rsid w:val="00D73A4E"/>
    <w:rsid w:val="00D7785A"/>
    <w:rsid w:val="00D92671"/>
    <w:rsid w:val="00DC3BB5"/>
    <w:rsid w:val="00DE50C7"/>
    <w:rsid w:val="00DE78B0"/>
    <w:rsid w:val="00DF3BB9"/>
    <w:rsid w:val="00E30B5B"/>
    <w:rsid w:val="00E36367"/>
    <w:rsid w:val="00E50CCC"/>
    <w:rsid w:val="00E75175"/>
    <w:rsid w:val="00E756AC"/>
    <w:rsid w:val="00EA49BC"/>
    <w:rsid w:val="00EC0368"/>
    <w:rsid w:val="00F33FA3"/>
    <w:rsid w:val="00F43626"/>
    <w:rsid w:val="00F92677"/>
    <w:rsid w:val="00FB1325"/>
    <w:rsid w:val="00FB72C3"/>
    <w:rsid w:val="00FC448A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015BA50E-468D-4590-BB21-0B519988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character" w:styleId="Hyperlink">
    <w:name w:val="Hyperlink"/>
    <w:basedOn w:val="DefaultParagraphFont"/>
    <w:uiPriority w:val="99"/>
    <w:unhideWhenUsed/>
    <w:rsid w:val="001C11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14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641BA2"/>
    <w:pPr>
      <w:spacing w:after="12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1BA2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1BA2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B52F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36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09f3c-2a8b-45bf-900a-f1e62b2fb7b1">
      <Terms xmlns="http://schemas.microsoft.com/office/infopath/2007/PartnerControls"/>
    </lcf76f155ced4ddcb4097134ff3c332f>
    <TaxCatchAll xmlns="b2cc97df-4fd6-4886-8fba-cd2a78b58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BC47F92088941BE3958E7A904E7A6" ma:contentTypeVersion="17" ma:contentTypeDescription="Create a new document." ma:contentTypeScope="" ma:versionID="c7f82a6bfd6c046712d44faeedc3b147">
  <xsd:schema xmlns:xsd="http://www.w3.org/2001/XMLSchema" xmlns:xs="http://www.w3.org/2001/XMLSchema" xmlns:p="http://schemas.microsoft.com/office/2006/metadata/properties" xmlns:ns2="1e709f3c-2a8b-45bf-900a-f1e62b2fb7b1" xmlns:ns3="b2cc97df-4fd6-4886-8fba-cd2a78b584ea" targetNamespace="http://schemas.microsoft.com/office/2006/metadata/properties" ma:root="true" ma:fieldsID="8c0601abb581028e3a855bf3aa7d6c5a" ns2:_="" ns3:_="">
    <xsd:import namespace="1e709f3c-2a8b-45bf-900a-f1e62b2fb7b1"/>
    <xsd:import namespace="b2cc97df-4fd6-4886-8fba-cd2a78b58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09f3c-2a8b-45bf-900a-f1e62b2fb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c97df-4fd6-4886-8fba-cd2a78b58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49a4852-9014-45ce-830d-8ec7440147a9}" ma:internalName="TaxCatchAll" ma:showField="CatchAllData" ma:web="b2cc97df-4fd6-4886-8fba-cd2a78b58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CCFCC-77EF-467C-A0F9-E4192564B93D}">
  <ds:schemaRefs>
    <ds:schemaRef ds:uri="http://schemas.microsoft.com/office/2006/metadata/properties"/>
    <ds:schemaRef ds:uri="http://schemas.microsoft.com/office/infopath/2007/PartnerControls"/>
    <ds:schemaRef ds:uri="1e709f3c-2a8b-45bf-900a-f1e62b2fb7b1"/>
    <ds:schemaRef ds:uri="b2cc97df-4fd6-4886-8fba-cd2a78b584ea"/>
  </ds:schemaRefs>
</ds:datastoreItem>
</file>

<file path=customXml/itemProps2.xml><?xml version="1.0" encoding="utf-8"?>
<ds:datastoreItem xmlns:ds="http://schemas.openxmlformats.org/officeDocument/2006/customXml" ds:itemID="{DE16FCBE-59E7-4B33-8B57-13C9C87F5C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53DE39-C2AF-44E7-8139-B0954635E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09f3c-2a8b-45bf-900a-f1e62b2fb7b1"/>
    <ds:schemaRef ds:uri="b2cc97df-4fd6-4886-8fba-cd2a78b58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Rhiannon Fechney</cp:lastModifiedBy>
  <cp:revision>3</cp:revision>
  <dcterms:created xsi:type="dcterms:W3CDTF">2025-08-07T23:45:00Z</dcterms:created>
  <dcterms:modified xsi:type="dcterms:W3CDTF">2025-08-07T23:46:00Z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0x0101006DCBC47F92088941BE3958E7A904E7A6</vt:lpwstr>
  </property>
  <property fmtid="{D5CDD505-2E9C-101B-9397-08002B2CF9AE}" pid="3" name="MediaServiceImageTags">
    <vt:lpwstr/>
  </property>
</Properties>
</file>