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8DC3" w14:textId="3743C2E9" w:rsidR="008A0EBE" w:rsidRDefault="00DD59A3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Modelling Safe Routes to</w:t>
      </w:r>
      <w:r w:rsidR="00A0609A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School Framework</w:t>
      </w:r>
    </w:p>
    <w:p w14:paraId="0FB15A12" w14:textId="77777777" w:rsidR="00251437" w:rsidRPr="00251437" w:rsidRDefault="00251437" w:rsidP="00251437">
      <w:pPr>
        <w:rPr>
          <w:lang w:val="en-NZ" w:eastAsia="en-NZ"/>
        </w:rPr>
      </w:pPr>
    </w:p>
    <w:p w14:paraId="21D90B0E" w14:textId="77777777" w:rsidR="008A0EBE" w:rsidRPr="008A0EBE" w:rsidRDefault="008A0EBE" w:rsidP="008A0EBE">
      <w:pPr>
        <w:pStyle w:val="MDPI13authornames"/>
        <w:rPr>
          <w:rFonts w:ascii="Graphik Regular" w:hAnsi="Graphik Regular"/>
          <w:b w:val="0"/>
          <w:bCs/>
          <w:sz w:val="22"/>
        </w:rPr>
      </w:pPr>
      <w:r w:rsidRPr="008A0EBE">
        <w:rPr>
          <w:rFonts w:ascii="Graphik Regular" w:hAnsi="Graphik Regular"/>
          <w:b w:val="0"/>
          <w:bCs/>
          <w:sz w:val="22"/>
        </w:rPr>
        <w:t>Mohammad Lutfur Rahman, Antoni Moore, Melody Smith, John Lieswyn, Sandra Mandic</w:t>
      </w:r>
    </w:p>
    <w:p w14:paraId="1E89D980" w14:textId="77777777" w:rsidR="00DF7B85" w:rsidRPr="00DA3906" w:rsidRDefault="00A0609A" w:rsidP="008A0EBE">
      <w:pPr>
        <w:pStyle w:val="Heading1"/>
        <w:keepNext w:val="0"/>
        <w:spacing w:before="0" w:after="0"/>
        <w:rPr>
          <w:rFonts w:ascii="Fakt Pro Bln" w:hAnsi="Fakt Pro Bln" w:cs="Circular Std Book"/>
          <w:b w:val="0"/>
          <w:sz w:val="20"/>
          <w:szCs w:val="20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</w:t>
      </w:r>
    </w:p>
    <w:tbl>
      <w:tblPr>
        <w:tblpPr w:leftFromText="180" w:rightFromText="180" w:vertAnchor="text" w:horzAnchor="margin" w:tblpX="-270" w:tblpY="19"/>
        <w:tblOverlap w:val="never"/>
        <w:tblW w:w="103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8"/>
      </w:tblGrid>
      <w:tr w:rsidR="00E1599B" w:rsidRPr="00A1384F" w14:paraId="0308FB22" w14:textId="77777777" w:rsidTr="00251437">
        <w:trPr>
          <w:trHeight w:val="3780"/>
        </w:trPr>
        <w:tc>
          <w:tcPr>
            <w:tcW w:w="10388" w:type="dxa"/>
            <w:tcBorders>
              <w:bottom w:val="nil"/>
            </w:tcBorders>
            <w:shd w:val="clear" w:color="auto" w:fill="auto"/>
          </w:tcPr>
          <w:p w14:paraId="5AE7A099" w14:textId="5D992894" w:rsidR="00E1599B" w:rsidRPr="008C6FD7" w:rsidRDefault="00E1599B" w:rsidP="0081040C">
            <w:pPr>
              <w:pStyle w:val="MDPI17abstract"/>
              <w:rPr>
                <w:rFonts w:ascii="Graphik Regular" w:hAnsi="Graphik Regular" w:cs="Circular Std Book"/>
                <w:sz w:val="22"/>
              </w:rPr>
            </w:pPr>
            <w:r w:rsidRPr="008C6FD7">
              <w:rPr>
                <w:rFonts w:ascii="Graphik Regular" w:hAnsi="Graphik Regular"/>
                <w:sz w:val="22"/>
              </w:rPr>
              <w:t>Active transport to or from school present</w:t>
            </w:r>
            <w:r w:rsidR="00A61FAF" w:rsidRPr="008C6FD7">
              <w:rPr>
                <w:rFonts w:ascii="Graphik Regular" w:hAnsi="Graphik Regular"/>
                <w:sz w:val="22"/>
              </w:rPr>
              <w:t>s</w:t>
            </w:r>
            <w:r w:rsidRPr="008C6FD7">
              <w:rPr>
                <w:rFonts w:ascii="Graphik Regular" w:hAnsi="Graphik Regular"/>
                <w:sz w:val="22"/>
              </w:rPr>
              <w:t xml:space="preserve"> an opportunity for adolescents to engage in daily physical activity. Multiple factors influence whether adolescents actively travel to/from school. Creating safe walking and cycling routes to school is a promising strategy to increase rates of active transport. This article presents a comprehensive conceptual framework for modelling safe walking and cycling routes to high schools. The framework has been developed based on several existing relevant frameworks </w:t>
            </w:r>
            <w:r w:rsidR="006D3448" w:rsidRPr="008C6FD7">
              <w:rPr>
                <w:rFonts w:ascii="Graphik Regular" w:hAnsi="Graphik Regular"/>
                <w:sz w:val="22"/>
              </w:rPr>
              <w:t>including</w:t>
            </w:r>
            <w:r w:rsidRPr="008C6FD7">
              <w:rPr>
                <w:rFonts w:ascii="Graphik Regular" w:hAnsi="Graphik Regular"/>
                <w:sz w:val="22"/>
              </w:rPr>
              <w:t xml:space="preserve"> a) ecological models; b) the Five Es framework of transport planning; and c) </w:t>
            </w:r>
            <w:r w:rsidR="00D40B87" w:rsidRPr="008C6FD7">
              <w:rPr>
                <w:rFonts w:ascii="Graphik Regular" w:hAnsi="Graphik Regular"/>
                <w:sz w:val="22"/>
              </w:rPr>
              <w:t xml:space="preserve">a </w:t>
            </w:r>
            <w:r w:rsidRPr="008C6FD7">
              <w:rPr>
                <w:rFonts w:ascii="Graphik Regular" w:hAnsi="Graphik Regular"/>
                <w:sz w:val="22"/>
              </w:rPr>
              <w:t>travel mode choice framework for school travel.</w:t>
            </w:r>
            <w:bookmarkStart w:id="0" w:name="_Hlk37930347"/>
            <w:bookmarkStart w:id="1" w:name="_Hlk37841048"/>
            <w:r w:rsidR="00604AAB">
              <w:rPr>
                <w:rFonts w:ascii="Graphik Regular" w:hAnsi="Graphik Regular"/>
                <w:sz w:val="22"/>
              </w:rPr>
              <w:t xml:space="preserve"> </w:t>
            </w:r>
            <w:r w:rsidR="00DD59A3" w:rsidRPr="008C6FD7">
              <w:rPr>
                <w:rFonts w:ascii="Graphik Regular" w:hAnsi="Graphik Regular"/>
                <w:sz w:val="22"/>
              </w:rPr>
              <w:t>Those three frameworks were chosen as together they integrate: a) individual, social, environment, and policy factors that correlate with active transport to/from school in adolescents (ecological models),</w:t>
            </w:r>
            <w:r w:rsidR="00BF1C7D">
              <w:rPr>
                <w:rFonts w:ascii="Graphik Regular" w:hAnsi="Graphik Regular"/>
                <w:sz w:val="22"/>
              </w:rPr>
              <w:t xml:space="preserve"> </w:t>
            </w:r>
            <w:r w:rsidR="00DD59A3" w:rsidRPr="008C6FD7">
              <w:rPr>
                <w:rFonts w:ascii="Graphik Regular" w:hAnsi="Graphik Regular"/>
                <w:sz w:val="22"/>
              </w:rPr>
              <w:t>b)</w:t>
            </w:r>
            <w:r w:rsidR="00BF1C7D">
              <w:rPr>
                <w:rFonts w:ascii="Graphik Regular" w:hAnsi="Graphik Regular"/>
                <w:sz w:val="22"/>
              </w:rPr>
              <w:t xml:space="preserve"> </w:t>
            </w:r>
            <w:r w:rsidR="00DD59A3" w:rsidRPr="008C6FD7">
              <w:rPr>
                <w:rFonts w:ascii="Graphik Regular" w:hAnsi="Graphik Regular"/>
                <w:sz w:val="22"/>
              </w:rPr>
              <w:t>engineering, education, enforcement, encouragement and evaluation components used to design safe routes to school interventions to promote active transport to/from school among children (Five Es framework), and c) u</w:t>
            </w:r>
            <w:bookmarkStart w:id="2" w:name="_GoBack"/>
            <w:bookmarkEnd w:id="2"/>
            <w:r w:rsidR="00DD59A3" w:rsidRPr="008C6FD7">
              <w:rPr>
                <w:rFonts w:ascii="Graphik Regular" w:hAnsi="Graphik Regular"/>
                <w:sz w:val="22"/>
              </w:rPr>
              <w:t>rban form and mediating and moderating factors widely used to explore children’s school travel behaviour (Travel Mode Choice framework)</w:t>
            </w:r>
            <w:bookmarkEnd w:id="0"/>
            <w:r w:rsidR="00DD59A3" w:rsidRPr="008C6FD7">
              <w:rPr>
                <w:rFonts w:ascii="Graphik Regular" w:hAnsi="Graphik Regular"/>
                <w:sz w:val="22"/>
              </w:rPr>
              <w:t>.</w:t>
            </w:r>
            <w:bookmarkEnd w:id="1"/>
            <w:r w:rsidR="00DD59A3" w:rsidRPr="008C6FD7">
              <w:rPr>
                <w:rFonts w:ascii="Graphik Regular" w:hAnsi="Graphik Regular"/>
                <w:sz w:val="22"/>
              </w:rPr>
              <w:t xml:space="preserve"> </w:t>
            </w:r>
            <w:r w:rsidRPr="008C6FD7">
              <w:rPr>
                <w:rFonts w:ascii="Graphik Regular" w:hAnsi="Graphik Regular"/>
                <w:sz w:val="22"/>
              </w:rPr>
              <w:t xml:space="preserve">The </w:t>
            </w:r>
            <w:r w:rsidR="00DD59A3" w:rsidRPr="008C6FD7">
              <w:rPr>
                <w:rFonts w:ascii="Graphik Regular" w:hAnsi="Graphik Regular"/>
                <w:sz w:val="22"/>
              </w:rPr>
              <w:t xml:space="preserve">proposed </w:t>
            </w:r>
            <w:r w:rsidRPr="008C6FD7">
              <w:rPr>
                <w:rFonts w:ascii="Graphik Regular" w:hAnsi="Graphik Regular"/>
                <w:sz w:val="22"/>
              </w:rPr>
              <w:t xml:space="preserve">framework identifies built environment features (land use mix, pedestrian/cycling infrastructure, neighbourhood aesthetics, and accessibility to local facilities) and traffic safety factors (traffic volume and speed, safe road crossings, and quality of </w:t>
            </w:r>
            <w:r w:rsidR="002207BA" w:rsidRPr="008C6FD7">
              <w:rPr>
                <w:rFonts w:ascii="Graphik Regular" w:hAnsi="Graphik Regular"/>
                <w:sz w:val="22"/>
              </w:rPr>
              <w:t xml:space="preserve">path </w:t>
            </w:r>
            <w:r w:rsidRPr="008C6FD7">
              <w:rPr>
                <w:rFonts w:ascii="Graphik Regular" w:hAnsi="Graphik Regular"/>
                <w:sz w:val="22"/>
              </w:rPr>
              <w:t xml:space="preserve">surface) to be considered when modelling safe walking/cycling routes to high schools. Future research should test this framework using real-world data, in different geographical settings and with a combination of tools for assessment of both macro-scale and micro-scale built environment features. </w:t>
            </w:r>
          </w:p>
        </w:tc>
      </w:tr>
    </w:tbl>
    <w:p w14:paraId="0A96E9E6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9B616" w14:textId="77777777" w:rsidR="0018223D" w:rsidRDefault="0018223D">
      <w:r>
        <w:separator/>
      </w:r>
    </w:p>
  </w:endnote>
  <w:endnote w:type="continuationSeparator" w:id="0">
    <w:p w14:paraId="1CC7D5CF" w14:textId="77777777" w:rsidR="0018223D" w:rsidRDefault="0018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Times New Roma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0352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C420B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6588" w14:textId="77777777" w:rsidR="000036D2" w:rsidRDefault="00C56FE6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 wp14:anchorId="70E3A8C0" wp14:editId="68CDC5C8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987F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9EE6" w14:textId="77777777" w:rsidR="0018223D" w:rsidRDefault="0018223D">
      <w:r>
        <w:separator/>
      </w:r>
    </w:p>
  </w:footnote>
  <w:footnote w:type="continuationSeparator" w:id="0">
    <w:p w14:paraId="7B91AF90" w14:textId="77777777" w:rsidR="0018223D" w:rsidRDefault="0018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A2F8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AC29" w14:textId="77777777" w:rsidR="004F7FFB" w:rsidRDefault="00703B3C" w:rsidP="00703B3C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55950497" wp14:editId="50DE07F2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66F32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A68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pt;height:83.25pt" o:bullet="t">
        <v:imagedata r:id="rId1" o:title="Bullet Point"/>
      </v:shape>
    </w:pict>
  </w:numPicBullet>
  <w:numPicBullet w:numPicBulletId="1">
    <w:pict>
      <v:shape id="_x0000_i1037" type="#_x0000_t75" style="width:177pt;height:169.5pt" o:bullet="t">
        <v:imagedata r:id="rId2" o:title="Conf-Icon"/>
      </v:shape>
    </w:pict>
  </w:numPicBullet>
  <w:numPicBullet w:numPicBulletId="2">
    <w:pict>
      <v:shape id="_x0000_i1038" type="#_x0000_t75" style="width:151.5pt;height:144.75pt" o:bullet="t">
        <v:imagedata r:id="rId3" o:title="Conf-Icon"/>
      </v:shape>
    </w:pict>
  </w:numPicBullet>
  <w:numPicBullet w:numPicBulletId="3">
    <w:pict>
      <v:shape id="_x0000_i1039" type="#_x0000_t75" style="width:123pt;height:112.5pt" o:bullet="t">
        <v:imagedata r:id="rId4" o:title="Bullet Point"/>
      </v:shape>
    </w:pict>
  </w:numPicBullet>
  <w:numPicBullet w:numPicBulletId="4">
    <w:pict>
      <v:shape id="_x0000_i104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zQxMzcxMjUHspR0lIJTi4sz8/NACsxqAc8mZ90sAAAA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09C0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4A44"/>
    <w:rsid w:val="00146C49"/>
    <w:rsid w:val="0016393A"/>
    <w:rsid w:val="0016453E"/>
    <w:rsid w:val="00175439"/>
    <w:rsid w:val="0018223D"/>
    <w:rsid w:val="00186382"/>
    <w:rsid w:val="001939D5"/>
    <w:rsid w:val="001A3ADA"/>
    <w:rsid w:val="001B43BA"/>
    <w:rsid w:val="001D1D51"/>
    <w:rsid w:val="001E13F8"/>
    <w:rsid w:val="002039A9"/>
    <w:rsid w:val="00207D5C"/>
    <w:rsid w:val="002105D6"/>
    <w:rsid w:val="00212E78"/>
    <w:rsid w:val="002207BA"/>
    <w:rsid w:val="00224D23"/>
    <w:rsid w:val="002336F0"/>
    <w:rsid w:val="00251437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E7F17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57B1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84F4C"/>
    <w:rsid w:val="004A1D7F"/>
    <w:rsid w:val="004D3753"/>
    <w:rsid w:val="004D6306"/>
    <w:rsid w:val="004E3E11"/>
    <w:rsid w:val="004E4B6D"/>
    <w:rsid w:val="004E754A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53BE"/>
    <w:rsid w:val="005C31CE"/>
    <w:rsid w:val="005D75C6"/>
    <w:rsid w:val="005E35E4"/>
    <w:rsid w:val="005F69B7"/>
    <w:rsid w:val="0060147A"/>
    <w:rsid w:val="006029B3"/>
    <w:rsid w:val="00604AAB"/>
    <w:rsid w:val="00606880"/>
    <w:rsid w:val="0061707E"/>
    <w:rsid w:val="0064041B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3448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446D"/>
    <w:rsid w:val="007D1481"/>
    <w:rsid w:val="007E7468"/>
    <w:rsid w:val="007F5CD2"/>
    <w:rsid w:val="0081040C"/>
    <w:rsid w:val="0081400B"/>
    <w:rsid w:val="00817D3F"/>
    <w:rsid w:val="00825071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0EBE"/>
    <w:rsid w:val="008B35C8"/>
    <w:rsid w:val="008B4CFD"/>
    <w:rsid w:val="008B73EB"/>
    <w:rsid w:val="008C0D74"/>
    <w:rsid w:val="008C5194"/>
    <w:rsid w:val="008C6FD7"/>
    <w:rsid w:val="008D5CAB"/>
    <w:rsid w:val="008F1855"/>
    <w:rsid w:val="009019AA"/>
    <w:rsid w:val="00904A18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27061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0609A"/>
    <w:rsid w:val="00A110A0"/>
    <w:rsid w:val="00A1384F"/>
    <w:rsid w:val="00A13A39"/>
    <w:rsid w:val="00A17E7D"/>
    <w:rsid w:val="00A21E9C"/>
    <w:rsid w:val="00A2420B"/>
    <w:rsid w:val="00A323BB"/>
    <w:rsid w:val="00A3577C"/>
    <w:rsid w:val="00A43D01"/>
    <w:rsid w:val="00A460EC"/>
    <w:rsid w:val="00A61FAF"/>
    <w:rsid w:val="00A625C3"/>
    <w:rsid w:val="00A70504"/>
    <w:rsid w:val="00A80591"/>
    <w:rsid w:val="00A8246A"/>
    <w:rsid w:val="00A857AD"/>
    <w:rsid w:val="00AA02A4"/>
    <w:rsid w:val="00AA16D9"/>
    <w:rsid w:val="00AA2696"/>
    <w:rsid w:val="00AA506C"/>
    <w:rsid w:val="00AB1096"/>
    <w:rsid w:val="00AB12D5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0155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BF1C7D"/>
    <w:rsid w:val="00C03574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0B87"/>
    <w:rsid w:val="00D63EA2"/>
    <w:rsid w:val="00D719B5"/>
    <w:rsid w:val="00D73AF4"/>
    <w:rsid w:val="00D7455A"/>
    <w:rsid w:val="00D835B0"/>
    <w:rsid w:val="00D87B29"/>
    <w:rsid w:val="00DA3906"/>
    <w:rsid w:val="00DD59A3"/>
    <w:rsid w:val="00DE685C"/>
    <w:rsid w:val="00DF4D41"/>
    <w:rsid w:val="00DF7B85"/>
    <w:rsid w:val="00E01C1C"/>
    <w:rsid w:val="00E103C0"/>
    <w:rsid w:val="00E1178B"/>
    <w:rsid w:val="00E13F4B"/>
    <w:rsid w:val="00E1599B"/>
    <w:rsid w:val="00E20231"/>
    <w:rsid w:val="00E273FE"/>
    <w:rsid w:val="00E3138F"/>
    <w:rsid w:val="00E43309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F0F1D"/>
  <w15:docId w15:val="{1CAEE30F-3908-4CCB-B9E4-0B043E22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MDPI13authornames">
    <w:name w:val="MDPI_1.3_authornames"/>
    <w:next w:val="Normal"/>
    <w:qFormat/>
    <w:rsid w:val="008A0EBE"/>
    <w:pPr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7abstract">
    <w:name w:val="MDPI_1.7_abstract"/>
    <w:next w:val="Normal"/>
    <w:link w:val="MDPI17abstractChar"/>
    <w:qFormat/>
    <w:rsid w:val="008A0EBE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character" w:customStyle="1" w:styleId="MDPI17abstractChar">
    <w:name w:val="MDPI_1.7_abstract Char"/>
    <w:basedOn w:val="DefaultParagraphFont"/>
    <w:link w:val="MDPI17abstract"/>
    <w:rsid w:val="008A0EBE"/>
    <w:rPr>
      <w:rFonts w:ascii="Palatino Linotype" w:eastAsia="Times New Roman" w:hAnsi="Palatino Linotype"/>
      <w:color w:val="00000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792CD-63A4-4AF5-9501-80761AE1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Lutfur</cp:lastModifiedBy>
  <cp:revision>7</cp:revision>
  <cp:lastPrinted>2017-09-24T23:53:00Z</cp:lastPrinted>
  <dcterms:created xsi:type="dcterms:W3CDTF">2020-04-30T02:10:00Z</dcterms:created>
  <dcterms:modified xsi:type="dcterms:W3CDTF">2020-04-30T08:37:00Z</dcterms:modified>
</cp:coreProperties>
</file>