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74B0C" w14:textId="27097DAF" w:rsidR="00714297" w:rsidRPr="00F37C39" w:rsidRDefault="003D2ECB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EEEEEE"/>
        </w:rPr>
        <w:t>An equity lens on transport decarbonisation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5025273E" w14:textId="77777777" w:rsidR="00BC3C1D" w:rsidRDefault="003D2ECB" w:rsidP="003D2ECB">
            <w:pPr>
              <w:pStyle w:val="BodyText"/>
              <w:spacing w:before="114" w:line="232" w:lineRule="auto"/>
              <w:rPr>
                <w:rFonts w:asciiTheme="minorHAnsi" w:hAnsiTheme="minorHAnsi" w:cstheme="minorHAnsi"/>
                <w:color w:val="231F20"/>
                <w:spacing w:val="-3"/>
              </w:rPr>
            </w:pPr>
            <w:r>
              <w:rPr>
                <w:rFonts w:asciiTheme="minorHAnsi" w:hAnsiTheme="minorHAnsi" w:cstheme="minorHAnsi"/>
                <w:color w:val="231F20"/>
                <w:spacing w:val="-3"/>
              </w:rPr>
              <w:t>Transport decarbonisation should be considered with an equity lens</w:t>
            </w:r>
            <w:r w:rsidRPr="00C25AA0">
              <w:rPr>
                <w:rFonts w:asciiTheme="minorHAnsi" w:hAnsiTheme="minorHAnsi" w:cstheme="minorHAnsi"/>
                <w:color w:val="231F20"/>
              </w:rPr>
              <w:t xml:space="preserve">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 xml:space="preserve">if policy </w:t>
            </w:r>
            <w:r w:rsidRPr="00C25AA0">
              <w:rPr>
                <w:rFonts w:asciiTheme="minorHAnsi" w:hAnsiTheme="minorHAnsi" w:cstheme="minorHAnsi"/>
                <w:color w:val="231F20"/>
              </w:rPr>
              <w:t xml:space="preserve">and </w:t>
            </w:r>
            <w:r w:rsidRPr="00C25AA0">
              <w:rPr>
                <w:rFonts w:asciiTheme="minorHAnsi" w:hAnsiTheme="minorHAnsi" w:cstheme="minorHAnsi"/>
                <w:color w:val="231F20"/>
                <w:spacing w:val="-4"/>
              </w:rPr>
              <w:t xml:space="preserve">investment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 xml:space="preserve">are </w:t>
            </w:r>
            <w:r>
              <w:rPr>
                <w:rFonts w:asciiTheme="minorHAnsi" w:hAnsiTheme="minorHAnsi" w:cstheme="minorHAnsi"/>
                <w:color w:val="231F20"/>
                <w:spacing w:val="-3"/>
              </w:rPr>
              <w:t xml:space="preserve">intended to </w:t>
            </w:r>
            <w:r>
              <w:rPr>
                <w:rFonts w:asciiTheme="minorHAnsi" w:hAnsiTheme="minorHAnsi" w:cstheme="minorHAnsi"/>
                <w:color w:val="231F20"/>
                <w:spacing w:val="-5"/>
              </w:rPr>
              <w:t xml:space="preserve">improve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>wellbeing</w:t>
            </w:r>
            <w:r>
              <w:rPr>
                <w:rFonts w:asciiTheme="minorHAnsi" w:hAnsiTheme="minorHAnsi" w:cstheme="minorHAnsi"/>
                <w:color w:val="231F20"/>
                <w:spacing w:val="-3"/>
              </w:rPr>
              <w:t xml:space="preserve"> for all people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>.</w:t>
            </w:r>
            <w:r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 xml:space="preserve">Both </w:t>
            </w:r>
            <w:r w:rsidRPr="00C25AA0">
              <w:rPr>
                <w:rFonts w:asciiTheme="minorHAnsi" w:hAnsiTheme="minorHAnsi" w:cstheme="minorHAnsi"/>
                <w:color w:val="231F20"/>
              </w:rPr>
              <w:t xml:space="preserve">transport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 xml:space="preserve">disadvantage </w:t>
            </w:r>
            <w:r>
              <w:rPr>
                <w:rFonts w:asciiTheme="minorHAnsi" w:hAnsiTheme="minorHAnsi" w:cstheme="minorHAnsi"/>
                <w:color w:val="231F20"/>
                <w:spacing w:val="-3"/>
              </w:rPr>
              <w:t xml:space="preserve">(lack of choices) </w:t>
            </w:r>
            <w:r w:rsidRPr="00C25AA0">
              <w:rPr>
                <w:rFonts w:asciiTheme="minorHAnsi" w:hAnsiTheme="minorHAnsi" w:cstheme="minorHAnsi"/>
                <w:color w:val="231F20"/>
              </w:rPr>
              <w:t xml:space="preserve">and transport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 xml:space="preserve">poverty </w:t>
            </w:r>
            <w:r>
              <w:rPr>
                <w:rFonts w:asciiTheme="minorHAnsi" w:hAnsiTheme="minorHAnsi" w:cstheme="minorHAnsi"/>
                <w:color w:val="231F20"/>
                <w:spacing w:val="-3"/>
              </w:rPr>
              <w:t xml:space="preserve">(unaffordability related to forced expenditure on transport)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 xml:space="preserve">are apparent all around </w:t>
            </w:r>
            <w:r w:rsidRPr="00C25AA0">
              <w:rPr>
                <w:rFonts w:asciiTheme="minorHAnsi" w:hAnsiTheme="minorHAnsi" w:cstheme="minorHAnsi"/>
                <w:color w:val="231F20"/>
              </w:rPr>
              <w:t xml:space="preserve">the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>world</w:t>
            </w:r>
            <w:r>
              <w:rPr>
                <w:rFonts w:asciiTheme="minorHAnsi" w:hAnsiTheme="minorHAnsi" w:cstheme="minorHAnsi"/>
                <w:color w:val="231F20"/>
                <w:spacing w:val="-3"/>
              </w:rPr>
              <w:t>, including in Auckland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 xml:space="preserve">. </w:t>
            </w:r>
            <w:r w:rsidRPr="00C25AA0">
              <w:rPr>
                <w:rFonts w:asciiTheme="minorHAnsi" w:hAnsiTheme="minorHAnsi" w:cstheme="minorHAnsi"/>
                <w:color w:val="231F20"/>
              </w:rPr>
              <w:t xml:space="preserve">Some </w:t>
            </w:r>
            <w:r w:rsidRPr="00C25AA0">
              <w:rPr>
                <w:rFonts w:asciiTheme="minorHAnsi" w:hAnsiTheme="minorHAnsi" w:cstheme="minorHAnsi"/>
                <w:color w:val="231F20"/>
                <w:spacing w:val="-4"/>
              </w:rPr>
              <w:t xml:space="preserve">groups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 xml:space="preserve">of </w:t>
            </w:r>
            <w:r w:rsidRPr="00C25AA0">
              <w:rPr>
                <w:rFonts w:asciiTheme="minorHAnsi" w:hAnsiTheme="minorHAnsi" w:cstheme="minorHAnsi"/>
                <w:color w:val="231F20"/>
              </w:rPr>
              <w:t xml:space="preserve">people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 xml:space="preserve">are </w:t>
            </w:r>
            <w:r w:rsidRPr="00C25AA0">
              <w:rPr>
                <w:rFonts w:asciiTheme="minorHAnsi" w:hAnsiTheme="minorHAnsi" w:cstheme="minorHAnsi"/>
                <w:color w:val="231F20"/>
                <w:spacing w:val="-4"/>
              </w:rPr>
              <w:t xml:space="preserve">known </w:t>
            </w:r>
            <w:r w:rsidRPr="00C25AA0">
              <w:rPr>
                <w:rFonts w:asciiTheme="minorHAnsi" w:hAnsiTheme="minorHAnsi" w:cstheme="minorHAnsi"/>
                <w:color w:val="231F20"/>
                <w:spacing w:val="-5"/>
              </w:rPr>
              <w:t xml:space="preserve">to </w:t>
            </w:r>
            <w:r w:rsidRPr="00C25AA0">
              <w:rPr>
                <w:rFonts w:asciiTheme="minorHAnsi" w:hAnsiTheme="minorHAnsi" w:cstheme="minorHAnsi"/>
                <w:color w:val="231F20"/>
              </w:rPr>
              <w:t xml:space="preserve">find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 xml:space="preserve">it more difficult than others </w:t>
            </w:r>
            <w:r w:rsidRPr="00C25AA0">
              <w:rPr>
                <w:rFonts w:asciiTheme="minorHAnsi" w:hAnsiTheme="minorHAnsi" w:cstheme="minorHAnsi"/>
                <w:color w:val="231F20"/>
                <w:spacing w:val="-5"/>
              </w:rPr>
              <w:t xml:space="preserve">to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>access</w:t>
            </w:r>
            <w:r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C25AA0">
              <w:rPr>
                <w:rFonts w:asciiTheme="minorHAnsi" w:hAnsiTheme="minorHAnsi" w:cstheme="minorHAnsi"/>
                <w:color w:val="231F20"/>
              </w:rPr>
              <w:t xml:space="preserve">transport </w:t>
            </w:r>
            <w:r w:rsidRPr="00C25AA0">
              <w:rPr>
                <w:rFonts w:asciiTheme="minorHAnsi" w:hAnsiTheme="minorHAnsi" w:cstheme="minorHAnsi"/>
                <w:color w:val="231F20"/>
                <w:spacing w:val="-5"/>
              </w:rPr>
              <w:t>safely</w:t>
            </w:r>
            <w:r>
              <w:rPr>
                <w:rFonts w:asciiTheme="minorHAnsi" w:hAnsiTheme="minorHAnsi" w:cstheme="minorHAnsi"/>
                <w:color w:val="231F20"/>
                <w:spacing w:val="-5"/>
              </w:rPr>
              <w:t xml:space="preserve"> and easily</w:t>
            </w:r>
            <w:r w:rsidRPr="00C25AA0">
              <w:rPr>
                <w:rFonts w:asciiTheme="minorHAnsi" w:hAnsiTheme="minorHAnsi" w:cstheme="minorHAnsi"/>
                <w:color w:val="231F20"/>
                <w:spacing w:val="-5"/>
              </w:rPr>
              <w:t xml:space="preserve">.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 xml:space="preserve">Groups </w:t>
            </w:r>
            <w:r w:rsidRPr="00C25AA0">
              <w:rPr>
                <w:rFonts w:asciiTheme="minorHAnsi" w:hAnsiTheme="minorHAnsi" w:cstheme="minorHAnsi"/>
                <w:color w:val="231F20"/>
                <w:spacing w:val="-5"/>
              </w:rPr>
              <w:t xml:space="preserve">investigated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 xml:space="preserve">for </w:t>
            </w:r>
            <w:r w:rsidRPr="00C25AA0">
              <w:rPr>
                <w:rFonts w:asciiTheme="minorHAnsi" w:hAnsiTheme="minorHAnsi" w:cstheme="minorHAnsi"/>
                <w:color w:val="231F20"/>
                <w:spacing w:val="-4"/>
              </w:rPr>
              <w:t xml:space="preserve">this </w:t>
            </w:r>
            <w:r>
              <w:rPr>
                <w:rFonts w:asciiTheme="minorHAnsi" w:hAnsiTheme="minorHAnsi" w:cstheme="minorHAnsi"/>
                <w:color w:val="231F20"/>
              </w:rPr>
              <w:t>work</w:t>
            </w:r>
            <w:r w:rsidRPr="00C25AA0">
              <w:rPr>
                <w:rFonts w:asciiTheme="minorHAnsi" w:hAnsiTheme="minorHAnsi" w:cstheme="minorHAnsi"/>
                <w:color w:val="231F20"/>
              </w:rPr>
              <w:t xml:space="preserve">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 xml:space="preserve">include </w:t>
            </w:r>
            <w:r>
              <w:rPr>
                <w:rFonts w:asciiTheme="minorHAnsi" w:hAnsiTheme="minorHAnsi" w:cstheme="minorHAnsi"/>
                <w:color w:val="231F20"/>
                <w:spacing w:val="-3"/>
              </w:rPr>
              <w:t xml:space="preserve">Māori;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 xml:space="preserve">women; </w:t>
            </w:r>
            <w:r w:rsidRPr="00C25AA0">
              <w:rPr>
                <w:rFonts w:asciiTheme="minorHAnsi" w:hAnsiTheme="minorHAnsi" w:cstheme="minorHAnsi"/>
                <w:color w:val="231F20"/>
              </w:rPr>
              <w:t xml:space="preserve">the </w:t>
            </w:r>
            <w:r w:rsidRPr="00C25AA0">
              <w:rPr>
                <w:rFonts w:asciiTheme="minorHAnsi" w:hAnsiTheme="minorHAnsi" w:cstheme="minorHAnsi"/>
                <w:color w:val="231F20"/>
                <w:spacing w:val="-6"/>
              </w:rPr>
              <w:t xml:space="preserve">LGBTQI+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 xml:space="preserve">community; disabled </w:t>
            </w:r>
            <w:r w:rsidRPr="00C25AA0">
              <w:rPr>
                <w:rFonts w:asciiTheme="minorHAnsi" w:hAnsiTheme="minorHAnsi" w:cstheme="minorHAnsi"/>
                <w:color w:val="231F20"/>
              </w:rPr>
              <w:t xml:space="preserve">people; </w:t>
            </w:r>
            <w:r>
              <w:rPr>
                <w:rFonts w:asciiTheme="minorHAnsi" w:hAnsiTheme="minorHAnsi" w:cstheme="minorHAnsi"/>
                <w:color w:val="231F20"/>
                <w:spacing w:val="-3"/>
              </w:rPr>
              <w:t>older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C25AA0">
              <w:rPr>
                <w:rFonts w:asciiTheme="minorHAnsi" w:hAnsiTheme="minorHAnsi" w:cstheme="minorHAnsi"/>
                <w:color w:val="231F20"/>
              </w:rPr>
              <w:t xml:space="preserve">people;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 xml:space="preserve">ethnic </w:t>
            </w:r>
            <w:r w:rsidRPr="00C25AA0">
              <w:rPr>
                <w:rFonts w:asciiTheme="minorHAnsi" w:hAnsiTheme="minorHAnsi" w:cstheme="minorHAnsi"/>
                <w:color w:val="231F20"/>
                <w:spacing w:val="-4"/>
              </w:rPr>
              <w:t xml:space="preserve">minorities; </w:t>
            </w:r>
            <w:r w:rsidRPr="00C25AA0">
              <w:rPr>
                <w:rFonts w:asciiTheme="minorHAnsi" w:hAnsiTheme="minorHAnsi" w:cstheme="minorHAnsi"/>
                <w:color w:val="231F20"/>
              </w:rPr>
              <w:t xml:space="preserve">and </w:t>
            </w:r>
            <w:r w:rsidRPr="00C25AA0">
              <w:rPr>
                <w:rFonts w:asciiTheme="minorHAnsi" w:hAnsiTheme="minorHAnsi" w:cstheme="minorHAnsi"/>
                <w:color w:val="231F20"/>
                <w:spacing w:val="-4"/>
              </w:rPr>
              <w:t xml:space="preserve">low-income </w:t>
            </w:r>
            <w:r w:rsidRPr="00C25AA0">
              <w:rPr>
                <w:rFonts w:asciiTheme="minorHAnsi" w:hAnsiTheme="minorHAnsi" w:cstheme="minorHAnsi"/>
                <w:color w:val="231F20"/>
                <w:spacing w:val="-3"/>
              </w:rPr>
              <w:t>groups.</w:t>
            </w:r>
          </w:p>
          <w:p w14:paraId="324C38A8" w14:textId="48CE3570" w:rsidR="003D2ECB" w:rsidRDefault="00BC3C1D" w:rsidP="003D2ECB">
            <w:pPr>
              <w:pStyle w:val="BodyText"/>
              <w:spacing w:before="114" w:line="232" w:lineRule="auto"/>
              <w:rPr>
                <w:rFonts w:asciiTheme="minorHAnsi" w:hAnsiTheme="minorHAnsi" w:cstheme="minorHAnsi"/>
                <w:color w:val="231F20"/>
              </w:rPr>
            </w:pPr>
            <w:r>
              <w:rPr>
                <w:rFonts w:asciiTheme="minorHAnsi" w:hAnsiTheme="minorHAnsi" w:cstheme="minorHAnsi"/>
                <w:color w:val="231F20"/>
                <w:spacing w:val="-3"/>
              </w:rPr>
              <w:t xml:space="preserve">This research, commissioned by the Auckland Policy Office of the Ministry of Transport, </w:t>
            </w:r>
            <w:r w:rsidR="003D2ECB">
              <w:rPr>
                <w:rFonts w:asciiTheme="minorHAnsi" w:hAnsiTheme="minorHAnsi" w:cstheme="minorHAnsi"/>
                <w:color w:val="231F20"/>
                <w:spacing w:val="-4"/>
              </w:rPr>
              <w:t>involv</w:t>
            </w:r>
            <w:r>
              <w:rPr>
                <w:rFonts w:asciiTheme="minorHAnsi" w:hAnsiTheme="minorHAnsi" w:cstheme="minorHAnsi"/>
                <w:color w:val="231F20"/>
                <w:spacing w:val="-4"/>
              </w:rPr>
              <w:t>ed a</w:t>
            </w:r>
            <w:r w:rsidR="003D2ECB">
              <w:rPr>
                <w:rFonts w:asciiTheme="minorHAnsi" w:hAnsiTheme="minorHAnsi" w:cstheme="minorHAnsi"/>
                <w:color w:val="231F20"/>
                <w:spacing w:val="-4"/>
              </w:rPr>
              <w:t xml:space="preserve"> literature review and interviews with non-government organisations </w:t>
            </w:r>
            <w:r>
              <w:rPr>
                <w:rFonts w:asciiTheme="minorHAnsi" w:hAnsiTheme="minorHAnsi" w:cstheme="minorHAnsi"/>
                <w:color w:val="231F20"/>
                <w:spacing w:val="-4"/>
              </w:rPr>
              <w:t xml:space="preserve">to investigate equity in Auckland’s transport system. It </w:t>
            </w:r>
            <w:r w:rsidR="003D2ECB">
              <w:rPr>
                <w:rFonts w:asciiTheme="minorHAnsi" w:hAnsiTheme="minorHAnsi" w:cstheme="minorHAnsi"/>
                <w:color w:val="231F20"/>
                <w:spacing w:val="-4"/>
              </w:rPr>
              <w:t>concluded that</w:t>
            </w:r>
            <w:r w:rsidR="003D2ECB" w:rsidRPr="00A0561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pacing w:val="-3"/>
              </w:rPr>
              <w:t>low-income people face the toughest challenges accessing and affording transport, and there are problems with access and personal security for other groups</w:t>
            </w:r>
            <w:r w:rsidR="003D2ECB">
              <w:rPr>
                <w:rFonts w:asciiTheme="minorHAnsi" w:hAnsiTheme="minorHAnsi" w:cstheme="minorHAnsi"/>
                <w:color w:val="231F20"/>
              </w:rPr>
              <w:t>.</w:t>
            </w:r>
          </w:p>
          <w:p w14:paraId="4CC9ADD1" w14:textId="77777777" w:rsidR="00BC3C1D" w:rsidRDefault="003D2ECB" w:rsidP="003D2ECB">
            <w:pPr>
              <w:pStyle w:val="BodyText"/>
              <w:spacing w:before="114" w:line="232" w:lineRule="auto"/>
              <w:rPr>
                <w:rFonts w:asciiTheme="minorHAnsi" w:hAnsiTheme="minorHAnsi" w:cstheme="minorHAnsi"/>
                <w:color w:val="231F20"/>
                <w:spacing w:val="-4"/>
              </w:rPr>
            </w:pPr>
            <w:r>
              <w:rPr>
                <w:rFonts w:asciiTheme="minorHAnsi" w:hAnsiTheme="minorHAnsi" w:cstheme="minorHAnsi"/>
                <w:color w:val="231F20"/>
              </w:rPr>
              <w:t>Many</w:t>
            </w:r>
            <w:r w:rsidRPr="00A0561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people seeking </w:t>
            </w:r>
            <w:r w:rsidRPr="00A0561E">
              <w:rPr>
                <w:rFonts w:asciiTheme="minorHAnsi" w:hAnsiTheme="minorHAnsi" w:cstheme="minorHAnsi"/>
                <w:color w:val="231F20"/>
                <w:spacing w:val="-4"/>
              </w:rPr>
              <w:t xml:space="preserve">advice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or </w:t>
            </w:r>
            <w:r w:rsidRPr="00A0561E">
              <w:rPr>
                <w:rFonts w:asciiTheme="minorHAnsi" w:hAnsiTheme="minorHAnsi" w:cstheme="minorHAnsi"/>
                <w:color w:val="231F20"/>
                <w:spacing w:val="-3"/>
              </w:rPr>
              <w:t xml:space="preserve">social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support in </w:t>
            </w:r>
            <w:r w:rsidRPr="00A0561E">
              <w:rPr>
                <w:rFonts w:asciiTheme="minorHAnsi" w:hAnsiTheme="minorHAnsi" w:cstheme="minorHAnsi"/>
                <w:color w:val="231F20"/>
                <w:spacing w:val="-3"/>
              </w:rPr>
              <w:t xml:space="preserve">Auckland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find </w:t>
            </w:r>
            <w:r w:rsidRPr="00A0561E">
              <w:rPr>
                <w:rFonts w:asciiTheme="minorHAnsi" w:hAnsiTheme="minorHAnsi" w:cstheme="minorHAnsi"/>
                <w:color w:val="231F20"/>
                <w:spacing w:val="-3"/>
              </w:rPr>
              <w:t xml:space="preserve">it difficult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and </w:t>
            </w:r>
            <w:r w:rsidRPr="00A0561E">
              <w:rPr>
                <w:rFonts w:asciiTheme="minorHAnsi" w:hAnsiTheme="minorHAnsi" w:cstheme="minorHAnsi"/>
                <w:color w:val="231F20"/>
                <w:spacing w:val="-4"/>
              </w:rPr>
              <w:t xml:space="preserve">expensive </w:t>
            </w:r>
            <w:r w:rsidRPr="00A0561E">
              <w:rPr>
                <w:rFonts w:asciiTheme="minorHAnsi" w:hAnsiTheme="minorHAnsi" w:cstheme="minorHAnsi"/>
                <w:color w:val="231F20"/>
                <w:spacing w:val="-5"/>
              </w:rPr>
              <w:t xml:space="preserve">to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get </w:t>
            </w:r>
            <w:r w:rsidRPr="00A0561E">
              <w:rPr>
                <w:rFonts w:asciiTheme="minorHAnsi" w:hAnsiTheme="minorHAnsi" w:cstheme="minorHAnsi"/>
                <w:color w:val="231F20"/>
                <w:spacing w:val="-3"/>
              </w:rPr>
              <w:t xml:space="preserve">around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the </w:t>
            </w:r>
            <w:r w:rsidRPr="00A0561E">
              <w:rPr>
                <w:rFonts w:asciiTheme="minorHAnsi" w:hAnsiTheme="minorHAnsi" w:cstheme="minorHAnsi"/>
                <w:color w:val="231F20"/>
                <w:spacing w:val="-5"/>
              </w:rPr>
              <w:t xml:space="preserve">city. </w:t>
            </w:r>
            <w:r>
              <w:rPr>
                <w:rFonts w:asciiTheme="minorHAnsi" w:hAnsiTheme="minorHAnsi" w:cstheme="minorHAnsi"/>
                <w:color w:val="231F20"/>
                <w:spacing w:val="-3"/>
              </w:rPr>
              <w:t>They</w:t>
            </w:r>
            <w:r w:rsidRPr="00A0561E">
              <w:rPr>
                <w:rFonts w:asciiTheme="minorHAnsi" w:hAnsiTheme="minorHAnsi" w:cstheme="minorHAnsi"/>
                <w:color w:val="231F20"/>
                <w:spacing w:val="-3"/>
              </w:rPr>
              <w:t xml:space="preserve"> consider it essential </w:t>
            </w:r>
            <w:r w:rsidRPr="00A0561E">
              <w:rPr>
                <w:rFonts w:asciiTheme="minorHAnsi" w:hAnsiTheme="minorHAnsi" w:cstheme="minorHAnsi"/>
                <w:color w:val="231F20"/>
                <w:spacing w:val="-5"/>
              </w:rPr>
              <w:t xml:space="preserve">to own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a </w:t>
            </w:r>
            <w:r w:rsidRPr="00A0561E">
              <w:rPr>
                <w:rFonts w:asciiTheme="minorHAnsi" w:hAnsiTheme="minorHAnsi" w:cstheme="minorHAnsi"/>
                <w:color w:val="231F20"/>
                <w:spacing w:val="-6"/>
              </w:rPr>
              <w:t>car</w:t>
            </w:r>
            <w:r w:rsidR="00BC3C1D">
              <w:rPr>
                <w:rFonts w:asciiTheme="minorHAnsi" w:hAnsiTheme="minorHAnsi" w:cstheme="minorHAnsi"/>
                <w:color w:val="231F20"/>
                <w:spacing w:val="-6"/>
              </w:rPr>
              <w:t xml:space="preserve"> when other options do not work well</w:t>
            </w:r>
            <w:r>
              <w:rPr>
                <w:rFonts w:asciiTheme="minorHAnsi" w:hAnsiTheme="minorHAnsi" w:cstheme="minorHAnsi"/>
                <w:color w:val="231F20"/>
              </w:rPr>
              <w:t xml:space="preserve">. </w:t>
            </w:r>
            <w:r w:rsidRPr="00A0561E">
              <w:rPr>
                <w:rFonts w:asciiTheme="minorHAnsi" w:hAnsiTheme="minorHAnsi" w:cstheme="minorHAnsi"/>
                <w:color w:val="231F20"/>
                <w:spacing w:val="-5"/>
              </w:rPr>
              <w:t xml:space="preserve">Work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and </w:t>
            </w:r>
            <w:r w:rsidRPr="00A0561E">
              <w:rPr>
                <w:rFonts w:asciiTheme="minorHAnsi" w:hAnsiTheme="minorHAnsi" w:cstheme="minorHAnsi"/>
                <w:color w:val="231F20"/>
                <w:spacing w:val="-3"/>
              </w:rPr>
              <w:t xml:space="preserve">other </w:t>
            </w:r>
            <w:r w:rsidRPr="00A0561E">
              <w:rPr>
                <w:rFonts w:asciiTheme="minorHAnsi" w:hAnsiTheme="minorHAnsi" w:cstheme="minorHAnsi"/>
                <w:color w:val="231F20"/>
                <w:spacing w:val="-4"/>
              </w:rPr>
              <w:t xml:space="preserve">activities </w:t>
            </w:r>
            <w:r w:rsidRPr="00A0561E">
              <w:rPr>
                <w:rFonts w:asciiTheme="minorHAnsi" w:hAnsiTheme="minorHAnsi" w:cstheme="minorHAnsi"/>
                <w:color w:val="231F20"/>
                <w:spacing w:val="-3"/>
              </w:rPr>
              <w:t xml:space="preserve">are not </w:t>
            </w:r>
            <w:r w:rsidRPr="00A0561E">
              <w:rPr>
                <w:rFonts w:asciiTheme="minorHAnsi" w:hAnsiTheme="minorHAnsi" w:cstheme="minorHAnsi"/>
                <w:color w:val="231F20"/>
                <w:spacing w:val="-4"/>
              </w:rPr>
              <w:t xml:space="preserve">close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enough </w:t>
            </w:r>
            <w:r w:rsidRPr="00A0561E">
              <w:rPr>
                <w:rFonts w:asciiTheme="minorHAnsi" w:hAnsiTheme="minorHAnsi" w:cstheme="minorHAnsi"/>
                <w:color w:val="231F20"/>
                <w:spacing w:val="-5"/>
              </w:rPr>
              <w:t xml:space="preserve">to </w:t>
            </w:r>
            <w:r w:rsidRPr="00A0561E">
              <w:rPr>
                <w:rFonts w:asciiTheme="minorHAnsi" w:hAnsiTheme="minorHAnsi" w:cstheme="minorHAnsi"/>
                <w:color w:val="231F20"/>
                <w:spacing w:val="-3"/>
              </w:rPr>
              <w:t xml:space="preserve">walk </w:t>
            </w:r>
            <w:r w:rsidRPr="00A0561E">
              <w:rPr>
                <w:rFonts w:asciiTheme="minorHAnsi" w:hAnsiTheme="minorHAnsi" w:cstheme="minorHAnsi"/>
                <w:color w:val="231F20"/>
                <w:spacing w:val="-6"/>
              </w:rPr>
              <w:t xml:space="preserve">to;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the </w:t>
            </w:r>
            <w:r w:rsidRPr="00A0561E">
              <w:rPr>
                <w:rFonts w:asciiTheme="minorHAnsi" w:hAnsiTheme="minorHAnsi" w:cstheme="minorHAnsi"/>
                <w:color w:val="231F20"/>
                <w:spacing w:val="-4"/>
              </w:rPr>
              <w:t xml:space="preserve">cycling </w:t>
            </w:r>
            <w:r w:rsidRPr="00A0561E">
              <w:rPr>
                <w:rFonts w:asciiTheme="minorHAnsi" w:hAnsiTheme="minorHAnsi" w:cstheme="minorHAnsi"/>
                <w:color w:val="231F20"/>
                <w:spacing w:val="-3"/>
              </w:rPr>
              <w:t xml:space="preserve">networks are not safe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enough; and </w:t>
            </w:r>
            <w:r w:rsidRPr="00A0561E">
              <w:rPr>
                <w:rFonts w:asciiTheme="minorHAnsi" w:hAnsiTheme="minorHAnsi" w:cstheme="minorHAnsi"/>
                <w:color w:val="231F20"/>
                <w:spacing w:val="-3"/>
              </w:rPr>
              <w:t xml:space="preserve">public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transport </w:t>
            </w:r>
            <w:r w:rsidRPr="00A0561E">
              <w:rPr>
                <w:rFonts w:asciiTheme="minorHAnsi" w:hAnsiTheme="minorHAnsi" w:cstheme="minorHAnsi"/>
                <w:color w:val="231F20"/>
                <w:spacing w:val="-3"/>
              </w:rPr>
              <w:t xml:space="preserve">is neither frequent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nor </w:t>
            </w:r>
            <w:r w:rsidRPr="00A0561E">
              <w:rPr>
                <w:rFonts w:asciiTheme="minorHAnsi" w:hAnsiTheme="minorHAnsi" w:cstheme="minorHAnsi"/>
                <w:color w:val="231F20"/>
                <w:spacing w:val="-3"/>
              </w:rPr>
              <w:t xml:space="preserve">direct for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people </w:t>
            </w:r>
            <w:r w:rsidRPr="00A0561E">
              <w:rPr>
                <w:rFonts w:asciiTheme="minorHAnsi" w:hAnsiTheme="minorHAnsi" w:cstheme="minorHAnsi"/>
                <w:color w:val="231F20"/>
                <w:spacing w:val="-3"/>
              </w:rPr>
              <w:t xml:space="preserve">who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do </w:t>
            </w:r>
            <w:r w:rsidRPr="00A0561E">
              <w:rPr>
                <w:rFonts w:asciiTheme="minorHAnsi" w:hAnsiTheme="minorHAnsi" w:cstheme="minorHAnsi"/>
                <w:color w:val="231F20"/>
                <w:spacing w:val="-3"/>
              </w:rPr>
              <w:t xml:space="preserve">not </w:t>
            </w:r>
            <w:r w:rsidRPr="00A0561E">
              <w:rPr>
                <w:rFonts w:asciiTheme="minorHAnsi" w:hAnsiTheme="minorHAnsi" w:cstheme="minorHAnsi"/>
                <w:color w:val="231F20"/>
                <w:spacing w:val="-4"/>
              </w:rPr>
              <w:t xml:space="preserve">work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in the </w:t>
            </w:r>
            <w:r w:rsidRPr="00A0561E">
              <w:rPr>
                <w:rFonts w:asciiTheme="minorHAnsi" w:hAnsiTheme="minorHAnsi" w:cstheme="minorHAnsi"/>
                <w:color w:val="231F20"/>
                <w:spacing w:val="-3"/>
              </w:rPr>
              <w:t xml:space="preserve">central city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and </w:t>
            </w:r>
            <w:r w:rsidRPr="00A0561E">
              <w:rPr>
                <w:rFonts w:asciiTheme="minorHAnsi" w:hAnsiTheme="minorHAnsi" w:cstheme="minorHAnsi"/>
                <w:color w:val="231F20"/>
                <w:spacing w:val="-5"/>
              </w:rPr>
              <w:t xml:space="preserve">live </w:t>
            </w:r>
            <w:r w:rsidRPr="00A0561E">
              <w:rPr>
                <w:rFonts w:asciiTheme="minorHAnsi" w:hAnsiTheme="minorHAnsi" w:cstheme="minorHAnsi"/>
                <w:color w:val="231F20"/>
                <w:spacing w:val="-4"/>
              </w:rPr>
              <w:t xml:space="preserve">close </w:t>
            </w:r>
            <w:r w:rsidRPr="00A0561E">
              <w:rPr>
                <w:rFonts w:asciiTheme="minorHAnsi" w:hAnsiTheme="minorHAnsi" w:cstheme="minorHAnsi"/>
                <w:color w:val="231F20"/>
                <w:spacing w:val="-5"/>
              </w:rPr>
              <w:t xml:space="preserve">to </w:t>
            </w:r>
            <w:r w:rsidRPr="00A0561E">
              <w:rPr>
                <w:rFonts w:asciiTheme="minorHAnsi" w:hAnsiTheme="minorHAnsi" w:cstheme="minorHAnsi"/>
                <w:color w:val="231F20"/>
                <w:spacing w:val="-3"/>
              </w:rPr>
              <w:t xml:space="preserve">train lines </w:t>
            </w:r>
            <w:r w:rsidRPr="00A0561E">
              <w:rPr>
                <w:rFonts w:asciiTheme="minorHAnsi" w:hAnsiTheme="minorHAnsi" w:cstheme="minorHAnsi"/>
                <w:color w:val="231F20"/>
              </w:rPr>
              <w:t xml:space="preserve">or </w:t>
            </w:r>
            <w:r w:rsidRPr="00A0561E">
              <w:rPr>
                <w:rFonts w:asciiTheme="minorHAnsi" w:hAnsiTheme="minorHAnsi" w:cstheme="minorHAnsi"/>
                <w:color w:val="231F20"/>
                <w:spacing w:val="-3"/>
              </w:rPr>
              <w:t xml:space="preserve">rapid </w:t>
            </w:r>
            <w:r w:rsidRPr="00A0561E">
              <w:rPr>
                <w:rFonts w:asciiTheme="minorHAnsi" w:hAnsiTheme="minorHAnsi" w:cstheme="minorHAnsi"/>
                <w:color w:val="231F20"/>
              </w:rPr>
              <w:t>bus</w:t>
            </w:r>
            <w:r w:rsidRPr="00A0561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A0561E">
              <w:rPr>
                <w:rFonts w:asciiTheme="minorHAnsi" w:hAnsiTheme="minorHAnsi" w:cstheme="minorHAnsi"/>
                <w:color w:val="231F20"/>
                <w:spacing w:val="-4"/>
              </w:rPr>
              <w:t>routes.</w:t>
            </w:r>
          </w:p>
          <w:p w14:paraId="07A6C1EE" w14:textId="261C133E" w:rsidR="003D2ECB" w:rsidRPr="00480232" w:rsidRDefault="003D2ECB" w:rsidP="00BC3C1D">
            <w:pPr>
              <w:pStyle w:val="BodyText"/>
              <w:spacing w:before="114" w:line="232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pacing w:val="-4"/>
              </w:rPr>
              <w:t>While the transport industry works to improve walking, cycling, and public transport, we need to ensure that transport decarbonisation policies do not increase inequity by making access to a car more expensive for those who have no other realistic choices.</w:t>
            </w:r>
            <w:r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pacing w:val="-8"/>
              </w:rPr>
              <w:t>Increased focus on decarbonisation should be considered</w:t>
            </w:r>
            <w:r w:rsidRPr="0069251A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69251A">
              <w:rPr>
                <w:rFonts w:asciiTheme="minorHAnsi" w:hAnsiTheme="minorHAnsi" w:cstheme="minorHAnsi"/>
                <w:color w:val="231F20"/>
                <w:spacing w:val="-5"/>
              </w:rPr>
              <w:t>with</w:t>
            </w:r>
            <w:r w:rsidRPr="0069251A">
              <w:rPr>
                <w:rFonts w:asciiTheme="minorHAnsi" w:hAnsiTheme="minorHAnsi" w:cstheme="minorHAnsi"/>
                <w:color w:val="231F20"/>
                <w:spacing w:val="-4"/>
              </w:rPr>
              <w:t xml:space="preserve"> regard </w:t>
            </w:r>
            <w:r w:rsidRPr="0069251A">
              <w:rPr>
                <w:rFonts w:asciiTheme="minorHAnsi" w:hAnsiTheme="minorHAnsi" w:cstheme="minorHAnsi"/>
                <w:color w:val="231F20"/>
                <w:spacing w:val="-3"/>
              </w:rPr>
              <w:t xml:space="preserve">for </w:t>
            </w:r>
            <w:r>
              <w:rPr>
                <w:rFonts w:asciiTheme="minorHAnsi" w:hAnsiTheme="minorHAnsi" w:cstheme="minorHAnsi"/>
                <w:color w:val="231F20"/>
                <w:spacing w:val="-3"/>
              </w:rPr>
              <w:t xml:space="preserve">accessibility and affordability of transport for all people. </w:t>
            </w:r>
            <w:r>
              <w:rPr>
                <w:rFonts w:asciiTheme="minorHAnsi" w:hAnsiTheme="minorHAnsi" w:cstheme="minorHAnsi"/>
                <w:color w:val="231F20"/>
              </w:rPr>
              <w:t>The presentation will discuss</w:t>
            </w:r>
            <w:r w:rsidRPr="0069251A">
              <w:rPr>
                <w:rFonts w:asciiTheme="minorHAnsi" w:hAnsiTheme="minorHAnsi" w:cstheme="minorHAnsi"/>
                <w:color w:val="231F20"/>
              </w:rPr>
              <w:t xml:space="preserve"> opportunit</w:t>
            </w:r>
            <w:r>
              <w:rPr>
                <w:rFonts w:asciiTheme="minorHAnsi" w:hAnsiTheme="minorHAnsi" w:cstheme="minorHAnsi"/>
                <w:color w:val="231F20"/>
              </w:rPr>
              <w:t>ies</w:t>
            </w:r>
            <w:r w:rsidRPr="0069251A">
              <w:rPr>
                <w:rFonts w:asciiTheme="minorHAnsi" w:hAnsiTheme="minorHAnsi" w:cstheme="minorHAnsi"/>
                <w:color w:val="231F20"/>
              </w:rPr>
              <w:t xml:space="preserve"> </w:t>
            </w:r>
            <w:r w:rsidRPr="0069251A">
              <w:rPr>
                <w:rFonts w:asciiTheme="minorHAnsi" w:hAnsiTheme="minorHAnsi" w:cstheme="minorHAnsi"/>
                <w:color w:val="231F20"/>
                <w:spacing w:val="-5"/>
              </w:rPr>
              <w:t xml:space="preserve">to </w:t>
            </w:r>
            <w:r>
              <w:rPr>
                <w:rFonts w:asciiTheme="minorHAnsi" w:hAnsiTheme="minorHAnsi" w:cstheme="minorHAnsi"/>
                <w:color w:val="231F20"/>
                <w:spacing w:val="-5"/>
              </w:rPr>
              <w:t xml:space="preserve">consider transport decarbonisation and equity together, </w:t>
            </w:r>
            <w:r w:rsidRPr="0069251A">
              <w:rPr>
                <w:rFonts w:asciiTheme="minorHAnsi" w:hAnsiTheme="minorHAnsi" w:cstheme="minorHAnsi"/>
                <w:color w:val="231F20"/>
              </w:rPr>
              <w:t xml:space="preserve">so </w:t>
            </w:r>
            <w:r w:rsidRPr="0069251A">
              <w:rPr>
                <w:rFonts w:asciiTheme="minorHAnsi" w:hAnsiTheme="minorHAnsi" w:cstheme="minorHAnsi"/>
                <w:color w:val="231F20"/>
                <w:spacing w:val="-3"/>
              </w:rPr>
              <w:t xml:space="preserve">that all Aucklanders </w:t>
            </w:r>
            <w:r w:rsidRPr="0069251A">
              <w:rPr>
                <w:rFonts w:asciiTheme="minorHAnsi" w:hAnsiTheme="minorHAnsi" w:cstheme="minorHAnsi"/>
                <w:color w:val="231F20"/>
              </w:rPr>
              <w:t xml:space="preserve">can </w:t>
            </w:r>
            <w:r w:rsidRPr="0069251A">
              <w:rPr>
                <w:rFonts w:asciiTheme="minorHAnsi" w:hAnsiTheme="minorHAnsi" w:cstheme="minorHAnsi"/>
                <w:color w:val="231F20"/>
                <w:spacing w:val="-5"/>
              </w:rPr>
              <w:t xml:space="preserve">live </w:t>
            </w:r>
            <w:r w:rsidRPr="0069251A">
              <w:rPr>
                <w:rFonts w:asciiTheme="minorHAnsi" w:hAnsiTheme="minorHAnsi" w:cstheme="minorHAnsi"/>
                <w:color w:val="231F20"/>
                <w:spacing w:val="-3"/>
              </w:rPr>
              <w:t xml:space="preserve">better </w:t>
            </w:r>
            <w:r w:rsidRPr="0069251A">
              <w:rPr>
                <w:rFonts w:asciiTheme="minorHAnsi" w:hAnsiTheme="minorHAnsi" w:cstheme="minorHAnsi"/>
                <w:color w:val="231F20"/>
                <w:spacing w:val="-4"/>
              </w:rPr>
              <w:t>lives.</w:t>
            </w:r>
          </w:p>
          <w:p w14:paraId="2ACCD1EC" w14:textId="65EA5FEA"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5FBDBD5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F10FD" w14:textId="77777777" w:rsidR="00094515" w:rsidRDefault="00094515">
      <w:r>
        <w:separator/>
      </w:r>
    </w:p>
  </w:endnote>
  <w:endnote w:type="continuationSeparator" w:id="0">
    <w:p w14:paraId="131BFA49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48214" w14:textId="77777777" w:rsidR="00094515" w:rsidRDefault="00094515">
      <w:r>
        <w:separator/>
      </w:r>
    </w:p>
  </w:footnote>
  <w:footnote w:type="continuationSeparator" w:id="0">
    <w:p w14:paraId="2BAD8313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D2ECB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3C1D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BodyText">
    <w:name w:val="Body Text"/>
    <w:basedOn w:val="Normal"/>
    <w:link w:val="BodyTextChar"/>
    <w:uiPriority w:val="1"/>
    <w:qFormat/>
    <w:rsid w:val="003D2ECB"/>
    <w:pPr>
      <w:widowControl w:val="0"/>
      <w:autoSpaceDE w:val="0"/>
      <w:autoSpaceDN w:val="0"/>
    </w:pPr>
    <w:rPr>
      <w:rFonts w:ascii="Gotham Light" w:eastAsia="Gotham Light" w:hAnsi="Gotham Light" w:cs="Gotham Light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D2ECB"/>
    <w:rPr>
      <w:rFonts w:ascii="Gotham Light" w:eastAsia="Gotham Light" w:hAnsi="Gotham Light" w:cs="Gotham Light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2010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Bridget Burdett</cp:lastModifiedBy>
  <cp:revision>3</cp:revision>
  <cp:lastPrinted>2017-09-24T23:53:00Z</cp:lastPrinted>
  <dcterms:created xsi:type="dcterms:W3CDTF">2020-10-14T22:34:00Z</dcterms:created>
  <dcterms:modified xsi:type="dcterms:W3CDTF">2020-10-14T22:37:00Z</dcterms:modified>
</cp:coreProperties>
</file>