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4297" w:rsidRPr="0000796A" w:rsidRDefault="006C2C7D" w:rsidP="00B745C8">
      <w:pPr>
        <w:pStyle w:val="Heading1"/>
        <w:keepNext w:val="0"/>
        <w:spacing w:before="0" w:after="0"/>
        <w:rPr>
          <w:rFonts w:ascii="Circular Std Book" w:hAnsi="Circular Std Book" w:cs="Circular Std Book"/>
          <w:bCs w:val="0"/>
          <w:color w:val="FF1C08"/>
          <w:sz w:val="36"/>
          <w:szCs w:val="36"/>
          <w:lang w:val="en-NZ" w:eastAsia="en-NZ"/>
        </w:rPr>
      </w:pPr>
      <w:r>
        <w:rPr>
          <w:rFonts w:ascii="Circular Std Book" w:hAnsi="Circular Std Book" w:cs="Circular Std Book"/>
          <w:bCs w:val="0"/>
          <w:color w:val="FF1C08"/>
          <w:sz w:val="36"/>
          <w:szCs w:val="36"/>
          <w:lang w:val="en-NZ" w:eastAsia="en-NZ"/>
        </w:rPr>
        <w:t>Improving Safe System Intersection Performance</w:t>
      </w:r>
    </w:p>
    <w:p w:rsidR="00DF7B85" w:rsidRPr="00DA3906" w:rsidRDefault="00DF7B85" w:rsidP="00CA531A">
      <w:pPr>
        <w:ind w:left="45"/>
        <w:jc w:val="center"/>
        <w:rPr>
          <w:rFonts w:ascii="Fakt Pro Bln" w:hAnsi="Fakt Pro Bln" w:cs="Circular Std Book"/>
          <w:b/>
          <w:sz w:val="20"/>
          <w:szCs w:val="20"/>
        </w:rPr>
      </w:pPr>
    </w:p>
    <w:tbl>
      <w:tblPr>
        <w:tblpPr w:leftFromText="180" w:rightFromText="180" w:vertAnchor="text" w:tblpXSpec="center" w:tblpY="1"/>
        <w:tblOverlap w:val="never"/>
        <w:tblW w:w="10405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05"/>
      </w:tblGrid>
      <w:tr w:rsidR="00657112" w:rsidRPr="00A1384F" w:rsidTr="00930A64">
        <w:trPr>
          <w:trHeight w:val="548"/>
        </w:trPr>
        <w:tc>
          <w:tcPr>
            <w:tcW w:w="10405" w:type="dxa"/>
            <w:tcBorders>
              <w:bottom w:val="nil"/>
            </w:tcBorders>
            <w:shd w:val="clear" w:color="auto" w:fill="auto"/>
          </w:tcPr>
          <w:p w:rsidR="006C2C7D" w:rsidRDefault="006C2C7D" w:rsidP="006C2C7D">
            <w:p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  <w:r w:rsidRPr="006C2C7D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Intersection crashes account for approximately 30% of 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deaths and </w:t>
            </w:r>
            <w:r w:rsidRPr="006C2C7D">
              <w:rPr>
                <w:rFonts w:ascii="Graphik Regular" w:hAnsi="Graphik Regular" w:cs="Circular Std Book"/>
                <w:bCs/>
                <w:sz w:val="22"/>
                <w:szCs w:val="22"/>
              </w:rPr>
              <w:t>se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>rious</w:t>
            </w:r>
            <w:r w:rsidRPr="006C2C7D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injuries in New Zealand. This 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>presentation looks at</w:t>
            </w:r>
            <w:r w:rsidRPr="006C2C7D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initiatives to improve the design of intersections for better alignment with the Safe System objective of minimising death and serious injury. </w:t>
            </w:r>
          </w:p>
          <w:p w:rsidR="006C2C7D" w:rsidRDefault="006C2C7D" w:rsidP="006C2C7D">
            <w:p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</w:p>
          <w:p w:rsidR="006C2C7D" w:rsidRPr="006C2C7D" w:rsidRDefault="006C2C7D" w:rsidP="006C2C7D">
            <w:pPr>
              <w:pStyle w:val="Default"/>
              <w:rPr>
                <w:rFonts w:ascii="Graphik Regular" w:hAnsi="Graphik Regular" w:cs="Circular Std Book"/>
                <w:bCs/>
                <w:color w:val="auto"/>
                <w:sz w:val="22"/>
                <w:szCs w:val="22"/>
                <w:lang w:val="en-GB" w:eastAsia="ja-JP"/>
              </w:rPr>
            </w:pPr>
            <w:r w:rsidRPr="006C2C7D">
              <w:rPr>
                <w:rFonts w:ascii="Graphik Regular" w:hAnsi="Graphik Regular" w:cs="Circular Std Book"/>
                <w:bCs/>
                <w:color w:val="auto"/>
                <w:sz w:val="22"/>
                <w:szCs w:val="22"/>
                <w:lang w:val="en-GB" w:eastAsia="ja-JP"/>
              </w:rPr>
              <w:t>Safe System</w:t>
            </w:r>
            <w:r>
              <w:rPr>
                <w:rFonts w:ascii="Graphik Regular" w:hAnsi="Graphik Regular" w:cs="Circular Std Book"/>
                <w:bCs/>
                <w:color w:val="auto"/>
                <w:sz w:val="22"/>
                <w:szCs w:val="22"/>
                <w:lang w:val="en-GB" w:eastAsia="ja-JP"/>
              </w:rPr>
              <w:t xml:space="preserve"> intersection design principles include minimising conflict points, removing </w:t>
            </w:r>
            <w:r w:rsidRPr="006C2C7D">
              <w:rPr>
                <w:rFonts w:ascii="Graphik Regular" w:hAnsi="Graphik Regular" w:cs="Circular Std Book"/>
                <w:bCs/>
                <w:color w:val="auto"/>
                <w:sz w:val="22"/>
                <w:szCs w:val="22"/>
                <w:lang w:val="en-GB" w:eastAsia="ja-JP"/>
              </w:rPr>
              <w:t>/</w:t>
            </w:r>
            <w:r>
              <w:rPr>
                <w:rFonts w:ascii="Graphik Regular" w:hAnsi="Graphik Regular" w:cs="Circular Std Book"/>
                <w:bCs/>
                <w:color w:val="auto"/>
                <w:sz w:val="22"/>
                <w:szCs w:val="22"/>
                <w:lang w:val="en-GB" w:eastAsia="ja-JP"/>
              </w:rPr>
              <w:t xml:space="preserve"> </w:t>
            </w:r>
            <w:r w:rsidRPr="006C2C7D">
              <w:rPr>
                <w:rFonts w:ascii="Graphik Regular" w:hAnsi="Graphik Regular" w:cs="Circular Std Book"/>
                <w:bCs/>
                <w:color w:val="auto"/>
                <w:sz w:val="22"/>
                <w:szCs w:val="22"/>
                <w:lang w:val="en-GB" w:eastAsia="ja-JP"/>
              </w:rPr>
              <w:t>simplify</w:t>
            </w:r>
            <w:r>
              <w:rPr>
                <w:rFonts w:ascii="Graphik Regular" w:hAnsi="Graphik Regular" w:cs="Circular Std Book"/>
                <w:bCs/>
                <w:color w:val="auto"/>
                <w:sz w:val="22"/>
                <w:szCs w:val="22"/>
                <w:lang w:val="en-GB" w:eastAsia="ja-JP"/>
              </w:rPr>
              <w:t>ing</w:t>
            </w:r>
            <w:r w:rsidRPr="006C2C7D">
              <w:rPr>
                <w:rFonts w:ascii="Graphik Regular" w:hAnsi="Graphik Regular" w:cs="Circular Std Book"/>
                <w:bCs/>
                <w:color w:val="auto"/>
                <w:sz w:val="22"/>
                <w:szCs w:val="22"/>
                <w:lang w:val="en-GB" w:eastAsia="ja-JP"/>
              </w:rPr>
              <w:t xml:space="preserve"> road user decisions, minimis</w:t>
            </w:r>
            <w:r>
              <w:rPr>
                <w:rFonts w:ascii="Graphik Regular" w:hAnsi="Graphik Regular" w:cs="Circular Std Book"/>
                <w:bCs/>
                <w:color w:val="auto"/>
                <w:sz w:val="22"/>
                <w:szCs w:val="22"/>
                <w:lang w:val="en-GB" w:eastAsia="ja-JP"/>
              </w:rPr>
              <w:t xml:space="preserve">ing impact angles, and </w:t>
            </w:r>
            <w:r w:rsidR="008D5B0D">
              <w:rPr>
                <w:rFonts w:ascii="Graphik Regular" w:hAnsi="Graphik Regular" w:cs="Circular Std Book"/>
                <w:bCs/>
                <w:color w:val="auto"/>
                <w:sz w:val="22"/>
                <w:szCs w:val="22"/>
                <w:lang w:val="en-GB" w:eastAsia="ja-JP"/>
              </w:rPr>
              <w:t>limiting</w:t>
            </w:r>
            <w:r w:rsidRPr="006C2C7D">
              <w:rPr>
                <w:rFonts w:ascii="Graphik Regular" w:hAnsi="Graphik Regular" w:cs="Circular Std Book"/>
                <w:bCs/>
                <w:color w:val="auto"/>
                <w:sz w:val="22"/>
                <w:szCs w:val="22"/>
                <w:lang w:val="en-GB" w:eastAsia="ja-JP"/>
              </w:rPr>
              <w:t xml:space="preserve"> entry and impact speeds</w:t>
            </w:r>
            <w:r w:rsidR="008D5B0D">
              <w:rPr>
                <w:rFonts w:ascii="Graphik Regular" w:hAnsi="Graphik Regular" w:cs="Circular Std Book"/>
                <w:bCs/>
                <w:color w:val="auto"/>
                <w:sz w:val="22"/>
                <w:szCs w:val="22"/>
                <w:lang w:val="en-GB" w:eastAsia="ja-JP"/>
              </w:rPr>
              <w:t xml:space="preserve"> in </w:t>
            </w:r>
            <w:bookmarkStart w:id="0" w:name="_GoBack"/>
            <w:bookmarkEnd w:id="0"/>
            <w:r w:rsidR="008D5B0D">
              <w:rPr>
                <w:rFonts w:ascii="Graphik Regular" w:hAnsi="Graphik Regular" w:cs="Circular Std Book"/>
                <w:bCs/>
                <w:color w:val="auto"/>
                <w:sz w:val="22"/>
                <w:szCs w:val="22"/>
                <w:lang w:val="en-GB" w:eastAsia="ja-JP"/>
              </w:rPr>
              <w:t>accordance with human biomechanical injury tolerance thresholds</w:t>
            </w:r>
            <w:r w:rsidRPr="006C2C7D">
              <w:rPr>
                <w:rFonts w:ascii="Graphik Regular" w:hAnsi="Graphik Regular" w:cs="Circular Std Book"/>
                <w:bCs/>
                <w:color w:val="auto"/>
                <w:sz w:val="22"/>
                <w:szCs w:val="22"/>
                <w:lang w:val="en-GB" w:eastAsia="ja-JP"/>
              </w:rPr>
              <w:t xml:space="preserve">. </w:t>
            </w:r>
          </w:p>
          <w:p w:rsidR="006C2C7D" w:rsidRPr="006C2C7D" w:rsidRDefault="006C2C7D" w:rsidP="006C2C7D">
            <w:p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</w:p>
          <w:p w:rsidR="006C2C7D" w:rsidRPr="00AC2F42" w:rsidRDefault="006C2C7D" w:rsidP="00E73FE4">
            <w:pPr>
              <w:rPr>
                <w:rFonts w:ascii="Graphik Regular" w:hAnsi="Graphik Regular" w:cs="Circular Std Book"/>
                <w:sz w:val="22"/>
                <w:szCs w:val="22"/>
              </w:rPr>
            </w:pPr>
            <w:r>
              <w:rPr>
                <w:rFonts w:ascii="Graphik Regular" w:hAnsi="Graphik Regular" w:cs="Circular Std Book"/>
                <w:sz w:val="22"/>
                <w:szCs w:val="22"/>
              </w:rPr>
              <w:t xml:space="preserve">Examples </w:t>
            </w:r>
            <w:r w:rsidR="008D5B0D">
              <w:rPr>
                <w:rFonts w:ascii="Graphik Regular" w:hAnsi="Graphik Regular" w:cs="Circular Std Book"/>
                <w:sz w:val="22"/>
                <w:szCs w:val="22"/>
              </w:rPr>
              <w:t xml:space="preserve">covered </w:t>
            </w:r>
            <w:r>
              <w:rPr>
                <w:rFonts w:ascii="Graphik Regular" w:hAnsi="Graphik Regular" w:cs="Circular Std Book"/>
                <w:sz w:val="22"/>
                <w:szCs w:val="22"/>
              </w:rPr>
              <w:t>in this presentation include the use of Raised Safety Platforms at intersection</w:t>
            </w:r>
            <w:r w:rsidR="008D5B0D">
              <w:rPr>
                <w:rFonts w:ascii="Graphik Regular" w:hAnsi="Graphik Regular" w:cs="Circular Std Book"/>
                <w:sz w:val="22"/>
                <w:szCs w:val="22"/>
              </w:rPr>
              <w:t>s</w:t>
            </w:r>
            <w:r>
              <w:rPr>
                <w:rFonts w:ascii="Graphik Regular" w:hAnsi="Graphik Regular" w:cs="Circular Std Book"/>
                <w:sz w:val="22"/>
                <w:szCs w:val="22"/>
              </w:rPr>
              <w:t xml:space="preserve">, fully controlled right turns at traffic signals as default policy, and innovations in roundabout design including </w:t>
            </w:r>
            <w:r w:rsidR="008D5B0D">
              <w:rPr>
                <w:rFonts w:ascii="Graphik Regular" w:hAnsi="Graphik Regular" w:cs="Circular Std Book"/>
                <w:sz w:val="22"/>
                <w:szCs w:val="22"/>
              </w:rPr>
              <w:t>rural compact roundabouts</w:t>
            </w:r>
            <w:r w:rsidR="008D5B0D">
              <w:rPr>
                <w:rFonts w:ascii="Graphik Regular" w:hAnsi="Graphik Regular" w:cs="Circular Std Book"/>
                <w:sz w:val="22"/>
                <w:szCs w:val="22"/>
              </w:rPr>
              <w:t xml:space="preserve"> and </w:t>
            </w:r>
            <w:r>
              <w:rPr>
                <w:rFonts w:ascii="Graphik Regular" w:hAnsi="Graphik Regular" w:cs="Circular Std Book"/>
                <w:sz w:val="22"/>
                <w:szCs w:val="22"/>
              </w:rPr>
              <w:t xml:space="preserve">measures to improve safety for cyclists. </w:t>
            </w:r>
            <w:r w:rsidR="008D5B0D">
              <w:rPr>
                <w:rFonts w:ascii="Graphik Regular" w:hAnsi="Graphik Regular" w:cs="Circular Std Book"/>
                <w:sz w:val="22"/>
                <w:szCs w:val="22"/>
              </w:rPr>
              <w:t xml:space="preserve">The presentation will also include a post-installation evaluation of New Zealand’s first pilot treatment of a signalised intersection using Raised Safety Platforms. </w:t>
            </w:r>
          </w:p>
        </w:tc>
      </w:tr>
    </w:tbl>
    <w:p w:rsidR="00BE3A75" w:rsidRPr="00657112" w:rsidRDefault="00BE3A75" w:rsidP="00657112">
      <w:pPr>
        <w:autoSpaceDE w:val="0"/>
        <w:autoSpaceDN w:val="0"/>
        <w:adjustRightInd w:val="0"/>
        <w:rPr>
          <w:rFonts w:ascii="Fakt Pro Bln" w:hAnsi="Fakt Pro Bln" w:cs="Circular Std Book"/>
        </w:rPr>
      </w:pPr>
    </w:p>
    <w:sectPr w:rsidR="00BE3A75" w:rsidRPr="00657112" w:rsidSect="0000796A">
      <w:headerReference w:type="default" r:id="rId8"/>
      <w:footerReference w:type="even" r:id="rId9"/>
      <w:footerReference w:type="default" r:id="rId10"/>
      <w:pgSz w:w="11906" w:h="16838" w:code="9"/>
      <w:pgMar w:top="720" w:right="720" w:bottom="284" w:left="720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4515" w:rsidRDefault="00094515">
      <w:r>
        <w:separator/>
      </w:r>
    </w:p>
  </w:endnote>
  <w:endnote w:type="continuationSeparator" w:id="0">
    <w:p w:rsidR="00094515" w:rsidRDefault="00094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ircular Std Book">
    <w:altName w:val="Calibri"/>
    <w:panose1 w:val="00000000000000000000"/>
    <w:charset w:val="00"/>
    <w:family w:val="swiss"/>
    <w:notTrueType/>
    <w:pitch w:val="variable"/>
    <w:sig w:usb0="8000002F" w:usb1="5000E47B" w:usb2="00000008" w:usb3="00000000" w:csb0="00000001" w:csb1="00000000"/>
  </w:font>
  <w:font w:name="Fakt Pro Bln">
    <w:altName w:val="Calibri"/>
    <w:panose1 w:val="00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Graphik Regular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4515" w:rsidRDefault="00267025" w:rsidP="0093717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945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94515" w:rsidRDefault="00094515" w:rsidP="00906B7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2AB2" w:rsidRDefault="0081400B">
    <w:pPr>
      <w:pStyle w:val="Footer"/>
    </w:pPr>
    <w:r>
      <w:rPr>
        <w:noProof/>
      </w:rPr>
      <w:drawing>
        <wp:inline distT="0" distB="0" distL="0" distR="0">
          <wp:extent cx="6645910" cy="673100"/>
          <wp:effectExtent l="0" t="0" r="254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rafinz_2019_footer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673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94515" w:rsidRDefault="00094515" w:rsidP="00973ADB">
    <w:pPr>
      <w:pStyle w:val="Footer"/>
      <w:ind w:left="-851" w:right="-851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4515" w:rsidRDefault="00094515">
      <w:r>
        <w:separator/>
      </w:r>
    </w:p>
  </w:footnote>
  <w:footnote w:type="continuationSeparator" w:id="0">
    <w:p w:rsidR="00094515" w:rsidRDefault="000945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400B" w:rsidRDefault="0081400B">
    <w:pPr>
      <w:pStyle w:val="Header"/>
    </w:pPr>
    <w:r>
      <w:rPr>
        <w:noProof/>
      </w:rPr>
      <w:drawing>
        <wp:inline distT="0" distB="0" distL="0" distR="0">
          <wp:extent cx="6645910" cy="852170"/>
          <wp:effectExtent l="0" t="0" r="2540" b="508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rafinz2019_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852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94515" w:rsidRPr="009D1BC8" w:rsidRDefault="00094515" w:rsidP="0000796A">
    <w:pPr>
      <w:pStyle w:val="Header"/>
      <w:pBdr>
        <w:bottom w:val="single" w:sz="24" w:space="1" w:color="FF1C08"/>
      </w:pBdr>
      <w:spacing w:after="120"/>
      <w:ind w:right="118"/>
      <w:jc w:val="center"/>
      <w:rPr>
        <w:rFonts w:ascii="Fakt Pro Bln" w:hAnsi="Fakt Pro Bl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9.7pt;height:82.5pt" o:bullet="t">
        <v:imagedata r:id="rId1" o:title="Bullet Point"/>
      </v:shape>
    </w:pict>
  </w:numPicBullet>
  <w:numPicBullet w:numPicBulletId="1">
    <w:pict>
      <v:shape id="_x0000_i1027" type="#_x0000_t75" style="width:176.1pt;height:169.5pt" o:bullet="t">
        <v:imagedata r:id="rId2" o:title="Conf-Icon"/>
      </v:shape>
    </w:pict>
  </w:numPicBullet>
  <w:numPicBullet w:numPicBulletId="2">
    <w:pict>
      <v:shape id="_x0000_i1028" type="#_x0000_t75" style="width:151.75pt;height:144.55pt" o:bullet="t">
        <v:imagedata r:id="rId3" o:title="Conf-Icon"/>
      </v:shape>
    </w:pict>
  </w:numPicBullet>
  <w:numPicBullet w:numPicBulletId="3">
    <w:pict>
      <v:shape id="_x0000_i1029" type="#_x0000_t75" style="width:122.4pt;height:111.9pt" o:bullet="t">
        <v:imagedata r:id="rId4" o:title="Bullet Point"/>
      </v:shape>
    </w:pict>
  </w:numPicBullet>
  <w:numPicBullet w:numPicBulletId="4">
    <w:pict>
      <v:shape id="_x0000_i1030" type="#_x0000_t75" style="width:109.65pt;height:107.45pt" o:bullet="t">
        <v:imagedata r:id="rId5" o:title="Bullet Point"/>
      </v:shape>
    </w:pict>
  </w:numPicBullet>
  <w:abstractNum w:abstractNumId="0" w15:restartNumberingAfterBreak="0">
    <w:nsid w:val="00835676"/>
    <w:multiLevelType w:val="hybridMultilevel"/>
    <w:tmpl w:val="5B22BA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64CF7"/>
    <w:multiLevelType w:val="hybridMultilevel"/>
    <w:tmpl w:val="D4A427F0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F5681"/>
    <w:multiLevelType w:val="hybridMultilevel"/>
    <w:tmpl w:val="DBD042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1607F"/>
    <w:multiLevelType w:val="hybridMultilevel"/>
    <w:tmpl w:val="7FF66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5233B"/>
    <w:multiLevelType w:val="hybridMultilevel"/>
    <w:tmpl w:val="8E920F2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66104"/>
    <w:multiLevelType w:val="hybridMultilevel"/>
    <w:tmpl w:val="06FA00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04301"/>
    <w:multiLevelType w:val="hybridMultilevel"/>
    <w:tmpl w:val="94C867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14627"/>
    <w:multiLevelType w:val="hybridMultilevel"/>
    <w:tmpl w:val="FEEA01BC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26550"/>
    <w:multiLevelType w:val="hybridMultilevel"/>
    <w:tmpl w:val="085E81B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C77DB"/>
    <w:multiLevelType w:val="hybridMultilevel"/>
    <w:tmpl w:val="BD12F39C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61968"/>
    <w:multiLevelType w:val="hybridMultilevel"/>
    <w:tmpl w:val="6AD628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20B32"/>
    <w:multiLevelType w:val="hybridMultilevel"/>
    <w:tmpl w:val="54E42DC0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42D7D"/>
    <w:multiLevelType w:val="hybridMultilevel"/>
    <w:tmpl w:val="B636D8C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9B7EE4"/>
    <w:multiLevelType w:val="hybridMultilevel"/>
    <w:tmpl w:val="98DCC70C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4146C"/>
    <w:multiLevelType w:val="hybridMultilevel"/>
    <w:tmpl w:val="503C627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12FFC"/>
    <w:multiLevelType w:val="hybridMultilevel"/>
    <w:tmpl w:val="7CDEAD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5258F8"/>
    <w:multiLevelType w:val="hybridMultilevel"/>
    <w:tmpl w:val="FB1AB1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8D6BC7"/>
    <w:multiLevelType w:val="hybridMultilevel"/>
    <w:tmpl w:val="E0C0A2B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60973"/>
    <w:multiLevelType w:val="hybridMultilevel"/>
    <w:tmpl w:val="843A1AA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E16E98"/>
    <w:multiLevelType w:val="hybridMultilevel"/>
    <w:tmpl w:val="FA3ECB5E"/>
    <w:lvl w:ilvl="0" w:tplc="D7E4BD1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A0602"/>
    <w:multiLevelType w:val="hybridMultilevel"/>
    <w:tmpl w:val="4322C360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A35F86"/>
    <w:multiLevelType w:val="hybridMultilevel"/>
    <w:tmpl w:val="C1E4D1EE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E333B"/>
    <w:multiLevelType w:val="hybridMultilevel"/>
    <w:tmpl w:val="278EF4E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A95D9F"/>
    <w:multiLevelType w:val="hybridMultilevel"/>
    <w:tmpl w:val="AD5084D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407FB4"/>
    <w:multiLevelType w:val="hybridMultilevel"/>
    <w:tmpl w:val="C3984DE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6349E5"/>
    <w:multiLevelType w:val="hybridMultilevel"/>
    <w:tmpl w:val="319ECC32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9929DF"/>
    <w:multiLevelType w:val="hybridMultilevel"/>
    <w:tmpl w:val="0CCEA648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0B3CB5"/>
    <w:multiLevelType w:val="hybridMultilevel"/>
    <w:tmpl w:val="630E7840"/>
    <w:lvl w:ilvl="0" w:tplc="A3DEE50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B61352"/>
    <w:multiLevelType w:val="hybridMultilevel"/>
    <w:tmpl w:val="B8E0E5D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264CE6"/>
    <w:multiLevelType w:val="hybridMultilevel"/>
    <w:tmpl w:val="AD12FBE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004040"/>
    <w:multiLevelType w:val="hybridMultilevel"/>
    <w:tmpl w:val="20F6E4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30"/>
  </w:num>
  <w:num w:numId="5">
    <w:abstractNumId w:val="15"/>
  </w:num>
  <w:num w:numId="6">
    <w:abstractNumId w:val="0"/>
  </w:num>
  <w:num w:numId="7">
    <w:abstractNumId w:val="3"/>
  </w:num>
  <w:num w:numId="8">
    <w:abstractNumId w:val="2"/>
  </w:num>
  <w:num w:numId="9">
    <w:abstractNumId w:val="29"/>
  </w:num>
  <w:num w:numId="10">
    <w:abstractNumId w:val="16"/>
  </w:num>
  <w:num w:numId="11">
    <w:abstractNumId w:val="26"/>
  </w:num>
  <w:num w:numId="12">
    <w:abstractNumId w:val="13"/>
  </w:num>
  <w:num w:numId="13">
    <w:abstractNumId w:val="21"/>
  </w:num>
  <w:num w:numId="14">
    <w:abstractNumId w:val="1"/>
  </w:num>
  <w:num w:numId="15">
    <w:abstractNumId w:val="24"/>
  </w:num>
  <w:num w:numId="16">
    <w:abstractNumId w:val="18"/>
  </w:num>
  <w:num w:numId="17">
    <w:abstractNumId w:val="14"/>
  </w:num>
  <w:num w:numId="18">
    <w:abstractNumId w:val="27"/>
  </w:num>
  <w:num w:numId="19">
    <w:abstractNumId w:val="9"/>
  </w:num>
  <w:num w:numId="20">
    <w:abstractNumId w:val="23"/>
  </w:num>
  <w:num w:numId="21">
    <w:abstractNumId w:val="11"/>
  </w:num>
  <w:num w:numId="22">
    <w:abstractNumId w:val="17"/>
  </w:num>
  <w:num w:numId="23">
    <w:abstractNumId w:val="25"/>
  </w:num>
  <w:num w:numId="24">
    <w:abstractNumId w:val="4"/>
  </w:num>
  <w:num w:numId="25">
    <w:abstractNumId w:val="19"/>
  </w:num>
  <w:num w:numId="26">
    <w:abstractNumId w:val="8"/>
  </w:num>
  <w:num w:numId="27">
    <w:abstractNumId w:val="22"/>
  </w:num>
  <w:num w:numId="28">
    <w:abstractNumId w:val="20"/>
  </w:num>
  <w:num w:numId="29">
    <w:abstractNumId w:val="7"/>
  </w:num>
  <w:num w:numId="30">
    <w:abstractNumId w:val="12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B7A"/>
    <w:rsid w:val="00000AC7"/>
    <w:rsid w:val="00002391"/>
    <w:rsid w:val="0000796A"/>
    <w:rsid w:val="0001083B"/>
    <w:rsid w:val="00012461"/>
    <w:rsid w:val="00033179"/>
    <w:rsid w:val="00035CC2"/>
    <w:rsid w:val="00047A44"/>
    <w:rsid w:val="000615B7"/>
    <w:rsid w:val="00062E29"/>
    <w:rsid w:val="00082404"/>
    <w:rsid w:val="00092424"/>
    <w:rsid w:val="00094515"/>
    <w:rsid w:val="00094623"/>
    <w:rsid w:val="000A7AE1"/>
    <w:rsid w:val="000C7C27"/>
    <w:rsid w:val="000D3492"/>
    <w:rsid w:val="000D37C9"/>
    <w:rsid w:val="000D3D9A"/>
    <w:rsid w:val="000D797B"/>
    <w:rsid w:val="000F104B"/>
    <w:rsid w:val="000F2141"/>
    <w:rsid w:val="0011226E"/>
    <w:rsid w:val="001153ED"/>
    <w:rsid w:val="00121A58"/>
    <w:rsid w:val="0013591E"/>
    <w:rsid w:val="001362A4"/>
    <w:rsid w:val="00142CEB"/>
    <w:rsid w:val="0016393A"/>
    <w:rsid w:val="0016453E"/>
    <w:rsid w:val="00175439"/>
    <w:rsid w:val="001939D5"/>
    <w:rsid w:val="001A3ADA"/>
    <w:rsid w:val="001B43BA"/>
    <w:rsid w:val="001D1D51"/>
    <w:rsid w:val="002039A9"/>
    <w:rsid w:val="00207D5C"/>
    <w:rsid w:val="00212E78"/>
    <w:rsid w:val="00224D23"/>
    <w:rsid w:val="002336F0"/>
    <w:rsid w:val="00260AEA"/>
    <w:rsid w:val="002623EE"/>
    <w:rsid w:val="00267025"/>
    <w:rsid w:val="002677BA"/>
    <w:rsid w:val="00280AFE"/>
    <w:rsid w:val="00282AB2"/>
    <w:rsid w:val="002924E0"/>
    <w:rsid w:val="002A1203"/>
    <w:rsid w:val="002A21A9"/>
    <w:rsid w:val="002A4E2F"/>
    <w:rsid w:val="002B5CB6"/>
    <w:rsid w:val="002C7540"/>
    <w:rsid w:val="002E041E"/>
    <w:rsid w:val="002E334F"/>
    <w:rsid w:val="002E5C69"/>
    <w:rsid w:val="002F5169"/>
    <w:rsid w:val="0030225C"/>
    <w:rsid w:val="00304226"/>
    <w:rsid w:val="00306A34"/>
    <w:rsid w:val="00311C11"/>
    <w:rsid w:val="003136AA"/>
    <w:rsid w:val="00320F8A"/>
    <w:rsid w:val="003244F7"/>
    <w:rsid w:val="003266F2"/>
    <w:rsid w:val="003349C4"/>
    <w:rsid w:val="003371E0"/>
    <w:rsid w:val="003557E9"/>
    <w:rsid w:val="003573AD"/>
    <w:rsid w:val="00384673"/>
    <w:rsid w:val="00385036"/>
    <w:rsid w:val="003874B0"/>
    <w:rsid w:val="003959E1"/>
    <w:rsid w:val="003A05C3"/>
    <w:rsid w:val="003E27EF"/>
    <w:rsid w:val="00424CC0"/>
    <w:rsid w:val="00426508"/>
    <w:rsid w:val="00442674"/>
    <w:rsid w:val="00451684"/>
    <w:rsid w:val="004529D4"/>
    <w:rsid w:val="00455673"/>
    <w:rsid w:val="00457E30"/>
    <w:rsid w:val="00474E47"/>
    <w:rsid w:val="0048238B"/>
    <w:rsid w:val="004D3753"/>
    <w:rsid w:val="004D6306"/>
    <w:rsid w:val="004E3E11"/>
    <w:rsid w:val="004E4B6D"/>
    <w:rsid w:val="00510DA6"/>
    <w:rsid w:val="00517EE6"/>
    <w:rsid w:val="00535FC6"/>
    <w:rsid w:val="00537FE9"/>
    <w:rsid w:val="005572C4"/>
    <w:rsid w:val="00566B84"/>
    <w:rsid w:val="00570EA5"/>
    <w:rsid w:val="005729BE"/>
    <w:rsid w:val="00575492"/>
    <w:rsid w:val="0057595A"/>
    <w:rsid w:val="00584673"/>
    <w:rsid w:val="005860C4"/>
    <w:rsid w:val="0058716A"/>
    <w:rsid w:val="005958D4"/>
    <w:rsid w:val="005964BA"/>
    <w:rsid w:val="005C31CE"/>
    <w:rsid w:val="005D75C6"/>
    <w:rsid w:val="005E35E4"/>
    <w:rsid w:val="005F69B7"/>
    <w:rsid w:val="0060147A"/>
    <w:rsid w:val="006029B3"/>
    <w:rsid w:val="00606880"/>
    <w:rsid w:val="0061707E"/>
    <w:rsid w:val="00643465"/>
    <w:rsid w:val="00643678"/>
    <w:rsid w:val="00657112"/>
    <w:rsid w:val="006617E3"/>
    <w:rsid w:val="00672785"/>
    <w:rsid w:val="00673EE7"/>
    <w:rsid w:val="00680D6F"/>
    <w:rsid w:val="006839A5"/>
    <w:rsid w:val="00693116"/>
    <w:rsid w:val="00694AA2"/>
    <w:rsid w:val="006A3C4A"/>
    <w:rsid w:val="006A7D7C"/>
    <w:rsid w:val="006C2C7D"/>
    <w:rsid w:val="006C59A1"/>
    <w:rsid w:val="006C7FB0"/>
    <w:rsid w:val="006E2643"/>
    <w:rsid w:val="006F545D"/>
    <w:rsid w:val="00702E85"/>
    <w:rsid w:val="00711926"/>
    <w:rsid w:val="00714297"/>
    <w:rsid w:val="007249F0"/>
    <w:rsid w:val="00733126"/>
    <w:rsid w:val="00745540"/>
    <w:rsid w:val="00755E06"/>
    <w:rsid w:val="00763C93"/>
    <w:rsid w:val="00775A9A"/>
    <w:rsid w:val="00794863"/>
    <w:rsid w:val="007958CF"/>
    <w:rsid w:val="00796AED"/>
    <w:rsid w:val="007A25BC"/>
    <w:rsid w:val="007A5B04"/>
    <w:rsid w:val="007B434A"/>
    <w:rsid w:val="007B5CC6"/>
    <w:rsid w:val="007D1481"/>
    <w:rsid w:val="007E7468"/>
    <w:rsid w:val="007F5CD2"/>
    <w:rsid w:val="0081400B"/>
    <w:rsid w:val="00817D3F"/>
    <w:rsid w:val="00831EAC"/>
    <w:rsid w:val="00846CE2"/>
    <w:rsid w:val="00851929"/>
    <w:rsid w:val="00862192"/>
    <w:rsid w:val="00873D75"/>
    <w:rsid w:val="00880B42"/>
    <w:rsid w:val="0088236B"/>
    <w:rsid w:val="008836A1"/>
    <w:rsid w:val="00894760"/>
    <w:rsid w:val="008B35C8"/>
    <w:rsid w:val="008B4CFD"/>
    <w:rsid w:val="008C0D74"/>
    <w:rsid w:val="008C5194"/>
    <w:rsid w:val="008D5B0D"/>
    <w:rsid w:val="008D5CAB"/>
    <w:rsid w:val="008F1855"/>
    <w:rsid w:val="009019AA"/>
    <w:rsid w:val="00904C0C"/>
    <w:rsid w:val="00904CC6"/>
    <w:rsid w:val="00906B7A"/>
    <w:rsid w:val="00915359"/>
    <w:rsid w:val="00916705"/>
    <w:rsid w:val="00916CAC"/>
    <w:rsid w:val="009207B4"/>
    <w:rsid w:val="00921582"/>
    <w:rsid w:val="00926714"/>
    <w:rsid w:val="00926ECE"/>
    <w:rsid w:val="00930A64"/>
    <w:rsid w:val="00937179"/>
    <w:rsid w:val="00942D6D"/>
    <w:rsid w:val="00943A5E"/>
    <w:rsid w:val="00953ACD"/>
    <w:rsid w:val="00960F5F"/>
    <w:rsid w:val="009671F0"/>
    <w:rsid w:val="0096760A"/>
    <w:rsid w:val="00973ADB"/>
    <w:rsid w:val="00980A78"/>
    <w:rsid w:val="009861A8"/>
    <w:rsid w:val="00992E68"/>
    <w:rsid w:val="009D1BC8"/>
    <w:rsid w:val="009D3E21"/>
    <w:rsid w:val="009D7496"/>
    <w:rsid w:val="009E23F2"/>
    <w:rsid w:val="009E5A5F"/>
    <w:rsid w:val="009F381C"/>
    <w:rsid w:val="00A01EFD"/>
    <w:rsid w:val="00A110A0"/>
    <w:rsid w:val="00A1384F"/>
    <w:rsid w:val="00A13A39"/>
    <w:rsid w:val="00A17E7D"/>
    <w:rsid w:val="00A21E9C"/>
    <w:rsid w:val="00A2420B"/>
    <w:rsid w:val="00A3577C"/>
    <w:rsid w:val="00A43D01"/>
    <w:rsid w:val="00A460EC"/>
    <w:rsid w:val="00A625C3"/>
    <w:rsid w:val="00A70504"/>
    <w:rsid w:val="00A80591"/>
    <w:rsid w:val="00A8246A"/>
    <w:rsid w:val="00A857AD"/>
    <w:rsid w:val="00AA02A4"/>
    <w:rsid w:val="00AA16D9"/>
    <w:rsid w:val="00AA2696"/>
    <w:rsid w:val="00AB1096"/>
    <w:rsid w:val="00AB2488"/>
    <w:rsid w:val="00AC2F42"/>
    <w:rsid w:val="00AC472E"/>
    <w:rsid w:val="00AD0B66"/>
    <w:rsid w:val="00AD4FFD"/>
    <w:rsid w:val="00AE2126"/>
    <w:rsid w:val="00B248AE"/>
    <w:rsid w:val="00B257FB"/>
    <w:rsid w:val="00B34D63"/>
    <w:rsid w:val="00B51C59"/>
    <w:rsid w:val="00B745C8"/>
    <w:rsid w:val="00B76BF5"/>
    <w:rsid w:val="00B8097D"/>
    <w:rsid w:val="00B81ED2"/>
    <w:rsid w:val="00BA214A"/>
    <w:rsid w:val="00BA2F05"/>
    <w:rsid w:val="00BA3206"/>
    <w:rsid w:val="00BB26CE"/>
    <w:rsid w:val="00BC6341"/>
    <w:rsid w:val="00BD6ED8"/>
    <w:rsid w:val="00BE3A75"/>
    <w:rsid w:val="00BF1252"/>
    <w:rsid w:val="00BF1648"/>
    <w:rsid w:val="00C31339"/>
    <w:rsid w:val="00C32978"/>
    <w:rsid w:val="00C35A98"/>
    <w:rsid w:val="00C43D41"/>
    <w:rsid w:val="00C602BB"/>
    <w:rsid w:val="00C62828"/>
    <w:rsid w:val="00C7440C"/>
    <w:rsid w:val="00CA531A"/>
    <w:rsid w:val="00CA652B"/>
    <w:rsid w:val="00CC3F26"/>
    <w:rsid w:val="00CC5B1D"/>
    <w:rsid w:val="00CD37E8"/>
    <w:rsid w:val="00CE14E0"/>
    <w:rsid w:val="00CE155D"/>
    <w:rsid w:val="00CE6E57"/>
    <w:rsid w:val="00CE7A3D"/>
    <w:rsid w:val="00CF1AEF"/>
    <w:rsid w:val="00D055DF"/>
    <w:rsid w:val="00D63EA2"/>
    <w:rsid w:val="00D719B5"/>
    <w:rsid w:val="00D73AF4"/>
    <w:rsid w:val="00D7455A"/>
    <w:rsid w:val="00D835B0"/>
    <w:rsid w:val="00D87B29"/>
    <w:rsid w:val="00DA3906"/>
    <w:rsid w:val="00DE685C"/>
    <w:rsid w:val="00DF4D41"/>
    <w:rsid w:val="00DF7B85"/>
    <w:rsid w:val="00E01C1C"/>
    <w:rsid w:val="00E103C0"/>
    <w:rsid w:val="00E1178B"/>
    <w:rsid w:val="00E13F4B"/>
    <w:rsid w:val="00E20231"/>
    <w:rsid w:val="00E273FE"/>
    <w:rsid w:val="00E450B1"/>
    <w:rsid w:val="00E45664"/>
    <w:rsid w:val="00E565D1"/>
    <w:rsid w:val="00E60C56"/>
    <w:rsid w:val="00E63DE7"/>
    <w:rsid w:val="00E67033"/>
    <w:rsid w:val="00E71C11"/>
    <w:rsid w:val="00E73FE4"/>
    <w:rsid w:val="00E81FFD"/>
    <w:rsid w:val="00E82F80"/>
    <w:rsid w:val="00E8316B"/>
    <w:rsid w:val="00E83E18"/>
    <w:rsid w:val="00E8460B"/>
    <w:rsid w:val="00E933D0"/>
    <w:rsid w:val="00EA15DB"/>
    <w:rsid w:val="00EB147C"/>
    <w:rsid w:val="00EB278F"/>
    <w:rsid w:val="00EB2C70"/>
    <w:rsid w:val="00F16A60"/>
    <w:rsid w:val="00F17918"/>
    <w:rsid w:val="00F422F5"/>
    <w:rsid w:val="00F425DA"/>
    <w:rsid w:val="00F44BB9"/>
    <w:rsid w:val="00F56A54"/>
    <w:rsid w:val="00F612BD"/>
    <w:rsid w:val="00F701D4"/>
    <w:rsid w:val="00F71D8F"/>
    <w:rsid w:val="00F80562"/>
    <w:rsid w:val="00F92224"/>
    <w:rsid w:val="00FA33C5"/>
    <w:rsid w:val="00FA788B"/>
    <w:rsid w:val="00FA7BE5"/>
    <w:rsid w:val="00FD4335"/>
    <w:rsid w:val="00FE3E13"/>
    <w:rsid w:val="00FE4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46A836"/>
  <w15:docId w15:val="{5A0D83C7-C886-4A14-8CB9-201B227D9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039A9"/>
    <w:rPr>
      <w:rFonts w:ascii="Comic Sans MS" w:hAnsi="Comic Sans MS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531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qFormat/>
    <w:rsid w:val="00320F8A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06B7A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906B7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06B7A"/>
  </w:style>
  <w:style w:type="paragraph" w:styleId="NormalWeb">
    <w:name w:val="Normal (Web)"/>
    <w:basedOn w:val="Normal"/>
    <w:rsid w:val="00320F8A"/>
    <w:pPr>
      <w:spacing w:before="100" w:beforeAutospacing="1" w:after="100" w:afterAutospacing="1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rsid w:val="003136AA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6A7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8059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0591"/>
    <w:rPr>
      <w:sz w:val="20"/>
      <w:szCs w:val="20"/>
    </w:rPr>
  </w:style>
  <w:style w:type="character" w:customStyle="1" w:styleId="CommentTextChar">
    <w:name w:val="Comment Text Char"/>
    <w:link w:val="CommentText"/>
    <w:rsid w:val="00A80591"/>
    <w:rPr>
      <w:rFonts w:ascii="Comic Sans MS" w:hAnsi="Comic Sans MS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80591"/>
    <w:rPr>
      <w:b/>
      <w:bCs/>
    </w:rPr>
  </w:style>
  <w:style w:type="character" w:customStyle="1" w:styleId="CommentSubjectChar">
    <w:name w:val="Comment Subject Char"/>
    <w:link w:val="CommentSubject"/>
    <w:rsid w:val="00A80591"/>
    <w:rPr>
      <w:rFonts w:ascii="Comic Sans MS" w:hAnsi="Comic Sans MS"/>
      <w:b/>
      <w:bCs/>
      <w:lang w:val="en-GB" w:eastAsia="ja-JP"/>
    </w:rPr>
  </w:style>
  <w:style w:type="paragraph" w:styleId="BalloonText">
    <w:name w:val="Balloon Text"/>
    <w:basedOn w:val="Normal"/>
    <w:link w:val="BalloonTextChar"/>
    <w:rsid w:val="00A80591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A80591"/>
    <w:rPr>
      <w:rFonts w:ascii="Segoe UI" w:hAnsi="Segoe UI" w:cs="Segoe UI"/>
      <w:sz w:val="18"/>
      <w:szCs w:val="18"/>
      <w:lang w:val="en-GB" w:eastAsia="ja-JP"/>
    </w:rPr>
  </w:style>
  <w:style w:type="character" w:customStyle="1" w:styleId="Heading1Char">
    <w:name w:val="Heading 1 Char"/>
    <w:basedOn w:val="DefaultParagraphFont"/>
    <w:link w:val="Heading1"/>
    <w:rsid w:val="00CA531A"/>
    <w:rPr>
      <w:rFonts w:ascii="Cambria" w:eastAsia="Times New Roman" w:hAnsi="Cambria" w:cs="Times New Roman"/>
      <w:b/>
      <w:bCs/>
      <w:kern w:val="32"/>
      <w:sz w:val="32"/>
      <w:szCs w:val="32"/>
      <w:lang w:val="en-GB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817D3F"/>
    <w:rPr>
      <w:rFonts w:ascii="Comic Sans MS" w:hAnsi="Comic Sans MS"/>
      <w:sz w:val="24"/>
      <w:szCs w:val="24"/>
      <w:lang w:val="en-GB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282AB2"/>
    <w:rPr>
      <w:rFonts w:ascii="Comic Sans MS" w:hAnsi="Comic Sans MS"/>
      <w:sz w:val="24"/>
      <w:szCs w:val="24"/>
      <w:lang w:val="en-GB" w:eastAsia="ja-JP"/>
    </w:rPr>
  </w:style>
  <w:style w:type="paragraph" w:customStyle="1" w:styleId="Default">
    <w:name w:val="Default"/>
    <w:rsid w:val="006C2C7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2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F4DE3C-54B2-455D-90E1-C9C64BF46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138</Words>
  <Characters>888</Characters>
  <Application>Microsoft Office Word</Application>
  <DocSecurity>0</DocSecurity>
  <Lines>17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Trafinz 2019</vt:lpstr>
    </vt:vector>
  </TitlesOfParts>
  <Company>Environment Waikato</Company>
  <LinksUpToDate>false</LinksUpToDate>
  <CharactersWithSpaces>1023</CharactersWithSpaces>
  <SharedDoc>false</SharedDoc>
  <HLinks>
    <vt:vector size="12" baseType="variant">
      <vt:variant>
        <vt:i4>589943</vt:i4>
      </vt:variant>
      <vt:variant>
        <vt:i4>67</vt:i4>
      </vt:variant>
      <vt:variant>
        <vt:i4>0</vt:i4>
      </vt:variant>
      <vt:variant>
        <vt:i4>5</vt:i4>
      </vt:variant>
      <vt:variant>
        <vt:lpwstr>mailto:glenda@hardingconsultants.co.nz</vt:lpwstr>
      </vt:variant>
      <vt:variant>
        <vt:lpwstr/>
      </vt:variant>
      <vt:variant>
        <vt:i4>589846</vt:i4>
      </vt:variant>
      <vt:variant>
        <vt:i4>0</vt:i4>
      </vt:variant>
      <vt:variant>
        <vt:i4>0</vt:i4>
      </vt:variant>
      <vt:variant>
        <vt:i4>5</vt:i4>
      </vt:variant>
      <vt:variant>
        <vt:lpwstr>http://www.ipenztg2014.co.nz/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Trafinz 2019</dc:title>
  <dc:creator/>
  <cp:keywords>Presentation Overview</cp:keywords>
  <cp:lastModifiedBy>Fabian Marsh</cp:lastModifiedBy>
  <cp:revision>8</cp:revision>
  <cp:lastPrinted>2017-09-24T23:53:00Z</cp:lastPrinted>
  <dcterms:created xsi:type="dcterms:W3CDTF">2019-06-17T23:15:00Z</dcterms:created>
  <dcterms:modified xsi:type="dcterms:W3CDTF">2019-07-13T03:54:00Z</dcterms:modified>
</cp:coreProperties>
</file>