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0B0BD54C" w:rsidR="00714297" w:rsidRPr="00F37C39" w:rsidRDefault="004D0EC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proofErr w:type="spellStart"/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Footprinting</w:t>
      </w:r>
      <w:proofErr w:type="spellEnd"/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organisational Sustainability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3622B10" w14:textId="2709A065" w:rsidR="000B3D97" w:rsidRDefault="000B3D97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Practice Paper</w:t>
            </w:r>
          </w:p>
          <w:p w14:paraId="375B1723" w14:textId="09AD22B6" w:rsidR="000B3D97" w:rsidRDefault="000B3D97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6. Shaping and </w:t>
            </w:r>
            <w:proofErr w:type="gramStart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Providing</w:t>
            </w:r>
            <w:proofErr w:type="gramEnd"/>
          </w:p>
          <w:p w14:paraId="74FCC81F" w14:textId="77777777" w:rsidR="000B3D97" w:rsidRDefault="000B3D97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31646422" w:rsidR="00657112" w:rsidRPr="00AC2F42" w:rsidRDefault="004F7FFB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Type your abstract here. 300 words max.</w:t>
            </w:r>
          </w:p>
        </w:tc>
      </w:tr>
    </w:tbl>
    <w:p w14:paraId="5FBDBD50" w14:textId="027D834E"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24230335" w14:textId="59628A20" w:rsidR="00917AFC" w:rsidRDefault="00917AFC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Traditionally, the </w:t>
      </w:r>
      <w:r w:rsidR="0059415D">
        <w:rPr>
          <w:rFonts w:ascii="Fakt Pro Bln" w:hAnsi="Fakt Pro Bln" w:cs="Circular Std Book"/>
        </w:rPr>
        <w:t>aims</w:t>
      </w:r>
      <w:r>
        <w:rPr>
          <w:rFonts w:ascii="Fakt Pro Bln" w:hAnsi="Fakt Pro Bln" w:cs="Circular Std Book"/>
        </w:rPr>
        <w:t xml:space="preserve"> of </w:t>
      </w:r>
      <w:r w:rsidR="0059415D">
        <w:rPr>
          <w:rFonts w:ascii="Fakt Pro Bln" w:hAnsi="Fakt Pro Bln" w:cs="Circular Std Book"/>
        </w:rPr>
        <w:t xml:space="preserve">Workplace </w:t>
      </w:r>
      <w:r>
        <w:rPr>
          <w:rFonts w:ascii="Fakt Pro Bln" w:hAnsi="Fakt Pro Bln" w:cs="Circular Std Book"/>
        </w:rPr>
        <w:t xml:space="preserve">Travel Planning and </w:t>
      </w:r>
      <w:r w:rsidR="008764FC">
        <w:rPr>
          <w:rFonts w:ascii="Fakt Pro Bln" w:hAnsi="Fakt Pro Bln" w:cs="Circular Std Book"/>
        </w:rPr>
        <w:t>o</w:t>
      </w:r>
      <w:r>
        <w:rPr>
          <w:rFonts w:ascii="Fakt Pro Bln" w:hAnsi="Fakt Pro Bln" w:cs="Circular Std Book"/>
        </w:rPr>
        <w:t xml:space="preserve">rganisational Sustainability have been </w:t>
      </w:r>
      <w:r w:rsidR="0059415D">
        <w:rPr>
          <w:rFonts w:ascii="Fakt Pro Bln" w:hAnsi="Fakt Pro Bln" w:cs="Circular Std Book"/>
        </w:rPr>
        <w:t>misaligned</w:t>
      </w:r>
      <w:r>
        <w:rPr>
          <w:rFonts w:ascii="Fakt Pro Bln" w:hAnsi="Fakt Pro Bln" w:cs="Circular Std Book"/>
        </w:rPr>
        <w:t xml:space="preserve">. Travel Planning has often focussed on </w:t>
      </w:r>
      <w:r w:rsidR="00482E01">
        <w:rPr>
          <w:rFonts w:ascii="Fakt Pro Bln" w:hAnsi="Fakt Pro Bln" w:cs="Circular Std Book"/>
        </w:rPr>
        <w:t xml:space="preserve">easing parking stress and improving </w:t>
      </w:r>
      <w:r>
        <w:rPr>
          <w:rFonts w:ascii="Fakt Pro Bln" w:hAnsi="Fakt Pro Bln" w:cs="Circular Std Book"/>
        </w:rPr>
        <w:t xml:space="preserve">staff </w:t>
      </w:r>
      <w:proofErr w:type="gramStart"/>
      <w:r>
        <w:rPr>
          <w:rFonts w:ascii="Fakt Pro Bln" w:hAnsi="Fakt Pro Bln" w:cs="Circular Std Book"/>
        </w:rPr>
        <w:t>wellbeing, but</w:t>
      </w:r>
      <w:proofErr w:type="gramEnd"/>
      <w:r>
        <w:rPr>
          <w:rFonts w:ascii="Fakt Pro Bln" w:hAnsi="Fakt Pro Bln" w:cs="Circular Std Book"/>
        </w:rPr>
        <w:t xml:space="preserve"> treated </w:t>
      </w:r>
      <w:r w:rsidR="00482E01">
        <w:rPr>
          <w:rFonts w:ascii="Fakt Pro Bln" w:hAnsi="Fakt Pro Bln" w:cs="Circular Std Book"/>
        </w:rPr>
        <w:t>s</w:t>
      </w:r>
      <w:r>
        <w:rPr>
          <w:rFonts w:ascii="Fakt Pro Bln" w:hAnsi="Fakt Pro Bln" w:cs="Circular Std Book"/>
        </w:rPr>
        <w:t xml:space="preserve">ustainability as a side benefit. On the other hand, to Sustainability professionals in large organisations, travel planning has often </w:t>
      </w:r>
      <w:r w:rsidR="004D0EC2">
        <w:rPr>
          <w:rFonts w:ascii="Fakt Pro Bln" w:hAnsi="Fakt Pro Bln" w:cs="Circular Std Book"/>
        </w:rPr>
        <w:t>remained</w:t>
      </w:r>
      <w:r>
        <w:rPr>
          <w:rFonts w:ascii="Fakt Pro Bln" w:hAnsi="Fakt Pro Bln" w:cs="Circular Std Book"/>
        </w:rPr>
        <w:t xml:space="preserve"> on the margin as just one of many things they could try out.</w:t>
      </w:r>
    </w:p>
    <w:p w14:paraId="2C53F208" w14:textId="2B78E5F7" w:rsidR="00917AFC" w:rsidRDefault="00917AFC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68559837" w14:textId="67C08757" w:rsidR="004D0EC2" w:rsidRDefault="0059415D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B</w:t>
      </w:r>
      <w:r w:rsidR="00917AFC">
        <w:rPr>
          <w:rFonts w:ascii="Fakt Pro Bln" w:hAnsi="Fakt Pro Bln" w:cs="Circular Std Book"/>
        </w:rPr>
        <w:t>ring</w:t>
      </w:r>
      <w:r>
        <w:rPr>
          <w:rFonts w:ascii="Fakt Pro Bln" w:hAnsi="Fakt Pro Bln" w:cs="Circular Std Book"/>
        </w:rPr>
        <w:t>ing</w:t>
      </w:r>
      <w:r w:rsidR="00917AFC">
        <w:rPr>
          <w:rFonts w:ascii="Fakt Pro Bln" w:hAnsi="Fakt Pro Bln" w:cs="Circular Std Book"/>
        </w:rPr>
        <w:t xml:space="preserve"> the two fields </w:t>
      </w:r>
      <w:r w:rsidR="004D0EC2">
        <w:rPr>
          <w:rFonts w:ascii="Fakt Pro Bln" w:hAnsi="Fakt Pro Bln" w:cs="Circular Std Book"/>
        </w:rPr>
        <w:t>together</w:t>
      </w:r>
      <w:r>
        <w:rPr>
          <w:rFonts w:ascii="Fakt Pro Bln" w:hAnsi="Fakt Pro Bln" w:cs="Circular Std Book"/>
        </w:rPr>
        <w:t xml:space="preserve"> allows covering</w:t>
      </w:r>
      <w:r w:rsidR="004D0EC2">
        <w:rPr>
          <w:rFonts w:ascii="Fakt Pro Bln" w:hAnsi="Fakt Pro Bln" w:cs="Circular Std Book"/>
        </w:rPr>
        <w:t xml:space="preserve"> two main functions:</w:t>
      </w:r>
    </w:p>
    <w:p w14:paraId="581AEC07" w14:textId="38E1EDFB" w:rsidR="00917AFC" w:rsidRDefault="00917AFC" w:rsidP="004D0EC2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 w:rsidRPr="004D0EC2">
        <w:rPr>
          <w:rFonts w:ascii="Fakt Pro Bln" w:hAnsi="Fakt Pro Bln" w:cs="Circular Std Book"/>
        </w:rPr>
        <w:t>Sustainability Managers in large organisations need travel data to be measured and associated emissions to be inventoried in line with environmental reporting standards. This “</w:t>
      </w:r>
      <w:r w:rsidRPr="004D0EC2">
        <w:rPr>
          <w:rFonts w:ascii="Fakt Pro Bln" w:hAnsi="Fakt Pro Bln" w:cs="Circular Std Book"/>
          <w:b/>
          <w:bCs/>
        </w:rPr>
        <w:t>Measuring</w:t>
      </w:r>
      <w:r w:rsidRPr="004D0EC2">
        <w:rPr>
          <w:rFonts w:ascii="Fakt Pro Bln" w:hAnsi="Fakt Pro Bln" w:cs="Circular Std Book"/>
        </w:rPr>
        <w:t>” function requires the combination of both sustainability and transport expertise.</w:t>
      </w:r>
    </w:p>
    <w:p w14:paraId="4E738801" w14:textId="1CDF4BC9" w:rsidR="004D0EC2" w:rsidRDefault="004D0EC2" w:rsidP="004D0EC2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Both Travel Planners and Sustainability practitioners want to change behaviour. The second key function is therefore “</w:t>
      </w:r>
      <w:r w:rsidRPr="004D0EC2">
        <w:rPr>
          <w:rFonts w:ascii="Fakt Pro Bln" w:hAnsi="Fakt Pro Bln" w:cs="Circular Std Book"/>
          <w:b/>
          <w:bCs/>
        </w:rPr>
        <w:t>Engaging</w:t>
      </w:r>
      <w:r>
        <w:rPr>
          <w:rFonts w:ascii="Fakt Pro Bln" w:hAnsi="Fakt Pro Bln" w:cs="Circular Std Book"/>
        </w:rPr>
        <w:t>”. This relates to employee participation and using behaviour change techniques to turn employees into actors of change rather than recipients of it.</w:t>
      </w:r>
    </w:p>
    <w:p w14:paraId="3D6B1518" w14:textId="0AF8462A" w:rsidR="004D0EC2" w:rsidRDefault="004D0EC2" w:rsidP="004D0EC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71A85FB1" w14:textId="60150AFE" w:rsidR="004D0EC2" w:rsidRDefault="004D0EC2" w:rsidP="004D0EC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As a result of extended market research </w:t>
      </w:r>
      <w:r w:rsidR="00482E01">
        <w:rPr>
          <w:rFonts w:ascii="Fakt Pro Bln" w:hAnsi="Fakt Pro Bln" w:cs="Circular Std Book"/>
        </w:rPr>
        <w:t>of</w:t>
      </w:r>
      <w:r>
        <w:rPr>
          <w:rFonts w:ascii="Fakt Pro Bln" w:hAnsi="Fakt Pro Bln" w:cs="Circular Std Book"/>
        </w:rPr>
        <w:t xml:space="preserve"> large organisations in both public and private sectors, we decided to buil</w:t>
      </w:r>
      <w:r w:rsidR="00D8194D">
        <w:rPr>
          <w:rFonts w:ascii="Fakt Pro Bln" w:hAnsi="Fakt Pro Bln" w:cs="Circular Std Book"/>
        </w:rPr>
        <w:t>d</w:t>
      </w:r>
      <w:r>
        <w:rPr>
          <w:rFonts w:ascii="Fakt Pro Bln" w:hAnsi="Fakt Pro Bln" w:cs="Circular Std Book"/>
        </w:rPr>
        <w:t xml:space="preserve"> a technological platform</w:t>
      </w:r>
      <w:r w:rsidR="00D8194D">
        <w:rPr>
          <w:rFonts w:ascii="Fakt Pro Bln" w:hAnsi="Fakt Pro Bln" w:cs="Circular Std Book"/>
        </w:rPr>
        <w:t xml:space="preserve"> that would help organisations measure commuting and business travel (including associated carbon emissions) while at the same time promoting employee engagement through in-app rewards, personalised insights on CO2 emissions, and a booking feature to access company </w:t>
      </w:r>
      <w:proofErr w:type="spellStart"/>
      <w:r w:rsidR="00D8194D">
        <w:rPr>
          <w:rFonts w:ascii="Fakt Pro Bln" w:hAnsi="Fakt Pro Bln" w:cs="Circular Std Book"/>
        </w:rPr>
        <w:t>ebikes</w:t>
      </w:r>
      <w:proofErr w:type="spellEnd"/>
      <w:r w:rsidR="00D8194D">
        <w:rPr>
          <w:rFonts w:ascii="Fakt Pro Bln" w:hAnsi="Fakt Pro Bln" w:cs="Circular Std Book"/>
        </w:rPr>
        <w:t xml:space="preserve"> and cars for example.</w:t>
      </w:r>
    </w:p>
    <w:p w14:paraId="0E18ED87" w14:textId="6D5D038C" w:rsidR="00D8194D" w:rsidRDefault="00D8194D" w:rsidP="004D0EC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245DF1D8" w14:textId="74628519" w:rsidR="00D8194D" w:rsidRPr="004D0EC2" w:rsidRDefault="00D8194D" w:rsidP="004D0EC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The platform is currently under development and we are keen to engage with the wider industry to share insights and learn from their experience</w:t>
      </w:r>
      <w:r w:rsidR="004F50DE">
        <w:rPr>
          <w:rFonts w:ascii="Fakt Pro Bln" w:hAnsi="Fakt Pro Bln" w:cs="Circular Std Book"/>
        </w:rPr>
        <w:t xml:space="preserve"> of the latest development in Travel Planning and </w:t>
      </w:r>
      <w:r w:rsidR="008764FC">
        <w:rPr>
          <w:rFonts w:ascii="Fakt Pro Bln" w:hAnsi="Fakt Pro Bln" w:cs="Circular Std Book"/>
        </w:rPr>
        <w:t>o</w:t>
      </w:r>
      <w:r w:rsidR="004F50DE">
        <w:rPr>
          <w:rFonts w:ascii="Fakt Pro Bln" w:hAnsi="Fakt Pro Bln" w:cs="Circular Std Book"/>
        </w:rPr>
        <w:t>rganisational Sustainability.</w:t>
      </w:r>
    </w:p>
    <w:sectPr w:rsidR="00D8194D" w:rsidRPr="004D0EC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36435" w14:textId="77777777" w:rsidR="000B3D97" w:rsidRDefault="000B3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25843" w14:textId="77777777" w:rsidR="000B3D97" w:rsidRDefault="000B3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91989" w14:textId="77777777" w:rsidR="000B3D97" w:rsidRDefault="000B3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55pt;height:83.25pt" o:bullet="t">
        <v:imagedata r:id="rId1" o:title="Bullet Point"/>
      </v:shape>
    </w:pict>
  </w:numPicBullet>
  <w:numPicBullet w:numPicBulletId="1">
    <w:pict>
      <v:shape id="_x0000_i1027" type="#_x0000_t75" style="width:177.2pt;height:169.05pt" o:bullet="t">
        <v:imagedata r:id="rId2" o:title="Conf-Icon"/>
      </v:shape>
    </w:pict>
  </w:numPicBullet>
  <w:numPicBullet w:numPicBulletId="2">
    <w:pict>
      <v:shape id="_x0000_i1028" type="#_x0000_t75" style="width:151.5pt;height:144.65pt" o:bullet="t">
        <v:imagedata r:id="rId3" o:title="Conf-Icon"/>
      </v:shape>
    </w:pict>
  </w:numPicBullet>
  <w:numPicBullet w:numPicBulletId="3">
    <w:pict>
      <v:shape id="_x0000_i1029" type="#_x0000_t75" style="width:122.7pt;height:112.7pt" o:bullet="t">
        <v:imagedata r:id="rId4" o:title="Bullet Point"/>
      </v:shape>
    </w:pict>
  </w:numPicBullet>
  <w:numPicBullet w:numPicBulletId="4">
    <w:pict>
      <v:shape id="_x0000_i1030" type="#_x0000_t75" style="width:109.55pt;height:107.0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258"/>
    <w:multiLevelType w:val="hybridMultilevel"/>
    <w:tmpl w:val="C77441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1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B3D97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82E01"/>
    <w:rsid w:val="004D0EC2"/>
    <w:rsid w:val="004D3753"/>
    <w:rsid w:val="004D6306"/>
    <w:rsid w:val="004E3E11"/>
    <w:rsid w:val="004E4B6D"/>
    <w:rsid w:val="004F50DE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415D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05137"/>
    <w:rsid w:val="0081400B"/>
    <w:rsid w:val="00817D3F"/>
    <w:rsid w:val="00831EAC"/>
    <w:rsid w:val="00846CE2"/>
    <w:rsid w:val="00851929"/>
    <w:rsid w:val="00862192"/>
    <w:rsid w:val="00873D75"/>
    <w:rsid w:val="008764FC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17AF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194D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4D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1820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2021-02-16T00:41:00Z</dcterms:created>
  <dcterms:modified xsi:type="dcterms:W3CDTF">2021-02-16T00:41:00Z</dcterms:modified>
</cp:coreProperties>
</file>