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297" w:rsidRPr="004F7FFB" w:rsidRDefault="000B57B4" w:rsidP="00B745C8">
      <w:pPr>
        <w:pStyle w:val="Heading1"/>
        <w:keepNext w:val="0"/>
        <w:spacing w:before="0" w:after="0"/>
        <w:rPr>
          <w:rFonts w:ascii="Circular Std Book" w:hAnsi="Circular Std Book" w:cs="Circular Std Book"/>
          <w:bCs w:val="0"/>
          <w:color w:val="B2D34A"/>
          <w:sz w:val="36"/>
          <w:szCs w:val="36"/>
          <w:lang w:val="en-NZ" w:eastAsia="en-NZ"/>
        </w:rPr>
      </w:pPr>
      <w:r w:rsidRPr="000B57B4">
        <w:rPr>
          <w:rFonts w:ascii="Circular Std Book" w:hAnsi="Circular Std Book" w:cs="Circular Std Book"/>
          <w:bCs w:val="0"/>
          <w:color w:val="B2D34A"/>
          <w:sz w:val="36"/>
          <w:szCs w:val="36"/>
          <w:lang w:val="en-NZ" w:eastAsia="en-NZ"/>
        </w:rPr>
        <w:t>Road lighting- Its night sky impact</w:t>
      </w:r>
      <w:bookmarkStart w:id="0" w:name="_GoBack"/>
      <w:bookmarkEnd w:id="0"/>
    </w:p>
    <w:p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0B57B4" w:rsidRDefault="000B57B4" w:rsidP="000B57B4">
            <w:pPr>
              <w:spacing w:before="120" w:after="40"/>
              <w:rPr>
                <w:rFonts w:ascii="Fakt Pro Bln" w:hAnsi="Fakt Pro Bln" w:cs="Circular Std Book"/>
                <w:sz w:val="22"/>
                <w:szCs w:val="22"/>
              </w:rPr>
            </w:pPr>
            <w:bookmarkStart w:id="1" w:name="_Hlk20403679"/>
            <w:r>
              <w:rPr>
                <w:rFonts w:ascii="Fakt Pro Bln" w:hAnsi="Fakt Pro Bln" w:cs="Circular Std Book"/>
                <w:sz w:val="22"/>
                <w:szCs w:val="22"/>
              </w:rPr>
              <w:t xml:space="preserve">Streetlighting related sky glow is a legitimate concern </w:t>
            </w:r>
            <w:bookmarkEnd w:id="1"/>
            <w:r>
              <w:rPr>
                <w:rFonts w:ascii="Fakt Pro Bln" w:hAnsi="Fakt Pro Bln" w:cs="Circular Std Book"/>
                <w:sz w:val="22"/>
                <w:szCs w:val="22"/>
              </w:rPr>
              <w:t>but local information about its prevalence and importance is sparse. This project was a first step towards providing such information. Part 1 investigated spatial aspects of sky glow in two relatively dark rural highway settings and part 2 investigated the temporal aspects of sky glow in the Wellington CBD to identify contributions from a range of artificial light sources. A calibrated DSLR camera was used to estimate sky glow.</w:t>
            </w:r>
          </w:p>
          <w:p w:rsidR="000B57B4" w:rsidRDefault="000B57B4" w:rsidP="000B57B4">
            <w:pPr>
              <w:spacing w:before="120" w:after="40"/>
              <w:rPr>
                <w:rFonts w:ascii="Fakt Pro Bln" w:hAnsi="Fakt Pro Bln" w:cs="Circular Std Book"/>
                <w:sz w:val="22"/>
                <w:szCs w:val="22"/>
              </w:rPr>
            </w:pPr>
            <w:r>
              <w:rPr>
                <w:rFonts w:ascii="Fakt Pro Bln" w:hAnsi="Fakt Pro Bln" w:cs="Circular Std Book"/>
                <w:sz w:val="22"/>
                <w:szCs w:val="22"/>
              </w:rPr>
              <w:t xml:space="preserve">Part 1 used a series of sky glow measurements up to 2 kilometres along roads aligned perpendicular to SH1 lighting at </w:t>
            </w:r>
            <w:proofErr w:type="spellStart"/>
            <w:r>
              <w:rPr>
                <w:rFonts w:ascii="Fakt Pro Bln" w:hAnsi="Fakt Pro Bln" w:cs="Circular Std Book"/>
                <w:sz w:val="22"/>
                <w:szCs w:val="22"/>
              </w:rPr>
              <w:t>Peka</w:t>
            </w:r>
            <w:proofErr w:type="spellEnd"/>
            <w:r>
              <w:rPr>
                <w:rFonts w:ascii="Fakt Pro Bln" w:hAnsi="Fakt Pro Bln" w:cs="Circular Std Book"/>
                <w:sz w:val="22"/>
                <w:szCs w:val="22"/>
              </w:rPr>
              <w:t xml:space="preserve"> </w:t>
            </w:r>
            <w:proofErr w:type="spellStart"/>
            <w:r>
              <w:rPr>
                <w:rFonts w:ascii="Fakt Pro Bln" w:hAnsi="Fakt Pro Bln" w:cs="Circular Std Book"/>
                <w:sz w:val="22"/>
                <w:szCs w:val="22"/>
              </w:rPr>
              <w:t>Peka</w:t>
            </w:r>
            <w:proofErr w:type="spellEnd"/>
            <w:r>
              <w:rPr>
                <w:rFonts w:ascii="Fakt Pro Bln" w:hAnsi="Fakt Pro Bln" w:cs="Circular Std Book"/>
                <w:sz w:val="22"/>
                <w:szCs w:val="22"/>
              </w:rPr>
              <w:t xml:space="preserve"> (LED) and </w:t>
            </w:r>
            <w:proofErr w:type="spellStart"/>
            <w:r>
              <w:rPr>
                <w:rFonts w:ascii="Fakt Pro Bln" w:hAnsi="Fakt Pro Bln" w:cs="Circular Std Book"/>
                <w:sz w:val="22"/>
                <w:szCs w:val="22"/>
              </w:rPr>
              <w:t>MacKays</w:t>
            </w:r>
            <w:proofErr w:type="spellEnd"/>
            <w:r>
              <w:rPr>
                <w:rFonts w:ascii="Fakt Pro Bln" w:hAnsi="Fakt Pro Bln" w:cs="Circular Std Book"/>
                <w:sz w:val="22"/>
                <w:szCs w:val="22"/>
              </w:rPr>
              <w:t xml:space="preserve"> Crossing (HPS). At both sites the sky glow decayed asymptotically reaching minima 1.5 to 2 kilometres from the highway.</w:t>
            </w:r>
          </w:p>
          <w:p w:rsidR="000B57B4" w:rsidRDefault="000B57B4" w:rsidP="000B57B4">
            <w:pPr>
              <w:spacing w:before="120" w:after="40"/>
              <w:rPr>
                <w:rFonts w:ascii="Fakt Pro Bln" w:hAnsi="Fakt Pro Bln" w:cs="Circular Std Book"/>
                <w:sz w:val="22"/>
                <w:szCs w:val="22"/>
              </w:rPr>
            </w:pPr>
            <w:r>
              <w:rPr>
                <w:rFonts w:ascii="Fakt Pro Bln" w:hAnsi="Fakt Pro Bln" w:cs="Circular Std Book"/>
                <w:sz w:val="22"/>
                <w:szCs w:val="22"/>
              </w:rPr>
              <w:t xml:space="preserve">At </w:t>
            </w:r>
            <w:proofErr w:type="spellStart"/>
            <w:r>
              <w:rPr>
                <w:rFonts w:ascii="Fakt Pro Bln" w:hAnsi="Fakt Pro Bln" w:cs="Circular Std Book"/>
                <w:sz w:val="22"/>
                <w:szCs w:val="22"/>
              </w:rPr>
              <w:t>Peka</w:t>
            </w:r>
            <w:proofErr w:type="spellEnd"/>
            <w:r>
              <w:rPr>
                <w:rFonts w:ascii="Fakt Pro Bln" w:hAnsi="Fakt Pro Bln" w:cs="Circular Std Book"/>
                <w:sz w:val="22"/>
                <w:szCs w:val="22"/>
              </w:rPr>
              <w:t xml:space="preserve"> </w:t>
            </w:r>
            <w:proofErr w:type="spellStart"/>
            <w:r>
              <w:rPr>
                <w:rFonts w:ascii="Fakt Pro Bln" w:hAnsi="Fakt Pro Bln" w:cs="Circular Std Book"/>
                <w:sz w:val="22"/>
                <w:szCs w:val="22"/>
              </w:rPr>
              <w:t>Peka</w:t>
            </w:r>
            <w:proofErr w:type="spellEnd"/>
            <w:r>
              <w:rPr>
                <w:rFonts w:ascii="Fakt Pro Bln" w:hAnsi="Fakt Pro Bln" w:cs="Circular Std Book"/>
                <w:sz w:val="22"/>
                <w:szCs w:val="22"/>
              </w:rPr>
              <w:t xml:space="preserve"> the maximum contribution to sky glow from the SH1 lighting was estimated at 0.097 mcd/m2 and at </w:t>
            </w:r>
            <w:proofErr w:type="spellStart"/>
            <w:r>
              <w:rPr>
                <w:rFonts w:ascii="Fakt Pro Bln" w:hAnsi="Fakt Pro Bln" w:cs="Circular Std Book"/>
                <w:sz w:val="22"/>
                <w:szCs w:val="22"/>
              </w:rPr>
              <w:t>MacKays</w:t>
            </w:r>
            <w:proofErr w:type="spellEnd"/>
            <w:r>
              <w:rPr>
                <w:rFonts w:ascii="Fakt Pro Bln" w:hAnsi="Fakt Pro Bln" w:cs="Circular Std Book"/>
                <w:sz w:val="22"/>
                <w:szCs w:val="22"/>
              </w:rPr>
              <w:t xml:space="preserve"> Crossing 0.18 mcd/m2, somewhat higher than that at </w:t>
            </w:r>
            <w:proofErr w:type="spellStart"/>
            <w:r>
              <w:rPr>
                <w:rFonts w:ascii="Fakt Pro Bln" w:hAnsi="Fakt Pro Bln" w:cs="Circular Std Book"/>
                <w:sz w:val="22"/>
                <w:szCs w:val="22"/>
              </w:rPr>
              <w:t>Peka</w:t>
            </w:r>
            <w:proofErr w:type="spellEnd"/>
            <w:r>
              <w:rPr>
                <w:rFonts w:ascii="Fakt Pro Bln" w:hAnsi="Fakt Pro Bln" w:cs="Circular Std Book"/>
                <w:sz w:val="22"/>
                <w:szCs w:val="22"/>
              </w:rPr>
              <w:t xml:space="preserve"> </w:t>
            </w:r>
            <w:proofErr w:type="spellStart"/>
            <w:r>
              <w:rPr>
                <w:rFonts w:ascii="Fakt Pro Bln" w:hAnsi="Fakt Pro Bln" w:cs="Circular Std Book"/>
                <w:sz w:val="22"/>
                <w:szCs w:val="22"/>
              </w:rPr>
              <w:t>Peka</w:t>
            </w:r>
            <w:proofErr w:type="spellEnd"/>
            <w:r>
              <w:rPr>
                <w:rFonts w:ascii="Fakt Pro Bln" w:hAnsi="Fakt Pro Bln" w:cs="Circular Std Book"/>
                <w:sz w:val="22"/>
                <w:szCs w:val="22"/>
              </w:rPr>
              <w:t>.</w:t>
            </w:r>
          </w:p>
          <w:p w:rsidR="000B57B4" w:rsidRDefault="000B57B4" w:rsidP="000B57B4">
            <w:pPr>
              <w:spacing w:before="120" w:after="40"/>
              <w:rPr>
                <w:rFonts w:ascii="Fakt Pro Bln" w:hAnsi="Fakt Pro Bln" w:cs="Circular Std Book"/>
                <w:sz w:val="22"/>
                <w:szCs w:val="22"/>
              </w:rPr>
            </w:pPr>
            <w:r>
              <w:rPr>
                <w:rFonts w:ascii="Fakt Pro Bln" w:hAnsi="Fakt Pro Bln" w:cs="Circular Std Book"/>
                <w:sz w:val="22"/>
                <w:szCs w:val="22"/>
              </w:rPr>
              <w:t>Part 2 investigated the relative contributions to sky glow from various artificial light sources throughout the night. These included variable light from high rise buildings, houses and flats, vehicle headlights and static (unvarying) lights from streetlights, port lighting, railyard lighting, security lighting, and advertising signs.</w:t>
            </w:r>
          </w:p>
          <w:p w:rsidR="000B57B4" w:rsidRDefault="000B57B4" w:rsidP="000B57B4">
            <w:pPr>
              <w:spacing w:before="120" w:after="40"/>
              <w:rPr>
                <w:rFonts w:ascii="Fakt Pro Bln" w:hAnsi="Fakt Pro Bln" w:cs="Circular Std Book"/>
                <w:sz w:val="22"/>
                <w:szCs w:val="22"/>
              </w:rPr>
            </w:pPr>
            <w:r>
              <w:rPr>
                <w:rFonts w:ascii="Fakt Pro Bln" w:hAnsi="Fakt Pro Bln" w:cs="Circular Std Book"/>
                <w:sz w:val="22"/>
                <w:szCs w:val="22"/>
              </w:rPr>
              <w:t xml:space="preserve">Data sources on these temporal changes were two sets of </w:t>
            </w:r>
            <w:proofErr w:type="gramStart"/>
            <w:r>
              <w:rPr>
                <w:rFonts w:ascii="Fakt Pro Bln" w:hAnsi="Fakt Pro Bln" w:cs="Circular Std Book"/>
                <w:sz w:val="22"/>
                <w:szCs w:val="22"/>
              </w:rPr>
              <w:t>all night time lapse</w:t>
            </w:r>
            <w:proofErr w:type="gramEnd"/>
            <w:r>
              <w:rPr>
                <w:rFonts w:ascii="Fakt Pro Bln" w:hAnsi="Fakt Pro Bln" w:cs="Circular Std Book"/>
                <w:sz w:val="22"/>
                <w:szCs w:val="22"/>
              </w:rPr>
              <w:t xml:space="preserve"> photographs taken from the roof of the Met Service building in Wellington and council traffic volume data. Which relates to headlight usage.  Static lighting was the most important contributor flowed by high rise and residential which had dissimilar temporal patterns. Car headlights made a relatively small contribution. The ranges found were:</w:t>
            </w:r>
          </w:p>
          <w:p w:rsidR="000B57B4" w:rsidRDefault="000B57B4" w:rsidP="000B57B4">
            <w:pPr>
              <w:spacing w:before="120" w:after="40"/>
              <w:rPr>
                <w:rFonts w:ascii="Fakt Pro Bln" w:hAnsi="Fakt Pro Bln" w:cs="Circular Std Book"/>
                <w:sz w:val="22"/>
                <w:szCs w:val="22"/>
              </w:rPr>
            </w:pPr>
            <w:r>
              <w:rPr>
                <w:rFonts w:ascii="Fakt Pro Bln" w:hAnsi="Fakt Pro Bln" w:cs="Circular Std Book"/>
                <w:sz w:val="22"/>
                <w:szCs w:val="22"/>
              </w:rPr>
              <w:t>Vehicle headlights: 3% to 0%)</w:t>
            </w:r>
          </w:p>
          <w:p w:rsidR="000B57B4" w:rsidRDefault="000B57B4" w:rsidP="000B57B4">
            <w:pPr>
              <w:spacing w:before="120" w:after="40"/>
              <w:rPr>
                <w:rFonts w:ascii="Fakt Pro Bln" w:hAnsi="Fakt Pro Bln" w:cs="Circular Std Book"/>
                <w:sz w:val="22"/>
                <w:szCs w:val="22"/>
              </w:rPr>
            </w:pPr>
            <w:r>
              <w:rPr>
                <w:rFonts w:ascii="Fakt Pro Bln" w:hAnsi="Fakt Pro Bln" w:cs="Circular Std Book"/>
                <w:sz w:val="22"/>
                <w:szCs w:val="22"/>
              </w:rPr>
              <w:t>Residential:  18% to 1%</w:t>
            </w:r>
          </w:p>
          <w:p w:rsidR="000B57B4" w:rsidRDefault="000B57B4" w:rsidP="000B57B4">
            <w:pPr>
              <w:spacing w:before="120" w:after="40"/>
              <w:rPr>
                <w:rFonts w:ascii="Fakt Pro Bln" w:hAnsi="Fakt Pro Bln" w:cs="Circular Std Book"/>
                <w:sz w:val="22"/>
                <w:szCs w:val="22"/>
              </w:rPr>
            </w:pPr>
            <w:r>
              <w:rPr>
                <w:rFonts w:ascii="Fakt Pro Bln" w:hAnsi="Fakt Pro Bln" w:cs="Circular Std Book"/>
                <w:sz w:val="22"/>
                <w:szCs w:val="22"/>
              </w:rPr>
              <w:t>High rise office:  7% to 3%</w:t>
            </w:r>
          </w:p>
          <w:p w:rsidR="000B57B4" w:rsidRDefault="000B57B4" w:rsidP="000B57B4">
            <w:pPr>
              <w:spacing w:before="120" w:after="40"/>
              <w:rPr>
                <w:rFonts w:ascii="Fakt Pro Bln" w:hAnsi="Fakt Pro Bln" w:cs="Circular Std Book"/>
                <w:sz w:val="22"/>
                <w:szCs w:val="22"/>
              </w:rPr>
            </w:pPr>
            <w:r>
              <w:rPr>
                <w:rFonts w:ascii="Fakt Pro Bln" w:hAnsi="Fakt Pro Bln" w:cs="Circular Std Book"/>
                <w:sz w:val="22"/>
                <w:szCs w:val="22"/>
              </w:rPr>
              <w:t>Static (unvarying) lighting:  72% to 96%</w:t>
            </w:r>
          </w:p>
          <w:p w:rsidR="000B57B4" w:rsidRDefault="000B57B4" w:rsidP="000B57B4">
            <w:pPr>
              <w:spacing w:before="120" w:after="40"/>
              <w:rPr>
                <w:rFonts w:ascii="Fakt Pro Bln" w:hAnsi="Fakt Pro Bln" w:cs="Circular Std Book"/>
                <w:sz w:val="22"/>
                <w:szCs w:val="22"/>
              </w:rPr>
            </w:pPr>
            <w:r>
              <w:rPr>
                <w:rFonts w:ascii="Fakt Pro Bln" w:hAnsi="Fakt Pro Bln" w:cs="Circular Std Book"/>
                <w:sz w:val="22"/>
                <w:szCs w:val="22"/>
              </w:rPr>
              <w:t>The relative contributions from each static source could not be isolated and await further research.</w:t>
            </w:r>
          </w:p>
          <w:p w:rsidR="00657112" w:rsidRPr="00AC2F42" w:rsidRDefault="00657112" w:rsidP="00E73FE4">
            <w:pPr>
              <w:rPr>
                <w:rFonts w:ascii="Graphik Regular" w:hAnsi="Graphik Regular" w:cs="Circular Std Book"/>
                <w:sz w:val="22"/>
                <w:szCs w:val="22"/>
              </w:rPr>
            </w:pPr>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ircular Std Book"/>
    <w:panose1 w:val="020B0604020101020102"/>
    <w:charset w:val="00"/>
    <w:family w:val="swiss"/>
    <w:notTrueType/>
    <w:pitch w:val="variable"/>
    <w:sig w:usb0="8000002F" w:usb1="5000E47B" w:usb2="00000008" w:usb3="00000000" w:csb0="00000001" w:csb1="00000000"/>
  </w:font>
  <w:font w:name="Fakt Pro Bln">
    <w:altName w:val="Calibri"/>
    <w:panose1 w:val="02000000000000000000"/>
    <w:charset w:val="00"/>
    <w:family w:val="modern"/>
    <w:notTrueType/>
    <w:pitch w:val="variable"/>
    <w:sig w:usb0="00000087" w:usb1="00000001" w:usb2="00000000" w:usb3="00000000" w:csb0="0000009B" w:csb1="00000000"/>
  </w:font>
  <w:font w:name="Graphik Regular">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6D2" w:rsidRDefault="009202AF" w:rsidP="009202AF">
    <w:pPr>
      <w:pStyle w:val="Footer"/>
      <w:ind w:left="-709"/>
      <w:jc w:val="right"/>
    </w:pPr>
    <w:r>
      <w:rPr>
        <w:noProof/>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FB" w:rsidRDefault="000036D2">
    <w:pPr>
      <w:pStyle w:val="Header"/>
    </w:pPr>
    <w:r>
      <w:rPr>
        <w:noProof/>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65pt;height:82.9pt" o:bullet="t">
        <v:imagedata r:id="rId1" o:title="Bullet Point"/>
      </v:shape>
    </w:pict>
  </w:numPicBullet>
  <w:numPicBullet w:numPicBulletId="1">
    <w:pict>
      <v:shape id="_x0000_i1027" type="#_x0000_t75" style="width:176.65pt;height:169.1pt" o:bullet="t">
        <v:imagedata r:id="rId2" o:title="Conf-Icon"/>
      </v:shape>
    </w:pict>
  </w:numPicBullet>
  <w:numPicBullet w:numPicBulletId="2">
    <w:pict>
      <v:shape id="_x0000_i1028" type="#_x0000_t75" style="width:151.55pt;height:144.85pt" o:bullet="t">
        <v:imagedata r:id="rId3" o:title="Conf-Icon"/>
      </v:shape>
    </w:pict>
  </w:numPicBullet>
  <w:numPicBullet w:numPicBulletId="3">
    <w:pict>
      <v:shape id="_x0000_i1029" type="#_x0000_t75" style="width:122.25pt;height:112.2pt" o:bullet="t">
        <v:imagedata r:id="rId4" o:title="Bullet Point"/>
      </v:shape>
    </w:pict>
  </w:numPicBullet>
  <w:numPicBullet w:numPicBulletId="4">
    <w:pict>
      <v:shape id="_x0000_i1030" type="#_x0000_t75" style="width:109.65pt;height:107.1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B57B4"/>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9C878-A4E7-45E3-82D1-60FAA1DE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1953</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Lizzie</cp:lastModifiedBy>
  <cp:revision>2</cp:revision>
  <cp:lastPrinted>2017-09-24T23:53:00Z</cp:lastPrinted>
  <dcterms:created xsi:type="dcterms:W3CDTF">2019-10-17T00:45:00Z</dcterms:created>
  <dcterms:modified xsi:type="dcterms:W3CDTF">2019-10-17T00:45:00Z</dcterms:modified>
</cp:coreProperties>
</file>