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4B0C" w14:textId="55FA361F" w:rsidR="00714297" w:rsidRPr="00D35B40" w:rsidRDefault="003261C0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ABB6"/>
          <w:sz w:val="36"/>
          <w:szCs w:val="36"/>
          <w:lang w:val="en-NZ" w:eastAsia="en-NZ"/>
        </w:rPr>
        <w:t>Biking and Micro-mobility Programme for Hamilton</w:t>
      </w:r>
    </w:p>
    <w:p w14:paraId="621716A6" w14:textId="091023D1" w:rsidR="00DF7B85" w:rsidRPr="00DA3906" w:rsidRDefault="008A78B8" w:rsidP="006E24A2">
      <w:pPr>
        <w:ind w:left="45"/>
        <w:rPr>
          <w:rFonts w:ascii="Fakt Pro Bln" w:hAnsi="Fakt Pro Bln" w:cs="Circular Std Book"/>
          <w:b/>
          <w:sz w:val="20"/>
          <w:szCs w:val="20"/>
        </w:rPr>
      </w:pPr>
      <w:r>
        <w:rPr>
          <w:rFonts w:ascii="Fakt Pro Bln" w:hAnsi="Fakt Pro Bln" w:cs="Circular Std Book"/>
          <w:b/>
          <w:sz w:val="20"/>
          <w:szCs w:val="20"/>
        </w:rPr>
        <w:t xml:space="preserve">Martin Parkes </w:t>
      </w:r>
      <w:r w:rsidR="00B93333">
        <w:rPr>
          <w:rFonts w:ascii="Fakt Pro Bln" w:hAnsi="Fakt Pro Bln" w:cs="Circular Std Book"/>
          <w:b/>
          <w:sz w:val="20"/>
          <w:szCs w:val="20"/>
        </w:rPr>
        <w:t xml:space="preserve">(Hamilton City Council), </w:t>
      </w:r>
      <w:r>
        <w:rPr>
          <w:rFonts w:ascii="Fakt Pro Bln" w:hAnsi="Fakt Pro Bln" w:cs="Circular Std Book"/>
          <w:b/>
          <w:sz w:val="20"/>
          <w:szCs w:val="20"/>
        </w:rPr>
        <w:t>and Nathan Harper</w:t>
      </w:r>
      <w:r w:rsidR="00B93333">
        <w:rPr>
          <w:rFonts w:ascii="Fakt Pro Bln" w:hAnsi="Fakt Pro Bln" w:cs="Circular Std Book"/>
          <w:b/>
          <w:sz w:val="20"/>
          <w:szCs w:val="20"/>
        </w:rPr>
        <w:t xml:space="preserve"> (AECOM)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7CAA9A6" w14:textId="432F7054" w:rsidR="006E24A2" w:rsidRPr="006E24A2" w:rsidRDefault="006E24A2" w:rsidP="00CC27DD">
            <w:p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>People need to go places every day safely, efficiently, and reliably.  In Hamilton these journeys use a variety of modes of travel with most people using private car to get around, causing congestion on our roads and streets at peak times.  With high growth forecast</w:t>
            </w:r>
            <w:r w:rsidR="00943520">
              <w:rPr>
                <w:rFonts w:ascii="Graphik Regular" w:hAnsi="Graphik Regular" w:cs="Circular Std Book"/>
                <w:sz w:val="22"/>
                <w:szCs w:val="22"/>
              </w:rPr>
              <w:t xml:space="preserve"> of more than 60%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 for Hamilton</w:t>
            </w:r>
            <w:r w:rsidR="00943520">
              <w:rPr>
                <w:rFonts w:ascii="Graphik Regular" w:hAnsi="Graphik Regular" w:cs="Circular Std Book"/>
                <w:sz w:val="22"/>
                <w:szCs w:val="22"/>
              </w:rPr>
              <w:t xml:space="preserve"> over the next 30 years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>, congestion will become crippling to everyday travel in the future unless we do something different</w:t>
            </w:r>
            <w:r w:rsidR="00CC27DD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  <w:p w14:paraId="442619C6" w14:textId="100C6F62" w:rsidR="00943520" w:rsidRDefault="006E24A2" w:rsidP="00CC27DD">
            <w:p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People riding bikes and other forms of micro-mobility </w:t>
            </w:r>
            <w:r w:rsidR="00943520"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(encompassing bikes, e-scooters and e-skateboards etc.) 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>make up a very small proportion of total travel in Hamilton at 3.8%.  The trip distance profile, speed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of travel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,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trip purpose 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and nature of biking and micro-mobility trips are similar, and have different </w:t>
            </w:r>
            <w:r w:rsidR="00B93333">
              <w:rPr>
                <w:rFonts w:ascii="Graphik Regular" w:hAnsi="Graphik Regular" w:cs="Circular Std Book"/>
                <w:sz w:val="22"/>
                <w:szCs w:val="22"/>
              </w:rPr>
              <w:t xml:space="preserve">investment 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needs from walking,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public transport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, and traffic modes.  </w:t>
            </w:r>
          </w:p>
          <w:p w14:paraId="6928DAA6" w14:textId="5E2F8143" w:rsidR="000A473F" w:rsidRDefault="00CC27DD" w:rsidP="00CC27DD">
            <w:p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presentation will summarise the </w:t>
            </w:r>
            <w:r w:rsidR="00943520" w:rsidRPr="006E24A2">
              <w:rPr>
                <w:rFonts w:ascii="Graphik Regular" w:hAnsi="Graphik Regular" w:cs="Circular Std Book"/>
                <w:sz w:val="22"/>
                <w:szCs w:val="22"/>
              </w:rPr>
              <w:t>Biking and Micro-mobility Programme Single Stage Business Case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, which includes </w:t>
            </w:r>
            <w:r w:rsidR="00943520"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a coordinated </w:t>
            </w:r>
            <w:r w:rsidR="008A78B8">
              <w:rPr>
                <w:rFonts w:ascii="Graphik Regular" w:hAnsi="Graphik Regular" w:cs="Circular Std Book"/>
                <w:sz w:val="22"/>
                <w:szCs w:val="22"/>
              </w:rPr>
              <w:t xml:space="preserve">and prioritised </w:t>
            </w:r>
            <w:r w:rsidR="00943520" w:rsidRPr="006E24A2">
              <w:rPr>
                <w:rFonts w:ascii="Graphik Regular" w:hAnsi="Graphik Regular" w:cs="Circular Std Book"/>
                <w:sz w:val="22"/>
                <w:szCs w:val="22"/>
              </w:rPr>
              <w:t>programme of infrastructure and non-infrastructure activities to make Hamilton a city where many more people use bikes and micro-mobility devices day-to-day</w:t>
            </w:r>
            <w:r w:rsidR="000A473F">
              <w:rPr>
                <w:rFonts w:ascii="Graphik Regular" w:hAnsi="Graphik Regular" w:cs="Circular Std Book"/>
                <w:sz w:val="22"/>
                <w:szCs w:val="22"/>
              </w:rPr>
              <w:t xml:space="preserve">. The programme is founded on a vision for how a </w:t>
            </w:r>
            <w:r w:rsidR="000A473F"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comprehensive </w:t>
            </w:r>
            <w:r w:rsidR="000A473F">
              <w:rPr>
                <w:rFonts w:ascii="Graphik Regular" w:hAnsi="Graphik Regular" w:cs="Circular Std Book"/>
                <w:sz w:val="22"/>
                <w:szCs w:val="22"/>
              </w:rPr>
              <w:t>segregated strategic n</w:t>
            </w:r>
            <w:r w:rsidR="000A473F" w:rsidRPr="006E24A2">
              <w:rPr>
                <w:rFonts w:ascii="Graphik Regular" w:hAnsi="Graphik Regular" w:cs="Circular Std Book"/>
                <w:sz w:val="22"/>
                <w:szCs w:val="22"/>
              </w:rPr>
              <w:t>etwork</w:t>
            </w:r>
            <w:r w:rsidR="000A473F">
              <w:rPr>
                <w:rFonts w:ascii="Graphik Regular" w:hAnsi="Graphik Regular" w:cs="Circular Std Book"/>
                <w:sz w:val="22"/>
                <w:szCs w:val="22"/>
              </w:rPr>
              <w:t xml:space="preserve"> could be developed in Hamilton, </w:t>
            </w:r>
            <w:r w:rsidR="00943520"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helping shape our city that is easy to live in and move around. </w:t>
            </w:r>
          </w:p>
          <w:p w14:paraId="2A64DEBE" w14:textId="34ACEDBA" w:rsidR="008A78B8" w:rsidRDefault="006E24A2" w:rsidP="00CC27DD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Investment in </w:t>
            </w:r>
            <w:r w:rsidR="008A78B8"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Pr="006E24A2">
              <w:rPr>
                <w:rFonts w:ascii="Graphik Regular" w:hAnsi="Graphik Regular" w:cs="Circular Std Book"/>
                <w:sz w:val="22"/>
                <w:szCs w:val="22"/>
              </w:rPr>
              <w:t xml:space="preserve">biking and micro-mobility </w:t>
            </w:r>
            <w:r w:rsidR="000A473F">
              <w:rPr>
                <w:rFonts w:ascii="Graphik Regular" w:hAnsi="Graphik Regular" w:cs="Circular Std Book"/>
                <w:sz w:val="22"/>
                <w:szCs w:val="22"/>
              </w:rPr>
              <w:t xml:space="preserve">programme </w:t>
            </w:r>
            <w:r w:rsidR="008A78B8">
              <w:rPr>
                <w:rFonts w:ascii="Graphik Regular" w:hAnsi="Graphik Regular" w:cs="Circular Std Book"/>
                <w:sz w:val="22"/>
                <w:szCs w:val="22"/>
              </w:rPr>
              <w:t>is expected to:</w:t>
            </w:r>
          </w:p>
          <w:p w14:paraId="63725CAA" w14:textId="77777777" w:rsidR="00B93333" w:rsidRDefault="00B93333" w:rsidP="00B93333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R</w:t>
            </w:r>
            <w:r w:rsidRPr="00E14A1D">
              <w:rPr>
                <w:rFonts w:ascii="Graphik Regular" w:hAnsi="Graphik Regular" w:cs="Circular Std Book"/>
                <w:sz w:val="22"/>
                <w:szCs w:val="22"/>
              </w:rPr>
              <w:t>educ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e</w:t>
            </w:r>
            <w:r w:rsidRPr="00E14A1D">
              <w:rPr>
                <w:rFonts w:ascii="Graphik Regular" w:hAnsi="Graphik Regular" w:cs="Circular Std Book"/>
                <w:sz w:val="22"/>
                <w:szCs w:val="22"/>
              </w:rPr>
              <w:t xml:space="preserve"> death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s</w:t>
            </w:r>
            <w:r w:rsidRPr="00E14A1D">
              <w:rPr>
                <w:rFonts w:ascii="Graphik Regular" w:hAnsi="Graphik Regular" w:cs="Circular Std Book"/>
                <w:sz w:val="22"/>
                <w:szCs w:val="22"/>
              </w:rPr>
              <w:t xml:space="preserve"> and serious injur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ies</w:t>
            </w:r>
          </w:p>
          <w:p w14:paraId="3559BF13" w14:textId="3E25C174" w:rsidR="00B93333" w:rsidRPr="008A78B8" w:rsidRDefault="00B93333" w:rsidP="00B93333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Increase the perception of safety</w:t>
            </w:r>
          </w:p>
          <w:p w14:paraId="03969AF5" w14:textId="7792E6D6" w:rsidR="008A78B8" w:rsidRPr="008A78B8" w:rsidRDefault="008A78B8" w:rsidP="008A78B8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>P</w:t>
            </w:r>
            <w:r w:rsidR="006E24A2" w:rsidRPr="008A78B8">
              <w:rPr>
                <w:rFonts w:ascii="Graphik Regular" w:hAnsi="Graphik Regular" w:cs="Circular Std Book"/>
                <w:sz w:val="22"/>
                <w:szCs w:val="22"/>
              </w:rPr>
              <w:t>rovide more travel choices for shorter trips</w:t>
            </w:r>
          </w:p>
          <w:p w14:paraId="59AEA6FD" w14:textId="182305EF" w:rsidR="008A78B8" w:rsidRDefault="008A78B8" w:rsidP="008A78B8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>Improve mode share</w:t>
            </w:r>
            <w:r w:rsidR="00CC27DD">
              <w:rPr>
                <w:rFonts w:ascii="Graphik Regular" w:hAnsi="Graphik Regular" w:cs="Circular Std Book"/>
                <w:sz w:val="22"/>
                <w:szCs w:val="22"/>
              </w:rPr>
              <w:t xml:space="preserve"> for </w:t>
            </w:r>
            <w:r w:rsidR="00B93333">
              <w:rPr>
                <w:rFonts w:ascii="Graphik Regular" w:hAnsi="Graphik Regular" w:cs="Circular Std Book"/>
                <w:sz w:val="22"/>
                <w:szCs w:val="22"/>
              </w:rPr>
              <w:t>active modes</w:t>
            </w:r>
          </w:p>
          <w:p w14:paraId="3F36BE4B" w14:textId="4E0CD5F5" w:rsidR="00CC27DD" w:rsidRPr="008A78B8" w:rsidRDefault="00CC27DD" w:rsidP="00CC27DD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>Improve people’s physical health</w:t>
            </w:r>
          </w:p>
          <w:p w14:paraId="775E565A" w14:textId="7532120A" w:rsidR="00B93333" w:rsidRDefault="00B93333" w:rsidP="008A78B8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 xml:space="preserve">Reduce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carbon </w:t>
            </w: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>emissions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, </w:t>
            </w:r>
          </w:p>
          <w:p w14:paraId="706C3B64" w14:textId="687EE97E" w:rsidR="008A78B8" w:rsidRPr="00B93333" w:rsidRDefault="00B93333" w:rsidP="005A55FC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B93333">
              <w:rPr>
                <w:rFonts w:ascii="Graphik Regular" w:hAnsi="Graphik Regular" w:cs="Circular Std Book"/>
                <w:sz w:val="22"/>
                <w:szCs w:val="22"/>
              </w:rPr>
              <w:t>M</w:t>
            </w:r>
            <w:r w:rsidR="006E24A2" w:rsidRPr="00B93333">
              <w:rPr>
                <w:rFonts w:ascii="Graphik Regular" w:hAnsi="Graphik Regular" w:cs="Circular Std Book"/>
                <w:sz w:val="22"/>
                <w:szCs w:val="22"/>
              </w:rPr>
              <w:t>itigate future investment in road capacity</w:t>
            </w:r>
            <w:r w:rsidRPr="00B93333">
              <w:rPr>
                <w:rFonts w:ascii="Graphik Regular" w:hAnsi="Graphik Regular" w:cs="Circular Std Book"/>
                <w:sz w:val="22"/>
                <w:szCs w:val="22"/>
              </w:rPr>
              <w:t>, and</w:t>
            </w:r>
          </w:p>
          <w:p w14:paraId="350A42D5" w14:textId="0028B913" w:rsidR="006E24A2" w:rsidRPr="008A78B8" w:rsidRDefault="008A78B8" w:rsidP="008A78B8">
            <w:pPr>
              <w:pStyle w:val="ListParagraph"/>
              <w:numPr>
                <w:ilvl w:val="0"/>
                <w:numId w:val="33"/>
              </w:numPr>
              <w:spacing w:after="120"/>
              <w:rPr>
                <w:rFonts w:ascii="Graphik Regular" w:hAnsi="Graphik Regular" w:cs="Circular Std Book"/>
                <w:sz w:val="22"/>
                <w:szCs w:val="22"/>
              </w:rPr>
            </w:pPr>
            <w:r w:rsidRPr="008A78B8">
              <w:rPr>
                <w:rFonts w:ascii="Graphik Regular" w:hAnsi="Graphik Regular" w:cs="Circular Std Book"/>
                <w:sz w:val="22"/>
                <w:szCs w:val="22"/>
              </w:rPr>
              <w:t>H</w:t>
            </w:r>
            <w:r w:rsidR="006E24A2" w:rsidRPr="008A78B8">
              <w:rPr>
                <w:rFonts w:ascii="Graphik Regular" w:hAnsi="Graphik Regular" w:cs="Circular Std Book"/>
                <w:sz w:val="22"/>
                <w:szCs w:val="22"/>
              </w:rPr>
              <w:t>elp to make Hamilton more liveable for its people.</w:t>
            </w:r>
          </w:p>
          <w:p w14:paraId="2ACCD1EC" w14:textId="4BAA2E2F" w:rsidR="00F0625E" w:rsidRPr="00AC2F42" w:rsidRDefault="00CC27DD" w:rsidP="00B93333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presentation strongly aligns with the </w:t>
            </w:r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>Manaaki Tāngata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theme, and the </w:t>
            </w:r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>sub-themes of</w:t>
            </w:r>
            <w:r w:rsidR="00B93333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 xml:space="preserve">Taha </w:t>
            </w:r>
            <w:proofErr w:type="spellStart"/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>tinana</w:t>
            </w:r>
            <w:proofErr w:type="spellEnd"/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 xml:space="preserve"> (physical health)</w:t>
            </w:r>
            <w:r w:rsidR="00B93333">
              <w:rPr>
                <w:rFonts w:ascii="Graphik Regular" w:hAnsi="Graphik Regular" w:cs="Circular Std Book"/>
                <w:sz w:val="22"/>
                <w:szCs w:val="22"/>
              </w:rPr>
              <w:t xml:space="preserve"> and </w:t>
            </w:r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 xml:space="preserve">Taha </w:t>
            </w:r>
            <w:proofErr w:type="spellStart"/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>hinengaro</w:t>
            </w:r>
            <w:proofErr w:type="spellEnd"/>
            <w:r w:rsidRPr="00CC27DD">
              <w:rPr>
                <w:rFonts w:ascii="Graphik Regular" w:hAnsi="Graphik Regular" w:cs="Circular Std Book"/>
                <w:sz w:val="22"/>
                <w:szCs w:val="22"/>
              </w:rPr>
              <w:t xml:space="preserve"> (mental and emotional well-being)</w:t>
            </w:r>
            <w:r w:rsidR="00B93333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</w:tc>
      </w:tr>
    </w:tbl>
    <w:p w14:paraId="1E9A20AC" w14:textId="77777777" w:rsidR="002B5E0F" w:rsidRPr="002B5E0F" w:rsidRDefault="002B5E0F" w:rsidP="002B5E0F">
      <w:pPr>
        <w:spacing w:after="120"/>
        <w:rPr>
          <w:rFonts w:ascii="Graphik Regular" w:hAnsi="Graphik Regular" w:cs="Circular Std Book"/>
          <w:sz w:val="22"/>
          <w:szCs w:val="22"/>
        </w:rPr>
      </w:pPr>
    </w:p>
    <w:sectPr w:rsidR="002B5E0F" w:rsidRPr="002B5E0F" w:rsidSect="00906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3E57E" w14:textId="77777777" w:rsidR="009219B9" w:rsidRDefault="009219B9">
      <w:r>
        <w:separator/>
      </w:r>
    </w:p>
  </w:endnote>
  <w:endnote w:type="continuationSeparator" w:id="0">
    <w:p w14:paraId="7BA06066" w14:textId="77777777" w:rsidR="009219B9" w:rsidRDefault="0092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08A3" w14:textId="1FB9B018" w:rsidR="000036D2" w:rsidRPr="00906E00" w:rsidRDefault="00D35B40" w:rsidP="009202AF">
    <w:pPr>
      <w:pStyle w:val="Footer"/>
      <w:ind w:left="-709"/>
      <w:jc w:val="right"/>
      <w:rPr>
        <w:sz w:val="2"/>
        <w:szCs w:val="2"/>
      </w:rPr>
    </w:pPr>
    <w:r w:rsidRPr="00906E00">
      <w:rPr>
        <w:noProof/>
        <w:sz w:val="2"/>
        <w:szCs w:val="2"/>
      </w:rPr>
      <w:drawing>
        <wp:anchor distT="0" distB="0" distL="114300" distR="114300" simplePos="0" relativeHeight="251661312" behindDoc="1" locked="0" layoutInCell="1" allowOverlap="1" wp14:anchorId="3392DFCA" wp14:editId="1C3B7F33">
          <wp:simplePos x="0" y="0"/>
          <wp:positionH relativeFrom="page">
            <wp:posOffset>4443</wp:posOffset>
          </wp:positionH>
          <wp:positionV relativeFrom="paragraph">
            <wp:posOffset>-628015</wp:posOffset>
          </wp:positionV>
          <wp:extent cx="7556400" cy="943200"/>
          <wp:effectExtent l="0" t="0" r="6985" b="9525"/>
          <wp:wrapSquare wrapText="bothSides"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4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6B70" w14:textId="77777777" w:rsidR="00AD4356" w:rsidRDefault="00AD4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896B" w14:textId="77777777" w:rsidR="009219B9" w:rsidRDefault="009219B9">
      <w:r>
        <w:separator/>
      </w:r>
    </w:p>
  </w:footnote>
  <w:footnote w:type="continuationSeparator" w:id="0">
    <w:p w14:paraId="6D9901D8" w14:textId="77777777" w:rsidR="009219B9" w:rsidRDefault="0092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792B" w14:textId="77777777" w:rsidR="00AD4356" w:rsidRDefault="00AD4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E97" w14:textId="454AF039" w:rsidR="00A00C0B" w:rsidRDefault="00AD4356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6EE9C1D" wp14:editId="144A065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656830" cy="1914525"/>
          <wp:effectExtent l="0" t="0" r="1270" b="9525"/>
          <wp:wrapTight wrapText="bothSides">
            <wp:wrapPolygon edited="0">
              <wp:start x="0" y="0"/>
              <wp:lineTo x="0" y="21493"/>
              <wp:lineTo x="21550" y="21493"/>
              <wp:lineTo x="21550" y="0"/>
              <wp:lineTo x="0" y="0"/>
            </wp:wrapPolygon>
          </wp:wrapTight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830" cy="191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1686" w14:textId="77777777" w:rsidR="00AD4356" w:rsidRDefault="00AD4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83.25pt" o:bullet="t">
        <v:imagedata r:id="rId1" o:title="Bullet Point"/>
      </v:shape>
    </w:pict>
  </w:numPicBullet>
  <w:numPicBullet w:numPicBulletId="1">
    <w:pict>
      <v:shape id="_x0000_i1027" type="#_x0000_t75" style="width:177pt;height:169.5pt" o:bullet="t">
        <v:imagedata r:id="rId2" o:title="Conf-Icon"/>
      </v:shape>
    </w:pict>
  </w:numPicBullet>
  <w:numPicBullet w:numPicBulletId="2">
    <w:pict>
      <v:shape id="_x0000_i1028" type="#_x0000_t75" style="width:151.5pt;height:144.75pt" o:bullet="t">
        <v:imagedata r:id="rId3" o:title="Conf-Icon"/>
      </v:shape>
    </w:pict>
  </w:numPicBullet>
  <w:numPicBullet w:numPicBulletId="3">
    <w:pict>
      <v:shape id="_x0000_i1029" type="#_x0000_t75" style="width:122.25pt;height:112.5pt" o:bullet="t">
        <v:imagedata r:id="rId4" o:title="Bullet Point"/>
      </v:shape>
    </w:pict>
  </w:numPicBullet>
  <w:numPicBullet w:numPicBulletId="4">
    <w:pict>
      <v:shape id="_x0000_i1030" type="#_x0000_t75" style="width:109.5pt;height:107.2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618B1"/>
    <w:multiLevelType w:val="hybridMultilevel"/>
    <w:tmpl w:val="F5462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25A03"/>
    <w:multiLevelType w:val="multilevel"/>
    <w:tmpl w:val="E96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2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31"/>
  </w:num>
  <w:num w:numId="10">
    <w:abstractNumId w:val="16"/>
  </w:num>
  <w:num w:numId="11">
    <w:abstractNumId w:val="27"/>
  </w:num>
  <w:num w:numId="12">
    <w:abstractNumId w:val="13"/>
  </w:num>
  <w:num w:numId="13">
    <w:abstractNumId w:val="21"/>
  </w:num>
  <w:num w:numId="14">
    <w:abstractNumId w:val="1"/>
  </w:num>
  <w:num w:numId="15">
    <w:abstractNumId w:val="25"/>
  </w:num>
  <w:num w:numId="16">
    <w:abstractNumId w:val="18"/>
  </w:num>
  <w:num w:numId="17">
    <w:abstractNumId w:val="14"/>
  </w:num>
  <w:num w:numId="18">
    <w:abstractNumId w:val="28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6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30"/>
  </w:num>
  <w:num w:numId="32">
    <w:abstractNumId w:val="2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Nzc3NDE0NzA0NjVW0lEKTi0uzszPAykwrAUAKZOWpSwAAAA="/>
  </w:docVars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473F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1707B"/>
    <w:rsid w:val="00121A58"/>
    <w:rsid w:val="00123F7D"/>
    <w:rsid w:val="0013591E"/>
    <w:rsid w:val="001362A4"/>
    <w:rsid w:val="00142CEB"/>
    <w:rsid w:val="001543A8"/>
    <w:rsid w:val="0016393A"/>
    <w:rsid w:val="0016453E"/>
    <w:rsid w:val="00175439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B5E0F"/>
    <w:rsid w:val="002C2A6A"/>
    <w:rsid w:val="002C7540"/>
    <w:rsid w:val="002E041E"/>
    <w:rsid w:val="002E334F"/>
    <w:rsid w:val="002E5C69"/>
    <w:rsid w:val="002F4899"/>
    <w:rsid w:val="002F5169"/>
    <w:rsid w:val="0030225C"/>
    <w:rsid w:val="00304226"/>
    <w:rsid w:val="00306A34"/>
    <w:rsid w:val="003070F6"/>
    <w:rsid w:val="00311C11"/>
    <w:rsid w:val="003136AA"/>
    <w:rsid w:val="00320F8A"/>
    <w:rsid w:val="003244F7"/>
    <w:rsid w:val="003261C0"/>
    <w:rsid w:val="003266F2"/>
    <w:rsid w:val="003349C4"/>
    <w:rsid w:val="003371E0"/>
    <w:rsid w:val="00340430"/>
    <w:rsid w:val="00341454"/>
    <w:rsid w:val="003557E9"/>
    <w:rsid w:val="003573A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A94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061A"/>
    <w:rsid w:val="005958D4"/>
    <w:rsid w:val="005964BA"/>
    <w:rsid w:val="005C31CE"/>
    <w:rsid w:val="005D2DE8"/>
    <w:rsid w:val="005D75C6"/>
    <w:rsid w:val="005E35E4"/>
    <w:rsid w:val="005F69B7"/>
    <w:rsid w:val="0060147A"/>
    <w:rsid w:val="006029B3"/>
    <w:rsid w:val="00606880"/>
    <w:rsid w:val="0061707E"/>
    <w:rsid w:val="00632D73"/>
    <w:rsid w:val="00643465"/>
    <w:rsid w:val="00643678"/>
    <w:rsid w:val="00657112"/>
    <w:rsid w:val="006617E3"/>
    <w:rsid w:val="00672785"/>
    <w:rsid w:val="00673EE7"/>
    <w:rsid w:val="00680250"/>
    <w:rsid w:val="00680D6F"/>
    <w:rsid w:val="006839A5"/>
    <w:rsid w:val="00693116"/>
    <w:rsid w:val="00694AA2"/>
    <w:rsid w:val="006A3C4A"/>
    <w:rsid w:val="006A7D7C"/>
    <w:rsid w:val="006C59A1"/>
    <w:rsid w:val="006C7FB0"/>
    <w:rsid w:val="006E24A2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A9A"/>
    <w:rsid w:val="00777492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3D5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A78B8"/>
    <w:rsid w:val="008B35C8"/>
    <w:rsid w:val="008B4CFD"/>
    <w:rsid w:val="008C0D74"/>
    <w:rsid w:val="008C5194"/>
    <w:rsid w:val="008D5CAB"/>
    <w:rsid w:val="008F1855"/>
    <w:rsid w:val="009019AA"/>
    <w:rsid w:val="00904C0C"/>
    <w:rsid w:val="00904C81"/>
    <w:rsid w:val="00904CC6"/>
    <w:rsid w:val="00906B7A"/>
    <w:rsid w:val="00906E00"/>
    <w:rsid w:val="00915359"/>
    <w:rsid w:val="00916705"/>
    <w:rsid w:val="00916CAC"/>
    <w:rsid w:val="009202AF"/>
    <w:rsid w:val="009207B4"/>
    <w:rsid w:val="00921582"/>
    <w:rsid w:val="009219B9"/>
    <w:rsid w:val="00926714"/>
    <w:rsid w:val="00926ECE"/>
    <w:rsid w:val="00930A64"/>
    <w:rsid w:val="00937179"/>
    <w:rsid w:val="00942D6D"/>
    <w:rsid w:val="00943520"/>
    <w:rsid w:val="00943A5E"/>
    <w:rsid w:val="00953ACD"/>
    <w:rsid w:val="00960F5F"/>
    <w:rsid w:val="009671F0"/>
    <w:rsid w:val="0096760A"/>
    <w:rsid w:val="00973ADB"/>
    <w:rsid w:val="009751D8"/>
    <w:rsid w:val="00976CFF"/>
    <w:rsid w:val="00976F6D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0C0B"/>
    <w:rsid w:val="00A01EFD"/>
    <w:rsid w:val="00A110A0"/>
    <w:rsid w:val="00A1384F"/>
    <w:rsid w:val="00A13A39"/>
    <w:rsid w:val="00A17E7D"/>
    <w:rsid w:val="00A21E9C"/>
    <w:rsid w:val="00A2420B"/>
    <w:rsid w:val="00A3577C"/>
    <w:rsid w:val="00A41B18"/>
    <w:rsid w:val="00A43D01"/>
    <w:rsid w:val="00A460EC"/>
    <w:rsid w:val="00A625C3"/>
    <w:rsid w:val="00A70504"/>
    <w:rsid w:val="00A80591"/>
    <w:rsid w:val="00A8246A"/>
    <w:rsid w:val="00A857AD"/>
    <w:rsid w:val="00A926FD"/>
    <w:rsid w:val="00AA02A4"/>
    <w:rsid w:val="00AA16D9"/>
    <w:rsid w:val="00AA2696"/>
    <w:rsid w:val="00AA3205"/>
    <w:rsid w:val="00AB1096"/>
    <w:rsid w:val="00AB2488"/>
    <w:rsid w:val="00AC2F42"/>
    <w:rsid w:val="00AC472E"/>
    <w:rsid w:val="00AD0B66"/>
    <w:rsid w:val="00AD435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93333"/>
    <w:rsid w:val="00BA214A"/>
    <w:rsid w:val="00BA2F05"/>
    <w:rsid w:val="00BA3206"/>
    <w:rsid w:val="00BB26CE"/>
    <w:rsid w:val="00BC6341"/>
    <w:rsid w:val="00BD6ED8"/>
    <w:rsid w:val="00BE3A75"/>
    <w:rsid w:val="00BF05D8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27DD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5B40"/>
    <w:rsid w:val="00D63EA2"/>
    <w:rsid w:val="00D719B5"/>
    <w:rsid w:val="00D73AF4"/>
    <w:rsid w:val="00D7455A"/>
    <w:rsid w:val="00D835B0"/>
    <w:rsid w:val="00D87B29"/>
    <w:rsid w:val="00DA3906"/>
    <w:rsid w:val="00DD6778"/>
    <w:rsid w:val="00DE685C"/>
    <w:rsid w:val="00DF4D41"/>
    <w:rsid w:val="00DF7B85"/>
    <w:rsid w:val="00E01C1C"/>
    <w:rsid w:val="00E103C0"/>
    <w:rsid w:val="00E1178B"/>
    <w:rsid w:val="00E13F4B"/>
    <w:rsid w:val="00E14A1D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F0625E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8A78B8"/>
    <w:pPr>
      <w:ind w:left="720"/>
      <w:contextualSpacing/>
    </w:pPr>
  </w:style>
  <w:style w:type="paragraph" w:customStyle="1" w:styleId="CVBodyText">
    <w:name w:val="CV Body Text"/>
    <w:basedOn w:val="BodyText"/>
    <w:uiPriority w:val="99"/>
    <w:rsid w:val="002B5E0F"/>
    <w:pPr>
      <w:spacing w:after="60" w:line="260" w:lineRule="atLeast"/>
    </w:pPr>
    <w:rPr>
      <w:rFonts w:asciiTheme="minorHAnsi" w:eastAsia="Times New Roman" w:hAnsiTheme="minorHAnsi"/>
      <w:sz w:val="20"/>
      <w:szCs w:val="18"/>
      <w:lang w:val="en-NZ" w:eastAsia="en-NZ"/>
    </w:rPr>
  </w:style>
  <w:style w:type="paragraph" w:styleId="BodyText">
    <w:name w:val="Body Text"/>
    <w:basedOn w:val="Normal"/>
    <w:link w:val="BodyTextChar"/>
    <w:semiHidden/>
    <w:unhideWhenUsed/>
    <w:rsid w:val="002B5E0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5E0F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1963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Glenda Harding</cp:lastModifiedBy>
  <cp:revision>6</cp:revision>
  <cp:lastPrinted>2017-09-24T23:53:00Z</cp:lastPrinted>
  <dcterms:created xsi:type="dcterms:W3CDTF">2021-10-08T00:14:00Z</dcterms:created>
  <dcterms:modified xsi:type="dcterms:W3CDTF">2022-02-08T22:47:00Z</dcterms:modified>
</cp:coreProperties>
</file>