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656C" w14:textId="68F3289E" w:rsidR="001D6CD3" w:rsidRDefault="00BF1783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Engaging &amp; Consulting on Urban Cycleways</w:t>
      </w:r>
    </w:p>
    <w:p w14:paraId="61C04B53" w14:textId="6B64692A" w:rsidR="00706FC6" w:rsidRPr="00706FC6" w:rsidRDefault="00BF1783" w:rsidP="003B4D4C">
      <w:pPr>
        <w:rPr>
          <w:lang w:val="en-US"/>
        </w:rPr>
      </w:pPr>
      <w:r>
        <w:rPr>
          <w:lang w:val="en-US"/>
        </w:rPr>
        <w:t xml:space="preserve">Stakeholder engagement and community consultation is an opportunity to build better bike lanes. Palmerston North City Council shares an example of an urban, on-road cycle lane project, and the steps being taken to gain acceptance – even appreciation – from people with different views. </w:t>
      </w:r>
      <w:bookmarkStart w:id="0" w:name="_GoBack"/>
      <w:bookmarkEnd w:id="0"/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36645" w14:textId="77777777" w:rsidR="00586607" w:rsidRDefault="00586607" w:rsidP="000B50C0">
      <w:r>
        <w:separator/>
      </w:r>
    </w:p>
  </w:endnote>
  <w:endnote w:type="continuationSeparator" w:id="0">
    <w:p w14:paraId="2D7B0735" w14:textId="77777777" w:rsidR="00586607" w:rsidRDefault="00586607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6668C" w14:textId="77777777" w:rsidR="00586607" w:rsidRDefault="00586607" w:rsidP="000B50C0">
      <w:r>
        <w:separator/>
      </w:r>
    </w:p>
  </w:footnote>
  <w:footnote w:type="continuationSeparator" w:id="0">
    <w:p w14:paraId="52017025" w14:textId="77777777" w:rsidR="00586607" w:rsidRDefault="00586607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86607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1783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296AF4-9015-4674-BFA6-78CB44D9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274</Characters>
  <Application>Microsoft Office Word</Application>
  <DocSecurity>0</DocSecurity>
  <Lines>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Michael Bridge</cp:lastModifiedBy>
  <cp:revision>2</cp:revision>
  <dcterms:created xsi:type="dcterms:W3CDTF">2021-01-29T01:25:00Z</dcterms:created>
  <dcterms:modified xsi:type="dcterms:W3CDTF">2021-01-29T01:25:00Z</dcterms:modified>
</cp:coreProperties>
</file>