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8D5AF" w14:textId="77777777" w:rsidR="00714297" w:rsidRPr="004F7FFB" w:rsidRDefault="00367BE2" w:rsidP="00B745C8">
      <w:pPr>
        <w:pStyle w:val="Heading1"/>
        <w:keepNext w:val="0"/>
        <w:spacing w:before="0" w:after="0"/>
        <w:rPr>
          <w:rFonts w:ascii="Circular Std Book" w:hAnsi="Circular Std Book" w:cs="Circular Std Book"/>
          <w:bCs w:val="0"/>
          <w:color w:val="B2D34A"/>
          <w:sz w:val="36"/>
          <w:szCs w:val="36"/>
          <w:lang w:val="en-NZ" w:eastAsia="en-NZ"/>
        </w:rPr>
      </w:pPr>
      <w:r>
        <w:rPr>
          <w:rFonts w:ascii="Circular Std Book" w:hAnsi="Circular Std Book" w:cs="Circular Std Book"/>
          <w:bCs w:val="0"/>
          <w:color w:val="B2D34A"/>
          <w:sz w:val="36"/>
          <w:szCs w:val="36"/>
          <w:lang w:val="en-NZ" w:eastAsia="en-NZ"/>
        </w:rPr>
        <w:t xml:space="preserve">Managing Downstream Effects of the </w:t>
      </w:r>
      <w:r w:rsidR="00B64F09">
        <w:rPr>
          <w:rFonts w:ascii="Circular Std Book" w:hAnsi="Circular Std Book" w:cs="Circular Std Book"/>
          <w:bCs w:val="0"/>
          <w:color w:val="B2D34A"/>
          <w:sz w:val="36"/>
          <w:szCs w:val="36"/>
          <w:lang w:val="en-NZ" w:eastAsia="en-NZ"/>
        </w:rPr>
        <w:t>CNC</w:t>
      </w:r>
    </w:p>
    <w:p w14:paraId="356A4FC6"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26F1F191" w14:textId="77777777" w:rsidTr="00930A64">
        <w:trPr>
          <w:trHeight w:val="548"/>
        </w:trPr>
        <w:tc>
          <w:tcPr>
            <w:tcW w:w="10405" w:type="dxa"/>
            <w:tcBorders>
              <w:bottom w:val="nil"/>
            </w:tcBorders>
            <w:shd w:val="clear" w:color="auto" w:fill="auto"/>
          </w:tcPr>
          <w:p w14:paraId="4A83376B" w14:textId="27422E4C" w:rsidR="00657112" w:rsidRPr="00AC2F42" w:rsidRDefault="00AC3A0F" w:rsidP="00D45FA7">
            <w:pPr>
              <w:rPr>
                <w:rFonts w:ascii="Graphik Regular" w:hAnsi="Graphik Regular" w:cs="Circular Std Book"/>
                <w:sz w:val="22"/>
                <w:szCs w:val="22"/>
              </w:rPr>
            </w:pPr>
            <w:r>
              <w:t xml:space="preserve">The extension of the Christchurch Northern </w:t>
            </w:r>
            <w:r w:rsidR="00D45FA7">
              <w:t xml:space="preserve">Arterial </w:t>
            </w:r>
            <w:r>
              <w:t>(to the south) and</w:t>
            </w:r>
            <w:r w:rsidR="00C2161A">
              <w:t xml:space="preserve"> </w:t>
            </w:r>
            <w:r w:rsidR="00D45FA7">
              <w:t>upgrade</w:t>
            </w:r>
            <w:r>
              <w:t xml:space="preserve"> of a section of Cranford Street (collectively called the Christchurch Northern Corridor, CNC) is expected to open later this year (2020).  </w:t>
            </w:r>
            <w:r w:rsidR="00C2161A">
              <w:t xml:space="preserve">As </w:t>
            </w:r>
            <w:r w:rsidR="00EC329B">
              <w:t xml:space="preserve">a </w:t>
            </w:r>
            <w:r w:rsidR="00C2161A">
              <w:t>require</w:t>
            </w:r>
            <w:r w:rsidR="00EC329B">
              <w:t>ment</w:t>
            </w:r>
            <w:r w:rsidR="00C2161A">
              <w:t xml:space="preserve"> </w:t>
            </w:r>
            <w:r w:rsidR="00EC329B">
              <w:t xml:space="preserve">of </w:t>
            </w:r>
            <w:r w:rsidR="00C2161A">
              <w:t xml:space="preserve">the </w:t>
            </w:r>
            <w:r w:rsidR="00EA064A">
              <w:t>CNC designation conditions t</w:t>
            </w:r>
            <w:r>
              <w:t xml:space="preserve">his study examined the expected transport impacts of this new road link on the road network </w:t>
            </w:r>
            <w:r w:rsidR="00D45FA7">
              <w:t xml:space="preserve">immediately downstream of the CNC </w:t>
            </w:r>
            <w:r>
              <w:t>and what measures need to be put into place to mitigate these effects.  Transport modelling showed that the</w:t>
            </w:r>
            <w:r w:rsidR="00D45FA7">
              <w:t xml:space="preserve"> current</w:t>
            </w:r>
            <w:r>
              <w:t xml:space="preserve"> 2-lane operation of Cranford Street south of the CNC is inadequate to accommodate the forecast traffic volumes when the CNC opens and through to 2030, which if untreated </w:t>
            </w:r>
            <w:r w:rsidR="00D45FA7">
              <w:t xml:space="preserve">could </w:t>
            </w:r>
            <w:r>
              <w:t xml:space="preserve">result in considerable rat-running (&gt;30% increase) in local streets.  A key element of the study was to develop a plan of </w:t>
            </w:r>
            <w:r w:rsidR="00D45FA7">
              <w:t xml:space="preserve">potential </w:t>
            </w:r>
            <w:r>
              <w:t xml:space="preserve">interventions (road upgrades and traffic calming) to encourage traffic to stay on the preferred (arterial) traffic routes and off the local roads.  However, on its own this approach was deficient in addressing community concerns.  Hence the study recommended that improvement also be made to 1) support safer cycling, 2) support safer access to school, 3) make streets healthier and 4) consider the safety and access issues around parks and commercial areas (shops) for all road users.  The study also requires monitoring of traffic, safety and environmental </w:t>
            </w:r>
            <w:r w:rsidR="00D45FA7">
              <w:t xml:space="preserve">changes </w:t>
            </w:r>
            <w:r w:rsidR="00D926AD">
              <w:t>through to 2030</w:t>
            </w:r>
            <w:r>
              <w:t>, triggering further improvements if adverse impacts do occur</w:t>
            </w:r>
            <w:r w:rsidR="004F7FFB">
              <w:rPr>
                <w:rFonts w:ascii="Graphik Regular" w:hAnsi="Graphik Regular" w:cs="Circular Std Book"/>
                <w:bCs/>
                <w:sz w:val="22"/>
                <w:szCs w:val="22"/>
              </w:rPr>
              <w:t>.</w:t>
            </w:r>
          </w:p>
        </w:tc>
      </w:tr>
    </w:tbl>
    <w:p w14:paraId="1A189BCD" w14:textId="0F5C19C2" w:rsidR="00052DE9" w:rsidRPr="00657112" w:rsidRDefault="00052DE9" w:rsidP="00657112">
      <w:pPr>
        <w:autoSpaceDE w:val="0"/>
        <w:autoSpaceDN w:val="0"/>
        <w:adjustRightInd w:val="0"/>
        <w:rPr>
          <w:rFonts w:ascii="Fakt Pro Bln" w:hAnsi="Fakt Pro Bln" w:cs="Circular Std Book"/>
        </w:rPr>
      </w:pPr>
      <w:bookmarkStart w:id="0" w:name="_GoBack"/>
      <w:bookmarkEnd w:id="0"/>
    </w:p>
    <w:sectPr w:rsidR="00052DE9" w:rsidRPr="00657112" w:rsidSect="00C93D31">
      <w:headerReference w:type="even" r:id="rId11"/>
      <w:headerReference w:type="default" r:id="rId12"/>
      <w:footerReference w:type="even" r:id="rId13"/>
      <w:footerReference w:type="default" r:id="rId14"/>
      <w:headerReference w:type="first" r:id="rId15"/>
      <w:footerReference w:type="first" r:id="rId16"/>
      <w:pgSz w:w="11906" w:h="16838" w:code="9"/>
      <w:pgMar w:top="720" w:right="720" w:bottom="284" w:left="720"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21F35" w14:textId="77777777" w:rsidR="006961E5" w:rsidRDefault="006961E5">
      <w:r>
        <w:separator/>
      </w:r>
    </w:p>
  </w:endnote>
  <w:endnote w:type="continuationSeparator" w:id="0">
    <w:p w14:paraId="0A278497" w14:textId="77777777" w:rsidR="006961E5" w:rsidRDefault="00696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Graphik Regular">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13347"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13A8E9BC"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44B53" w14:textId="77777777" w:rsidR="00282AB2" w:rsidRDefault="00282AB2">
    <w:pPr>
      <w:pStyle w:val="Footer"/>
    </w:pPr>
  </w:p>
  <w:p w14:paraId="0D9A69F9" w14:textId="77777777" w:rsidR="00094515" w:rsidRDefault="00094515" w:rsidP="00973ADB">
    <w:pPr>
      <w:pStyle w:val="Footer"/>
      <w:ind w:left="-851" w:right="-851"/>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2ED40" w14:textId="77777777" w:rsidR="00F16250" w:rsidRDefault="00F16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EA250" w14:textId="77777777" w:rsidR="006961E5" w:rsidRDefault="006961E5">
      <w:r>
        <w:separator/>
      </w:r>
    </w:p>
  </w:footnote>
  <w:footnote w:type="continuationSeparator" w:id="0">
    <w:p w14:paraId="3364FB11" w14:textId="77777777" w:rsidR="006961E5" w:rsidRDefault="00696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A6467" w14:textId="77777777" w:rsidR="00F16250" w:rsidRDefault="00F16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AD24F" w14:textId="77777777" w:rsidR="004F7FFB" w:rsidRDefault="004F7FFB">
    <w:pPr>
      <w:pStyle w:val="Header"/>
    </w:pPr>
    <w:r>
      <w:rPr>
        <w:noProof/>
        <w:lang w:val="en-NZ" w:eastAsia="en-NZ"/>
      </w:rPr>
      <w:drawing>
        <wp:inline distT="0" distB="0" distL="0" distR="0" wp14:anchorId="7B774DA5" wp14:editId="2AEAB624">
          <wp:extent cx="6645910" cy="2526665"/>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quityinTransportation_2020_Transport2020_FullLogo.jpg"/>
                  <pic:cNvPicPr/>
                </pic:nvPicPr>
                <pic:blipFill>
                  <a:blip r:embed="rId1">
                    <a:extLst>
                      <a:ext uri="{28A0092B-C50C-407E-A947-70E740481C1C}">
                        <a14:useLocalDpi xmlns:a14="http://schemas.microsoft.com/office/drawing/2010/main" val="0"/>
                      </a:ext>
                    </a:extLst>
                  </a:blip>
                  <a:stretch>
                    <a:fillRect/>
                  </a:stretch>
                </pic:blipFill>
                <pic:spPr>
                  <a:xfrm>
                    <a:off x="0" y="0"/>
                    <a:ext cx="6645910" cy="2526665"/>
                  </a:xfrm>
                  <a:prstGeom prst="rect">
                    <a:avLst/>
                  </a:prstGeom>
                </pic:spPr>
              </pic:pic>
            </a:graphicData>
          </a:graphic>
        </wp:inline>
      </w:drawing>
    </w:r>
  </w:p>
  <w:p w14:paraId="15F2E077" w14:textId="77777777" w:rsidR="00094515" w:rsidRPr="009D1BC8" w:rsidRDefault="00094515" w:rsidP="00C93D31">
    <w:pPr>
      <w:pStyle w:val="Header"/>
      <w:pBdr>
        <w:bottom w:val="single" w:sz="4" w:space="1" w:color="B2D34A"/>
      </w:pBdr>
      <w:spacing w:after="120"/>
      <w:ind w:right="118"/>
      <w:jc w:val="center"/>
      <w:rPr>
        <w:rFonts w:ascii="Fakt Pro Bln" w:hAnsi="Fakt Pro Bl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06391" w14:textId="77777777" w:rsidR="00F16250" w:rsidRDefault="00F162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99.6pt;height:83.4pt" o:bullet="t">
        <v:imagedata r:id="rId1" o:title="Bullet Point"/>
      </v:shape>
    </w:pict>
  </w:numPicBullet>
  <w:numPicBullet w:numPicBulletId="1">
    <w:pict>
      <v:shape id="_x0000_i1083" type="#_x0000_t75" style="width:177pt;height:169.2pt" o:bullet="t">
        <v:imagedata r:id="rId2" o:title="Conf-Icon"/>
      </v:shape>
    </w:pict>
  </w:numPicBullet>
  <w:numPicBullet w:numPicBulletId="2">
    <w:pict>
      <v:shape id="_x0000_i1084" type="#_x0000_t75" style="width:151.8pt;height:144.6pt" o:bullet="t">
        <v:imagedata r:id="rId3" o:title="Conf-Icon"/>
      </v:shape>
    </w:pict>
  </w:numPicBullet>
  <w:numPicBullet w:numPicBulletId="3">
    <w:pict>
      <v:shape id="_x0000_i1085" type="#_x0000_t75" style="width:122.4pt;height:112.2pt" o:bullet="t">
        <v:imagedata r:id="rId4" o:title="Bullet Point"/>
      </v:shape>
    </w:pict>
  </w:numPicBullet>
  <w:numPicBullet w:numPicBulletId="4">
    <w:pict>
      <v:shape id="_x0000_i1086" type="#_x0000_t75" style="width:109.2pt;height:107.4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796A"/>
    <w:rsid w:val="0001083B"/>
    <w:rsid w:val="00012461"/>
    <w:rsid w:val="00033179"/>
    <w:rsid w:val="00035CC2"/>
    <w:rsid w:val="00047A44"/>
    <w:rsid w:val="00052DE9"/>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01860"/>
    <w:rsid w:val="0011226E"/>
    <w:rsid w:val="001153ED"/>
    <w:rsid w:val="00121A58"/>
    <w:rsid w:val="0013591E"/>
    <w:rsid w:val="001362A4"/>
    <w:rsid w:val="00142CEB"/>
    <w:rsid w:val="0016393A"/>
    <w:rsid w:val="0016453E"/>
    <w:rsid w:val="00175439"/>
    <w:rsid w:val="00181441"/>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14D45"/>
    <w:rsid w:val="00320F8A"/>
    <w:rsid w:val="003244F7"/>
    <w:rsid w:val="003266F2"/>
    <w:rsid w:val="003349C4"/>
    <w:rsid w:val="003371E0"/>
    <w:rsid w:val="003557E9"/>
    <w:rsid w:val="003573AD"/>
    <w:rsid w:val="003624EC"/>
    <w:rsid w:val="00367BE2"/>
    <w:rsid w:val="00384673"/>
    <w:rsid w:val="00385036"/>
    <w:rsid w:val="003874B0"/>
    <w:rsid w:val="003959E1"/>
    <w:rsid w:val="003A05C3"/>
    <w:rsid w:val="003E27EF"/>
    <w:rsid w:val="00424CC0"/>
    <w:rsid w:val="00426508"/>
    <w:rsid w:val="00427365"/>
    <w:rsid w:val="00442674"/>
    <w:rsid w:val="00451684"/>
    <w:rsid w:val="004529D4"/>
    <w:rsid w:val="00455673"/>
    <w:rsid w:val="00457E30"/>
    <w:rsid w:val="00474E47"/>
    <w:rsid w:val="0048238B"/>
    <w:rsid w:val="004C06B2"/>
    <w:rsid w:val="004D3753"/>
    <w:rsid w:val="004D6306"/>
    <w:rsid w:val="004E3E11"/>
    <w:rsid w:val="004E4B6D"/>
    <w:rsid w:val="004F7FFB"/>
    <w:rsid w:val="00510DA6"/>
    <w:rsid w:val="00517EE6"/>
    <w:rsid w:val="005206BA"/>
    <w:rsid w:val="00535FC6"/>
    <w:rsid w:val="00537FE9"/>
    <w:rsid w:val="005572C4"/>
    <w:rsid w:val="00566B84"/>
    <w:rsid w:val="00570EA5"/>
    <w:rsid w:val="005729BE"/>
    <w:rsid w:val="00575492"/>
    <w:rsid w:val="0057595A"/>
    <w:rsid w:val="00583DCF"/>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961E5"/>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D6017"/>
    <w:rsid w:val="007E7468"/>
    <w:rsid w:val="007F5CD2"/>
    <w:rsid w:val="0081400B"/>
    <w:rsid w:val="00817D3F"/>
    <w:rsid w:val="00831EAC"/>
    <w:rsid w:val="00846CE2"/>
    <w:rsid w:val="00851929"/>
    <w:rsid w:val="00862192"/>
    <w:rsid w:val="00873D75"/>
    <w:rsid w:val="00880B42"/>
    <w:rsid w:val="0088236B"/>
    <w:rsid w:val="008836A1"/>
    <w:rsid w:val="00883EF0"/>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3A0F"/>
    <w:rsid w:val="00AC472E"/>
    <w:rsid w:val="00AD0B66"/>
    <w:rsid w:val="00AD4FFD"/>
    <w:rsid w:val="00AE2126"/>
    <w:rsid w:val="00B248AE"/>
    <w:rsid w:val="00B257FB"/>
    <w:rsid w:val="00B34D63"/>
    <w:rsid w:val="00B51C59"/>
    <w:rsid w:val="00B64F09"/>
    <w:rsid w:val="00B745C8"/>
    <w:rsid w:val="00B76BF5"/>
    <w:rsid w:val="00B8097D"/>
    <w:rsid w:val="00B81ED2"/>
    <w:rsid w:val="00BA214A"/>
    <w:rsid w:val="00BA2F05"/>
    <w:rsid w:val="00BA3206"/>
    <w:rsid w:val="00BB26CE"/>
    <w:rsid w:val="00BC6341"/>
    <w:rsid w:val="00BD6ED8"/>
    <w:rsid w:val="00BD744D"/>
    <w:rsid w:val="00BE3A75"/>
    <w:rsid w:val="00BF1252"/>
    <w:rsid w:val="00BF1648"/>
    <w:rsid w:val="00C00645"/>
    <w:rsid w:val="00C2161A"/>
    <w:rsid w:val="00C31339"/>
    <w:rsid w:val="00C32978"/>
    <w:rsid w:val="00C35A98"/>
    <w:rsid w:val="00C43D41"/>
    <w:rsid w:val="00C602BB"/>
    <w:rsid w:val="00C62828"/>
    <w:rsid w:val="00C7440C"/>
    <w:rsid w:val="00C93D31"/>
    <w:rsid w:val="00CA531A"/>
    <w:rsid w:val="00CA652B"/>
    <w:rsid w:val="00CC3F26"/>
    <w:rsid w:val="00CC5B1D"/>
    <w:rsid w:val="00CD37E8"/>
    <w:rsid w:val="00CD55E0"/>
    <w:rsid w:val="00CE14E0"/>
    <w:rsid w:val="00CE155D"/>
    <w:rsid w:val="00CE6E57"/>
    <w:rsid w:val="00CE7A3D"/>
    <w:rsid w:val="00CF1AEF"/>
    <w:rsid w:val="00D055DF"/>
    <w:rsid w:val="00D45FA7"/>
    <w:rsid w:val="00D63EA2"/>
    <w:rsid w:val="00D719B5"/>
    <w:rsid w:val="00D73AF4"/>
    <w:rsid w:val="00D7455A"/>
    <w:rsid w:val="00D835B0"/>
    <w:rsid w:val="00D87B29"/>
    <w:rsid w:val="00D926AD"/>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064A"/>
    <w:rsid w:val="00EA15DB"/>
    <w:rsid w:val="00EB147C"/>
    <w:rsid w:val="00EB278F"/>
    <w:rsid w:val="00EB2C70"/>
    <w:rsid w:val="00EC329B"/>
    <w:rsid w:val="00F16250"/>
    <w:rsid w:val="00F16A60"/>
    <w:rsid w:val="00F17918"/>
    <w:rsid w:val="00F422F5"/>
    <w:rsid w:val="00F425DA"/>
    <w:rsid w:val="00F44BB9"/>
    <w:rsid w:val="00F56A54"/>
    <w:rsid w:val="00F612BD"/>
    <w:rsid w:val="00F701D4"/>
    <w:rsid w:val="00F71D8F"/>
    <w:rsid w:val="00F80562"/>
    <w:rsid w:val="00F92224"/>
    <w:rsid w:val="00FA33C5"/>
    <w:rsid w:val="00FA788B"/>
    <w:rsid w:val="00FA7BE5"/>
    <w:rsid w:val="00FD4335"/>
    <w:rsid w:val="00FE3AD8"/>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FBF16B"/>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2221BAC3B6F1499BCA61C9777C9824" ma:contentTypeVersion="11" ma:contentTypeDescription="Create a new document." ma:contentTypeScope="" ma:versionID="64dfb7a7aecdd56ba0dbda6c0ced8c36">
  <xsd:schema xmlns:xsd="http://www.w3.org/2001/XMLSchema" xmlns:xs="http://www.w3.org/2001/XMLSchema" xmlns:p="http://schemas.microsoft.com/office/2006/metadata/properties" xmlns:ns3="5b81b0a2-a1ed-4baa-a219-0dbde5de4b59" xmlns:ns4="70a06ccb-0234-469a-8d74-3de3eee26656" targetNamespace="http://schemas.microsoft.com/office/2006/metadata/properties" ma:root="true" ma:fieldsID="482b388beec1d2de57c2b19142c87e16" ns3:_="" ns4:_="">
    <xsd:import namespace="5b81b0a2-a1ed-4baa-a219-0dbde5de4b59"/>
    <xsd:import namespace="70a06ccb-0234-469a-8d74-3de3eee2665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1b0a2-a1ed-4baa-a219-0dbde5de4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a06ccb-0234-469a-8d74-3de3eee266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0D9022-79BE-48DC-9FDB-813518C40AFC}">
  <ds:schemaRefs>
    <ds:schemaRef ds:uri="http://schemas.microsoft.com/sharepoint/v3/contenttype/forms"/>
  </ds:schemaRefs>
</ds:datastoreItem>
</file>

<file path=customXml/itemProps2.xml><?xml version="1.0" encoding="utf-8"?>
<ds:datastoreItem xmlns:ds="http://schemas.openxmlformats.org/officeDocument/2006/customXml" ds:itemID="{D1525204-CCD9-4B8F-803D-52C5EF1A93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83D994-F9AC-4EFA-B67C-B1EE23846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1b0a2-a1ed-4baa-a219-0dbde5de4b59"/>
    <ds:schemaRef ds:uri="70a06ccb-0234-469a-8d74-3de3eee26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8711F5-95F7-4604-AD3F-27D86DF72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1504</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Shane Turner</cp:lastModifiedBy>
  <cp:revision>13</cp:revision>
  <cp:lastPrinted>2017-09-24T23:53:00Z</cp:lastPrinted>
  <dcterms:created xsi:type="dcterms:W3CDTF">2019-08-19T20:30:00Z</dcterms:created>
  <dcterms:modified xsi:type="dcterms:W3CDTF">2019-08-21T09:01:00Z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0x010100522221BAC3B6F1499BCA61C9777C9824</vt:lpwstr>
  </property>
</Properties>
</file>