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AF162" w14:textId="77777777" w:rsidR="008119A9" w:rsidRDefault="0051052A" w:rsidP="00467137">
      <w:pPr>
        <w:jc w:val="center"/>
        <w:outlineLvl w:val="0"/>
        <w:rPr>
          <w:rFonts w:ascii="Arial" w:hAnsi="Arial" w:cs="Arial"/>
          <w:b/>
          <w:sz w:val="28"/>
          <w:szCs w:val="28"/>
        </w:rPr>
      </w:pPr>
      <w:r w:rsidRPr="0051052A">
        <w:rPr>
          <w:rFonts w:ascii="Arial" w:hAnsi="Arial" w:cs="Arial"/>
          <w:b/>
          <w:sz w:val="28"/>
          <w:szCs w:val="28"/>
        </w:rPr>
        <w:t>Transport investment and housing development</w:t>
      </w:r>
    </w:p>
    <w:p w14:paraId="0F7CF776" w14:textId="53211501" w:rsidR="0058651C" w:rsidRPr="0058651C" w:rsidRDefault="0058651C" w:rsidP="00467137">
      <w:pPr>
        <w:jc w:val="center"/>
        <w:outlineLvl w:val="0"/>
        <w:rPr>
          <w:rFonts w:ascii="Arial" w:hAnsi="Arial" w:cs="Arial"/>
          <w:b/>
          <w:sz w:val="22"/>
          <w:szCs w:val="28"/>
        </w:rPr>
      </w:pPr>
      <w:r w:rsidRPr="0058651C">
        <w:rPr>
          <w:rFonts w:ascii="Arial" w:hAnsi="Arial" w:cs="Arial"/>
          <w:b/>
          <w:sz w:val="22"/>
          <w:szCs w:val="28"/>
        </w:rPr>
        <w:t>This paper has been peer reviewed</w:t>
      </w:r>
    </w:p>
    <w:p w14:paraId="54DAF565" w14:textId="77777777" w:rsidR="00467137" w:rsidRDefault="00467137" w:rsidP="00467137">
      <w:pPr>
        <w:outlineLvl w:val="0"/>
        <w:rPr>
          <w:rFonts w:ascii="Arial" w:hAnsi="Arial" w:cs="Arial"/>
          <w:b/>
          <w:sz w:val="28"/>
          <w:szCs w:val="28"/>
        </w:rPr>
      </w:pPr>
    </w:p>
    <w:p w14:paraId="6F0517C1" w14:textId="77777777" w:rsidR="0051052A" w:rsidRPr="00160196" w:rsidRDefault="0051052A" w:rsidP="0051052A">
      <w:pPr>
        <w:jc w:val="center"/>
        <w:outlineLvl w:val="0"/>
        <w:rPr>
          <w:rFonts w:ascii="Arial" w:hAnsi="Arial" w:cs="Arial"/>
          <w:sz w:val="22"/>
          <w:szCs w:val="22"/>
        </w:rPr>
      </w:pPr>
      <w:r>
        <w:rPr>
          <w:rFonts w:ascii="Arial" w:hAnsi="Arial" w:cs="Arial"/>
          <w:sz w:val="22"/>
          <w:szCs w:val="22"/>
        </w:rPr>
        <w:t xml:space="preserve">Author/presenter: </w:t>
      </w:r>
      <w:r w:rsidRPr="00160196">
        <w:rPr>
          <w:rFonts w:ascii="Arial" w:hAnsi="Arial" w:cs="Arial"/>
          <w:sz w:val="22"/>
          <w:szCs w:val="22"/>
        </w:rPr>
        <w:t>Peter Nunns</w:t>
      </w:r>
    </w:p>
    <w:p w14:paraId="316D2ED1" w14:textId="77777777" w:rsidR="0051052A" w:rsidRDefault="0051052A" w:rsidP="0051052A">
      <w:pPr>
        <w:jc w:val="center"/>
        <w:outlineLvl w:val="0"/>
        <w:rPr>
          <w:rFonts w:ascii="Arial" w:hAnsi="Arial" w:cs="Arial"/>
          <w:sz w:val="22"/>
          <w:szCs w:val="22"/>
        </w:rPr>
      </w:pPr>
      <w:r>
        <w:rPr>
          <w:rFonts w:ascii="Arial" w:hAnsi="Arial" w:cs="Arial"/>
          <w:sz w:val="22"/>
          <w:szCs w:val="22"/>
        </w:rPr>
        <w:t>Principal Advisor, Wellington City Council</w:t>
      </w:r>
    </w:p>
    <w:p w14:paraId="44A9CA63" w14:textId="1A67A6D9" w:rsidR="0051052A" w:rsidRDefault="0051052A" w:rsidP="0051052A">
      <w:pPr>
        <w:jc w:val="center"/>
        <w:outlineLvl w:val="0"/>
        <w:rPr>
          <w:rFonts w:ascii="Arial" w:hAnsi="Arial" w:cs="Arial"/>
          <w:sz w:val="22"/>
          <w:szCs w:val="22"/>
        </w:rPr>
      </w:pPr>
      <w:r>
        <w:rPr>
          <w:rFonts w:ascii="Arial" w:hAnsi="Arial" w:cs="Arial"/>
          <w:sz w:val="22"/>
          <w:szCs w:val="22"/>
        </w:rPr>
        <w:t>MA, BCom(Hons)</w:t>
      </w:r>
      <w:r w:rsidR="004021C5">
        <w:rPr>
          <w:rFonts w:ascii="Arial" w:hAnsi="Arial" w:cs="Arial"/>
          <w:sz w:val="22"/>
          <w:szCs w:val="22"/>
        </w:rPr>
        <w:t>,</w:t>
      </w:r>
      <w:r>
        <w:rPr>
          <w:rFonts w:ascii="Arial" w:hAnsi="Arial" w:cs="Arial"/>
          <w:sz w:val="22"/>
          <w:szCs w:val="22"/>
        </w:rPr>
        <w:t xml:space="preserve"> BA</w:t>
      </w:r>
    </w:p>
    <w:p w14:paraId="40C6163A" w14:textId="77777777" w:rsidR="0051052A" w:rsidRDefault="0051052A" w:rsidP="0051052A">
      <w:pPr>
        <w:jc w:val="center"/>
        <w:outlineLvl w:val="0"/>
        <w:rPr>
          <w:rFonts w:ascii="Arial" w:hAnsi="Arial" w:cs="Arial"/>
          <w:sz w:val="22"/>
          <w:szCs w:val="22"/>
        </w:rPr>
      </w:pPr>
      <w:r>
        <w:rPr>
          <w:rFonts w:ascii="Arial" w:hAnsi="Arial" w:cs="Arial"/>
          <w:sz w:val="22"/>
          <w:szCs w:val="22"/>
        </w:rPr>
        <w:t>Associate Member, Engineering NZ-Transportation Group</w:t>
      </w:r>
    </w:p>
    <w:p w14:paraId="0A4F75E2" w14:textId="77777777" w:rsidR="0051052A" w:rsidRDefault="0051052A" w:rsidP="0051052A">
      <w:pPr>
        <w:jc w:val="center"/>
        <w:outlineLvl w:val="0"/>
        <w:rPr>
          <w:rFonts w:ascii="Arial" w:hAnsi="Arial" w:cs="Arial"/>
          <w:sz w:val="22"/>
          <w:szCs w:val="22"/>
        </w:rPr>
      </w:pPr>
      <w:r>
        <w:rPr>
          <w:rFonts w:ascii="Arial" w:hAnsi="Arial" w:cs="Arial"/>
          <w:sz w:val="22"/>
          <w:szCs w:val="22"/>
        </w:rPr>
        <w:t>Member, New Zealand Association of Economists</w:t>
      </w:r>
    </w:p>
    <w:p w14:paraId="256A052B" w14:textId="77777777" w:rsidR="0051052A" w:rsidRDefault="0051052A" w:rsidP="0051052A">
      <w:pPr>
        <w:jc w:val="center"/>
        <w:outlineLvl w:val="0"/>
        <w:rPr>
          <w:rFonts w:ascii="Arial" w:hAnsi="Arial" w:cs="Arial"/>
          <w:sz w:val="22"/>
          <w:szCs w:val="22"/>
        </w:rPr>
      </w:pPr>
      <w:r>
        <w:rPr>
          <w:rFonts w:ascii="Arial" w:hAnsi="Arial" w:cs="Arial"/>
          <w:sz w:val="22"/>
          <w:szCs w:val="22"/>
        </w:rPr>
        <w:t xml:space="preserve">Email: </w:t>
      </w:r>
      <w:r w:rsidRPr="00F37DC5">
        <w:rPr>
          <w:rFonts w:ascii="Arial" w:hAnsi="Arial" w:cs="Arial"/>
          <w:i/>
          <w:sz w:val="22"/>
          <w:szCs w:val="22"/>
        </w:rPr>
        <w:t>pnunns@</w:t>
      </w:r>
      <w:r>
        <w:rPr>
          <w:rFonts w:ascii="Arial" w:hAnsi="Arial" w:cs="Arial"/>
          <w:i/>
          <w:sz w:val="22"/>
          <w:szCs w:val="22"/>
        </w:rPr>
        <w:t>gmail</w:t>
      </w:r>
      <w:r w:rsidRPr="00F37DC5">
        <w:rPr>
          <w:rFonts w:ascii="Arial" w:hAnsi="Arial" w:cs="Arial"/>
          <w:i/>
          <w:sz w:val="22"/>
          <w:szCs w:val="22"/>
        </w:rPr>
        <w:t>.com</w:t>
      </w:r>
    </w:p>
    <w:p w14:paraId="6F550096" w14:textId="77777777" w:rsidR="0051052A" w:rsidRPr="008119A9" w:rsidRDefault="0051052A" w:rsidP="00467137">
      <w:pPr>
        <w:outlineLvl w:val="0"/>
        <w:rPr>
          <w:rFonts w:ascii="Arial" w:hAnsi="Arial" w:cs="Arial"/>
          <w:b/>
          <w:sz w:val="28"/>
          <w:szCs w:val="28"/>
        </w:rPr>
      </w:pPr>
    </w:p>
    <w:p w14:paraId="2B045CA6" w14:textId="77777777" w:rsidR="008119A9" w:rsidRPr="008119A9" w:rsidRDefault="008119A9" w:rsidP="00467137">
      <w:pPr>
        <w:outlineLvl w:val="0"/>
        <w:rPr>
          <w:rFonts w:ascii="Arial" w:hAnsi="Arial" w:cs="Arial"/>
          <w:b/>
          <w:sz w:val="28"/>
          <w:szCs w:val="28"/>
        </w:rPr>
      </w:pPr>
      <w:r w:rsidRPr="008119A9">
        <w:rPr>
          <w:rFonts w:ascii="Arial" w:hAnsi="Arial" w:cs="Arial"/>
          <w:b/>
          <w:sz w:val="28"/>
          <w:szCs w:val="28"/>
        </w:rPr>
        <w:t>ABSTRACT</w:t>
      </w:r>
    </w:p>
    <w:p w14:paraId="61632458" w14:textId="6F305F33" w:rsidR="0051052A" w:rsidRPr="0051052A" w:rsidRDefault="004021C5" w:rsidP="004021C5">
      <w:pPr>
        <w:outlineLvl w:val="0"/>
        <w:rPr>
          <w:rFonts w:ascii="Arial" w:hAnsi="Arial" w:cs="Arial"/>
          <w:bCs/>
          <w:sz w:val="22"/>
          <w:szCs w:val="22"/>
          <w:lang w:val="en-AU"/>
        </w:rPr>
      </w:pPr>
      <w:r>
        <w:rPr>
          <w:rFonts w:ascii="Arial" w:hAnsi="Arial" w:cs="Arial"/>
          <w:bCs/>
          <w:sz w:val="22"/>
          <w:szCs w:val="22"/>
          <w:lang w:val="en-AU"/>
        </w:rPr>
        <w:t>T</w:t>
      </w:r>
      <w:r w:rsidRPr="0051052A">
        <w:rPr>
          <w:rFonts w:ascii="Arial" w:hAnsi="Arial" w:cs="Arial"/>
          <w:bCs/>
          <w:sz w:val="22"/>
          <w:szCs w:val="22"/>
          <w:lang w:val="en-AU"/>
        </w:rPr>
        <w:t>ransport policy</w:t>
      </w:r>
      <w:r>
        <w:rPr>
          <w:rFonts w:ascii="Arial" w:hAnsi="Arial" w:cs="Arial"/>
          <w:bCs/>
          <w:sz w:val="22"/>
          <w:szCs w:val="22"/>
          <w:lang w:val="en-AU"/>
        </w:rPr>
        <w:t xml:space="preserve"> and investments </w:t>
      </w:r>
      <w:r w:rsidR="00FA627F">
        <w:rPr>
          <w:rFonts w:ascii="Arial" w:hAnsi="Arial" w:cs="Arial"/>
          <w:bCs/>
          <w:sz w:val="22"/>
          <w:szCs w:val="22"/>
          <w:lang w:val="en-AU"/>
        </w:rPr>
        <w:t xml:space="preserve">shape </w:t>
      </w:r>
      <w:r>
        <w:rPr>
          <w:rFonts w:ascii="Arial" w:hAnsi="Arial" w:cs="Arial"/>
          <w:bCs/>
          <w:sz w:val="22"/>
          <w:szCs w:val="22"/>
          <w:lang w:val="en-AU"/>
        </w:rPr>
        <w:t xml:space="preserve">how cities and regions grow. </w:t>
      </w:r>
      <w:r w:rsidR="009627F7">
        <w:rPr>
          <w:rFonts w:ascii="Arial" w:hAnsi="Arial" w:cs="Arial"/>
          <w:bCs/>
          <w:sz w:val="22"/>
          <w:szCs w:val="22"/>
          <w:lang w:val="en-AU"/>
        </w:rPr>
        <w:t>Major p</w:t>
      </w:r>
      <w:r w:rsidR="0051052A" w:rsidRPr="0051052A">
        <w:rPr>
          <w:rFonts w:ascii="Arial" w:hAnsi="Arial" w:cs="Arial"/>
          <w:bCs/>
          <w:sz w:val="22"/>
          <w:szCs w:val="22"/>
          <w:lang w:val="en-AU"/>
        </w:rPr>
        <w:t>rojects like the London Underground, the US interstate highway system, and, locally, the Auckland Harbour Bridge have shaped urban growth.</w:t>
      </w:r>
    </w:p>
    <w:p w14:paraId="33762E38" w14:textId="77777777" w:rsidR="0051052A" w:rsidRPr="0051052A" w:rsidRDefault="0051052A" w:rsidP="0051052A">
      <w:pPr>
        <w:outlineLvl w:val="0"/>
        <w:rPr>
          <w:rFonts w:ascii="Arial" w:hAnsi="Arial" w:cs="Arial"/>
          <w:bCs/>
          <w:sz w:val="22"/>
          <w:szCs w:val="22"/>
          <w:lang w:val="en-AU"/>
        </w:rPr>
      </w:pPr>
    </w:p>
    <w:p w14:paraId="57D7E38C" w14:textId="78468540" w:rsidR="0051052A" w:rsidRPr="0051052A" w:rsidRDefault="00FA627F" w:rsidP="0051052A">
      <w:pPr>
        <w:outlineLvl w:val="0"/>
        <w:rPr>
          <w:rFonts w:ascii="Arial" w:hAnsi="Arial" w:cs="Arial"/>
          <w:bCs/>
          <w:sz w:val="22"/>
          <w:szCs w:val="22"/>
          <w:lang w:val="en-AU"/>
        </w:rPr>
      </w:pPr>
      <w:r>
        <w:rPr>
          <w:rFonts w:ascii="Arial" w:hAnsi="Arial" w:cs="Arial"/>
          <w:bCs/>
          <w:sz w:val="22"/>
          <w:szCs w:val="22"/>
          <w:lang w:val="en-AU"/>
        </w:rPr>
        <w:t>Transport improvements</w:t>
      </w:r>
      <w:r w:rsidR="0051052A" w:rsidRPr="0051052A">
        <w:rPr>
          <w:rFonts w:ascii="Arial" w:hAnsi="Arial" w:cs="Arial"/>
          <w:bCs/>
          <w:sz w:val="22"/>
          <w:szCs w:val="22"/>
          <w:lang w:val="en-AU"/>
        </w:rPr>
        <w:t xml:space="preserve"> also </w:t>
      </w:r>
      <w:r w:rsidR="004021C5">
        <w:rPr>
          <w:rFonts w:ascii="Arial" w:hAnsi="Arial" w:cs="Arial"/>
          <w:bCs/>
          <w:sz w:val="22"/>
          <w:szCs w:val="22"/>
          <w:lang w:val="en-AU"/>
        </w:rPr>
        <w:t>influence</w:t>
      </w:r>
      <w:r w:rsidR="0051052A" w:rsidRPr="0051052A">
        <w:rPr>
          <w:rFonts w:ascii="Arial" w:hAnsi="Arial" w:cs="Arial"/>
          <w:bCs/>
          <w:sz w:val="22"/>
          <w:szCs w:val="22"/>
          <w:lang w:val="en-AU"/>
        </w:rPr>
        <w:t xml:space="preserve"> opportunities for housing development and, in doing so, can influence the price and availability of housing in growing cities.  These effects are widely </w:t>
      </w:r>
      <w:r w:rsidR="009627F7">
        <w:rPr>
          <w:rFonts w:ascii="Arial" w:hAnsi="Arial" w:cs="Arial"/>
          <w:bCs/>
          <w:sz w:val="22"/>
          <w:szCs w:val="22"/>
          <w:lang w:val="en-AU"/>
        </w:rPr>
        <w:t>discussed</w:t>
      </w:r>
      <w:r w:rsidR="0051052A" w:rsidRPr="0051052A">
        <w:rPr>
          <w:rFonts w:ascii="Arial" w:hAnsi="Arial" w:cs="Arial"/>
          <w:bCs/>
          <w:sz w:val="22"/>
          <w:szCs w:val="22"/>
          <w:lang w:val="en-AU"/>
        </w:rPr>
        <w:t xml:space="preserve"> but they are seldom fully considered when developing projects and programmes.</w:t>
      </w:r>
    </w:p>
    <w:p w14:paraId="10415D76" w14:textId="77777777" w:rsidR="0051052A" w:rsidRPr="0051052A" w:rsidRDefault="0051052A" w:rsidP="0051052A">
      <w:pPr>
        <w:outlineLvl w:val="0"/>
        <w:rPr>
          <w:rFonts w:ascii="Arial" w:hAnsi="Arial" w:cs="Arial"/>
          <w:bCs/>
          <w:sz w:val="22"/>
          <w:szCs w:val="22"/>
          <w:lang w:val="en-AU"/>
        </w:rPr>
      </w:pPr>
    </w:p>
    <w:p w14:paraId="36AB250D" w14:textId="734FF5A0" w:rsidR="0051052A" w:rsidRPr="0051052A" w:rsidRDefault="0051052A" w:rsidP="0051052A">
      <w:pPr>
        <w:outlineLvl w:val="0"/>
        <w:rPr>
          <w:rFonts w:ascii="Arial" w:hAnsi="Arial" w:cs="Arial"/>
          <w:bCs/>
          <w:sz w:val="22"/>
          <w:szCs w:val="22"/>
          <w:lang w:val="en-AU"/>
        </w:rPr>
      </w:pPr>
      <w:r w:rsidRPr="0051052A">
        <w:rPr>
          <w:rFonts w:ascii="Arial" w:hAnsi="Arial" w:cs="Arial"/>
          <w:bCs/>
          <w:sz w:val="22"/>
          <w:szCs w:val="22"/>
          <w:lang w:val="en-AU"/>
        </w:rPr>
        <w:t xml:space="preserve">This paper </w:t>
      </w:r>
      <w:r w:rsidR="004021C5">
        <w:rPr>
          <w:rFonts w:ascii="Arial" w:hAnsi="Arial" w:cs="Arial"/>
          <w:bCs/>
          <w:sz w:val="22"/>
          <w:szCs w:val="22"/>
          <w:lang w:val="en-AU"/>
        </w:rPr>
        <w:t>investigates</w:t>
      </w:r>
      <w:r w:rsidRPr="0051052A">
        <w:rPr>
          <w:rFonts w:ascii="Arial" w:hAnsi="Arial" w:cs="Arial"/>
          <w:bCs/>
          <w:sz w:val="22"/>
          <w:szCs w:val="22"/>
          <w:lang w:val="en-AU"/>
        </w:rPr>
        <w:t xml:space="preserve"> how to analyse and value </w:t>
      </w:r>
      <w:r w:rsidR="00FA627F">
        <w:rPr>
          <w:rFonts w:ascii="Arial" w:hAnsi="Arial" w:cs="Arial"/>
          <w:bCs/>
          <w:sz w:val="22"/>
          <w:szCs w:val="22"/>
          <w:lang w:val="en-AU"/>
        </w:rPr>
        <w:t xml:space="preserve">the </w:t>
      </w:r>
      <w:r w:rsidRPr="0051052A">
        <w:rPr>
          <w:rFonts w:ascii="Arial" w:hAnsi="Arial" w:cs="Arial"/>
          <w:bCs/>
          <w:sz w:val="22"/>
          <w:szCs w:val="22"/>
          <w:lang w:val="en-AU"/>
        </w:rPr>
        <w:t>imp</w:t>
      </w:r>
      <w:r w:rsidR="004021C5">
        <w:rPr>
          <w:rFonts w:ascii="Arial" w:hAnsi="Arial" w:cs="Arial"/>
          <w:bCs/>
          <w:sz w:val="22"/>
          <w:szCs w:val="22"/>
          <w:lang w:val="en-AU"/>
        </w:rPr>
        <w:t>act</w:t>
      </w:r>
      <w:r w:rsidR="00FA627F">
        <w:rPr>
          <w:rFonts w:ascii="Arial" w:hAnsi="Arial" w:cs="Arial"/>
          <w:bCs/>
          <w:sz w:val="22"/>
          <w:szCs w:val="22"/>
          <w:lang w:val="en-AU"/>
        </w:rPr>
        <w:t xml:space="preserve"> of transport investment</w:t>
      </w:r>
      <w:r w:rsidR="004021C5">
        <w:rPr>
          <w:rFonts w:ascii="Arial" w:hAnsi="Arial" w:cs="Arial"/>
          <w:bCs/>
          <w:sz w:val="22"/>
          <w:szCs w:val="22"/>
          <w:lang w:val="en-AU"/>
        </w:rPr>
        <w:t xml:space="preserve"> on housing developmen</w:t>
      </w:r>
      <w:r w:rsidR="009627F7">
        <w:rPr>
          <w:rFonts w:ascii="Arial" w:hAnsi="Arial" w:cs="Arial"/>
          <w:bCs/>
          <w:sz w:val="22"/>
          <w:szCs w:val="22"/>
          <w:lang w:val="en-AU"/>
        </w:rPr>
        <w:t>t, taking into account the price and quantity of housing that is supplied.</w:t>
      </w:r>
    </w:p>
    <w:p w14:paraId="5EB92B81" w14:textId="77777777" w:rsidR="0051052A" w:rsidRPr="0051052A" w:rsidRDefault="0051052A" w:rsidP="0051052A">
      <w:pPr>
        <w:outlineLvl w:val="0"/>
        <w:rPr>
          <w:rFonts w:ascii="Arial" w:hAnsi="Arial" w:cs="Arial"/>
          <w:bCs/>
          <w:sz w:val="22"/>
          <w:szCs w:val="22"/>
          <w:lang w:val="en-AU"/>
        </w:rPr>
      </w:pPr>
    </w:p>
    <w:p w14:paraId="00C6CE28" w14:textId="3A3F1080" w:rsidR="0051052A" w:rsidRPr="0051052A" w:rsidRDefault="009627F7" w:rsidP="0051052A">
      <w:pPr>
        <w:outlineLvl w:val="0"/>
        <w:rPr>
          <w:rFonts w:ascii="Arial" w:hAnsi="Arial" w:cs="Arial"/>
          <w:bCs/>
          <w:sz w:val="22"/>
          <w:szCs w:val="22"/>
          <w:lang w:val="en-AU"/>
        </w:rPr>
      </w:pPr>
      <w:r>
        <w:rPr>
          <w:rFonts w:ascii="Arial" w:hAnsi="Arial" w:cs="Arial"/>
          <w:bCs/>
          <w:sz w:val="22"/>
          <w:szCs w:val="22"/>
          <w:lang w:val="en-AU"/>
        </w:rPr>
        <w:t>H</w:t>
      </w:r>
      <w:r w:rsidR="0051052A" w:rsidRPr="0051052A">
        <w:rPr>
          <w:rFonts w:ascii="Arial" w:hAnsi="Arial" w:cs="Arial"/>
          <w:bCs/>
          <w:sz w:val="22"/>
          <w:szCs w:val="22"/>
          <w:lang w:val="en-AU"/>
        </w:rPr>
        <w:t xml:space="preserve">ousing and land markets are </w:t>
      </w:r>
      <w:r>
        <w:rPr>
          <w:rFonts w:ascii="Arial" w:hAnsi="Arial" w:cs="Arial"/>
          <w:bCs/>
          <w:sz w:val="22"/>
          <w:szCs w:val="22"/>
          <w:lang w:val="en-AU"/>
        </w:rPr>
        <w:t>characterised by various constraints that make it difficult to supply new housing in response to increased demand, such as</w:t>
      </w:r>
      <w:r w:rsidR="0051052A" w:rsidRPr="0051052A">
        <w:rPr>
          <w:rFonts w:ascii="Arial" w:hAnsi="Arial" w:cs="Arial"/>
          <w:bCs/>
          <w:sz w:val="22"/>
          <w:szCs w:val="22"/>
          <w:lang w:val="en-AU"/>
        </w:rPr>
        <w:t xml:space="preserve"> the differentiated nature of land, persistence in development patterns, and </w:t>
      </w:r>
      <w:r>
        <w:rPr>
          <w:rFonts w:ascii="Arial" w:hAnsi="Arial" w:cs="Arial"/>
          <w:bCs/>
          <w:sz w:val="22"/>
          <w:szCs w:val="22"/>
          <w:lang w:val="en-AU"/>
        </w:rPr>
        <w:t>barriers</w:t>
      </w:r>
      <w:r w:rsidR="0051052A" w:rsidRPr="0051052A">
        <w:rPr>
          <w:rFonts w:ascii="Arial" w:hAnsi="Arial" w:cs="Arial"/>
          <w:bCs/>
          <w:sz w:val="22"/>
          <w:szCs w:val="22"/>
          <w:lang w:val="en-AU"/>
        </w:rPr>
        <w:t xml:space="preserve"> arising from land use regulations and </w:t>
      </w:r>
      <w:r>
        <w:rPr>
          <w:rFonts w:ascii="Arial" w:hAnsi="Arial" w:cs="Arial"/>
          <w:bCs/>
          <w:sz w:val="22"/>
          <w:szCs w:val="22"/>
          <w:lang w:val="en-AU"/>
        </w:rPr>
        <w:t xml:space="preserve">a lack of </w:t>
      </w:r>
      <w:r w:rsidR="0051052A" w:rsidRPr="0051052A">
        <w:rPr>
          <w:rFonts w:ascii="Arial" w:hAnsi="Arial" w:cs="Arial"/>
          <w:bCs/>
          <w:sz w:val="22"/>
          <w:szCs w:val="22"/>
          <w:lang w:val="en-AU"/>
        </w:rPr>
        <w:t xml:space="preserve">infrastructure </w:t>
      </w:r>
      <w:r>
        <w:rPr>
          <w:rFonts w:ascii="Arial" w:hAnsi="Arial" w:cs="Arial"/>
          <w:bCs/>
          <w:sz w:val="22"/>
          <w:szCs w:val="22"/>
          <w:lang w:val="en-AU"/>
        </w:rPr>
        <w:t>servicing</w:t>
      </w:r>
      <w:r w:rsidR="0051052A" w:rsidRPr="0051052A">
        <w:rPr>
          <w:rFonts w:ascii="Arial" w:hAnsi="Arial" w:cs="Arial"/>
          <w:bCs/>
          <w:sz w:val="22"/>
          <w:szCs w:val="22"/>
          <w:lang w:val="en-AU"/>
        </w:rPr>
        <w:t xml:space="preserve">. This </w:t>
      </w:r>
      <w:r>
        <w:rPr>
          <w:rFonts w:ascii="Arial" w:hAnsi="Arial" w:cs="Arial"/>
          <w:bCs/>
          <w:sz w:val="22"/>
          <w:szCs w:val="22"/>
          <w:lang w:val="en-AU"/>
        </w:rPr>
        <w:t>drives up</w:t>
      </w:r>
      <w:r w:rsidR="0051052A" w:rsidRPr="0051052A">
        <w:rPr>
          <w:rFonts w:ascii="Arial" w:hAnsi="Arial" w:cs="Arial"/>
          <w:bCs/>
          <w:sz w:val="22"/>
          <w:szCs w:val="22"/>
          <w:lang w:val="en-AU"/>
        </w:rPr>
        <w:t xml:space="preserve"> price</w:t>
      </w:r>
      <w:r>
        <w:rPr>
          <w:rFonts w:ascii="Arial" w:hAnsi="Arial" w:cs="Arial"/>
          <w:bCs/>
          <w:sz w:val="22"/>
          <w:szCs w:val="22"/>
          <w:lang w:val="en-AU"/>
        </w:rPr>
        <w:t>s for housing and urban land above the ‘fundamentals’.</w:t>
      </w:r>
    </w:p>
    <w:p w14:paraId="65DF8349" w14:textId="77777777" w:rsidR="0051052A" w:rsidRPr="0051052A" w:rsidRDefault="0051052A" w:rsidP="0051052A">
      <w:pPr>
        <w:outlineLvl w:val="0"/>
        <w:rPr>
          <w:rFonts w:ascii="Arial" w:hAnsi="Arial" w:cs="Arial"/>
          <w:bCs/>
          <w:sz w:val="22"/>
          <w:szCs w:val="22"/>
          <w:lang w:val="en-AU"/>
        </w:rPr>
      </w:pPr>
    </w:p>
    <w:p w14:paraId="4ABC6E8C" w14:textId="1C68E943" w:rsidR="0051052A" w:rsidRPr="0051052A" w:rsidRDefault="004021C5" w:rsidP="0051052A">
      <w:pPr>
        <w:outlineLvl w:val="0"/>
        <w:rPr>
          <w:rFonts w:ascii="Arial" w:hAnsi="Arial" w:cs="Arial"/>
          <w:bCs/>
          <w:sz w:val="22"/>
          <w:szCs w:val="22"/>
          <w:lang w:val="en-AU"/>
        </w:rPr>
      </w:pPr>
      <w:r>
        <w:rPr>
          <w:rFonts w:ascii="Arial" w:hAnsi="Arial" w:cs="Arial"/>
          <w:bCs/>
          <w:sz w:val="22"/>
          <w:szCs w:val="22"/>
          <w:lang w:val="en-AU"/>
        </w:rPr>
        <w:t>T</w:t>
      </w:r>
      <w:r w:rsidR="0051052A" w:rsidRPr="0051052A">
        <w:rPr>
          <w:rFonts w:ascii="Arial" w:hAnsi="Arial" w:cs="Arial"/>
          <w:bCs/>
          <w:sz w:val="22"/>
          <w:szCs w:val="22"/>
          <w:lang w:val="en-AU"/>
        </w:rPr>
        <w:t xml:space="preserve">ransport investments (or technology changes) that reduce </w:t>
      </w:r>
      <w:r w:rsidR="009627F7">
        <w:rPr>
          <w:rFonts w:ascii="Arial" w:hAnsi="Arial" w:cs="Arial"/>
          <w:bCs/>
          <w:sz w:val="22"/>
          <w:szCs w:val="22"/>
          <w:lang w:val="en-AU"/>
        </w:rPr>
        <w:t>transport costs can improve the functioning</w:t>
      </w:r>
      <w:r w:rsidR="0051052A" w:rsidRPr="0051052A">
        <w:rPr>
          <w:rFonts w:ascii="Arial" w:hAnsi="Arial" w:cs="Arial"/>
          <w:bCs/>
          <w:sz w:val="22"/>
          <w:szCs w:val="22"/>
          <w:lang w:val="en-AU"/>
        </w:rPr>
        <w:t xml:space="preserve"> of housing </w:t>
      </w:r>
      <w:r w:rsidR="009627F7">
        <w:rPr>
          <w:rFonts w:ascii="Arial" w:hAnsi="Arial" w:cs="Arial"/>
          <w:bCs/>
          <w:sz w:val="22"/>
          <w:szCs w:val="22"/>
          <w:lang w:val="en-AU"/>
        </w:rPr>
        <w:t>development</w:t>
      </w:r>
      <w:r w:rsidR="0051052A" w:rsidRPr="0051052A">
        <w:rPr>
          <w:rFonts w:ascii="Arial" w:hAnsi="Arial" w:cs="Arial"/>
          <w:bCs/>
          <w:sz w:val="22"/>
          <w:szCs w:val="22"/>
          <w:lang w:val="en-AU"/>
        </w:rPr>
        <w:t xml:space="preserve"> markets by increasing the substitut</w:t>
      </w:r>
      <w:r w:rsidR="009627F7">
        <w:rPr>
          <w:rFonts w:ascii="Arial" w:hAnsi="Arial" w:cs="Arial"/>
          <w:bCs/>
          <w:sz w:val="22"/>
          <w:szCs w:val="22"/>
          <w:lang w:val="en-AU"/>
        </w:rPr>
        <w:t>ability between different sites and thus increasing the competitive pressure that landowners experience.</w:t>
      </w:r>
      <w:r w:rsidR="0051052A" w:rsidRPr="0051052A">
        <w:rPr>
          <w:rFonts w:ascii="Arial" w:hAnsi="Arial" w:cs="Arial"/>
          <w:bCs/>
          <w:sz w:val="22"/>
          <w:szCs w:val="22"/>
          <w:lang w:val="en-AU"/>
        </w:rPr>
        <w:t xml:space="preserve"> Transport improvements can therefore indirectly affect housing prices as well as the shape and size of cities.</w:t>
      </w:r>
    </w:p>
    <w:p w14:paraId="39E9CCCC" w14:textId="77777777" w:rsidR="0051052A" w:rsidRPr="0051052A" w:rsidRDefault="0051052A" w:rsidP="0051052A">
      <w:pPr>
        <w:outlineLvl w:val="0"/>
        <w:rPr>
          <w:rFonts w:ascii="Arial" w:hAnsi="Arial" w:cs="Arial"/>
          <w:bCs/>
          <w:sz w:val="22"/>
          <w:szCs w:val="22"/>
          <w:lang w:val="en-AU"/>
        </w:rPr>
      </w:pPr>
    </w:p>
    <w:p w14:paraId="59628314" w14:textId="29134F24" w:rsidR="0051052A" w:rsidRPr="0051052A" w:rsidRDefault="004021C5" w:rsidP="0051052A">
      <w:pPr>
        <w:outlineLvl w:val="0"/>
        <w:rPr>
          <w:rFonts w:ascii="Arial" w:hAnsi="Arial" w:cs="Arial"/>
          <w:bCs/>
          <w:sz w:val="22"/>
          <w:szCs w:val="22"/>
          <w:lang w:val="en-AU"/>
        </w:rPr>
      </w:pPr>
      <w:r>
        <w:rPr>
          <w:rFonts w:ascii="Arial" w:hAnsi="Arial" w:cs="Arial"/>
          <w:bCs/>
          <w:sz w:val="22"/>
          <w:szCs w:val="22"/>
          <w:lang w:val="en-AU"/>
        </w:rPr>
        <w:t>Although this creates</w:t>
      </w:r>
      <w:r w:rsidR="005411F5">
        <w:rPr>
          <w:rFonts w:ascii="Arial" w:hAnsi="Arial" w:cs="Arial"/>
          <w:bCs/>
          <w:sz w:val="22"/>
          <w:szCs w:val="22"/>
          <w:lang w:val="en-AU"/>
        </w:rPr>
        <w:t xml:space="preserve"> the potential for wider benefits related to unlocking housing development, e</w:t>
      </w:r>
      <w:r w:rsidR="0051052A" w:rsidRPr="0051052A">
        <w:rPr>
          <w:rFonts w:ascii="Arial" w:hAnsi="Arial" w:cs="Arial"/>
          <w:bCs/>
          <w:sz w:val="22"/>
          <w:szCs w:val="22"/>
          <w:lang w:val="en-AU"/>
        </w:rPr>
        <w:t>xisting land use-transport interaction models are poorly suited to capturing these effects.</w:t>
      </w:r>
      <w:r w:rsidR="005411F5">
        <w:rPr>
          <w:rFonts w:ascii="Arial" w:hAnsi="Arial" w:cs="Arial"/>
          <w:bCs/>
          <w:sz w:val="22"/>
          <w:szCs w:val="22"/>
          <w:lang w:val="en-AU"/>
        </w:rPr>
        <w:t xml:space="preserve"> A survey of these models reveals that they typically neglect competitive dynamics in housing development.</w:t>
      </w:r>
    </w:p>
    <w:p w14:paraId="334B6F5B" w14:textId="77777777" w:rsidR="0051052A" w:rsidRPr="0051052A" w:rsidRDefault="0051052A" w:rsidP="0051052A">
      <w:pPr>
        <w:outlineLvl w:val="0"/>
        <w:rPr>
          <w:rFonts w:ascii="Arial" w:hAnsi="Arial" w:cs="Arial"/>
          <w:bCs/>
          <w:sz w:val="22"/>
          <w:szCs w:val="22"/>
          <w:lang w:val="en-AU"/>
        </w:rPr>
      </w:pPr>
    </w:p>
    <w:p w14:paraId="6FFBCEC5" w14:textId="6EA9608C" w:rsidR="0051052A" w:rsidRDefault="0051052A" w:rsidP="00FA627F">
      <w:pPr>
        <w:outlineLvl w:val="0"/>
        <w:rPr>
          <w:rFonts w:ascii="Arial" w:hAnsi="Arial" w:cs="Arial"/>
          <w:bCs/>
          <w:sz w:val="22"/>
          <w:szCs w:val="22"/>
          <w:lang w:val="en-AU"/>
        </w:rPr>
      </w:pPr>
      <w:r w:rsidRPr="0051052A">
        <w:rPr>
          <w:rFonts w:ascii="Arial" w:hAnsi="Arial" w:cs="Arial"/>
          <w:bCs/>
          <w:sz w:val="22"/>
          <w:szCs w:val="22"/>
          <w:lang w:val="en-AU"/>
        </w:rPr>
        <w:t xml:space="preserve">To conclude, this paper </w:t>
      </w:r>
      <w:r w:rsidR="005411F5">
        <w:rPr>
          <w:rFonts w:ascii="Arial" w:hAnsi="Arial" w:cs="Arial"/>
          <w:bCs/>
          <w:sz w:val="22"/>
          <w:szCs w:val="22"/>
          <w:lang w:val="en-AU"/>
        </w:rPr>
        <w:t xml:space="preserve">outlines a potential approach </w:t>
      </w:r>
      <w:r w:rsidR="00FA627F">
        <w:rPr>
          <w:rFonts w:ascii="Arial" w:hAnsi="Arial" w:cs="Arial"/>
          <w:bCs/>
          <w:sz w:val="22"/>
          <w:szCs w:val="22"/>
          <w:lang w:val="en-AU"/>
        </w:rPr>
        <w:t>for modelling and valuing the impacts of transport investment on housing development. This approach builds upon a well-understood conceptual framework and can be applied in conjunction with existing strategic transport models. Requirements for estimating and implementing this model are discussed.</w:t>
      </w:r>
    </w:p>
    <w:p w14:paraId="2A385E2B" w14:textId="77777777" w:rsidR="0051052A" w:rsidRDefault="0051052A" w:rsidP="0051052A">
      <w:pPr>
        <w:outlineLvl w:val="0"/>
        <w:rPr>
          <w:rFonts w:ascii="Arial" w:hAnsi="Arial" w:cs="Arial"/>
          <w:bCs/>
          <w:sz w:val="22"/>
          <w:szCs w:val="22"/>
          <w:lang w:val="en-AU"/>
        </w:rPr>
      </w:pPr>
    </w:p>
    <w:p w14:paraId="4F81622D" w14:textId="0085D6B4" w:rsidR="0051052A" w:rsidRPr="008119A9" w:rsidRDefault="00485848" w:rsidP="0051052A">
      <w:pPr>
        <w:outlineLvl w:val="0"/>
        <w:rPr>
          <w:rFonts w:ascii="Arial" w:hAnsi="Arial" w:cs="Arial"/>
          <w:b/>
          <w:sz w:val="28"/>
          <w:szCs w:val="28"/>
        </w:rPr>
      </w:pPr>
      <w:r>
        <w:rPr>
          <w:rFonts w:ascii="Arial" w:hAnsi="Arial" w:cs="Arial"/>
          <w:b/>
          <w:sz w:val="28"/>
          <w:szCs w:val="28"/>
        </w:rPr>
        <w:t>ACKNOWLEDGMENTS</w:t>
      </w:r>
    </w:p>
    <w:p w14:paraId="31A027EC" w14:textId="29CE81FA" w:rsidR="0051052A" w:rsidRDefault="004021C5" w:rsidP="00467137">
      <w:pPr>
        <w:outlineLvl w:val="0"/>
        <w:rPr>
          <w:rFonts w:ascii="Arial" w:hAnsi="Arial" w:cs="Arial"/>
          <w:sz w:val="22"/>
          <w:szCs w:val="22"/>
        </w:rPr>
      </w:pPr>
      <w:r>
        <w:rPr>
          <w:rFonts w:ascii="Arial" w:hAnsi="Arial" w:cs="Arial"/>
          <w:sz w:val="22"/>
          <w:szCs w:val="22"/>
        </w:rPr>
        <w:t>I gratefully acknowledge funding from the Engineering New Zealand-Transportation Group’s 2019 study award. Without this support it would not have been possible to pu</w:t>
      </w:r>
      <w:r w:rsidR="009627F7">
        <w:rPr>
          <w:rFonts w:ascii="Arial" w:hAnsi="Arial" w:cs="Arial"/>
          <w:sz w:val="22"/>
          <w:szCs w:val="22"/>
        </w:rPr>
        <w:t>rsue a blue-skies, somewhat speculative research project of this nature.</w:t>
      </w:r>
    </w:p>
    <w:p w14:paraId="2A5D8DAA" w14:textId="77777777" w:rsidR="005411F5" w:rsidRDefault="005411F5" w:rsidP="00467137">
      <w:pPr>
        <w:outlineLvl w:val="0"/>
        <w:rPr>
          <w:rFonts w:ascii="Arial" w:hAnsi="Arial" w:cs="Arial"/>
          <w:sz w:val="22"/>
          <w:szCs w:val="22"/>
        </w:rPr>
      </w:pPr>
    </w:p>
    <w:p w14:paraId="2FE03BE7" w14:textId="68FE5AE0" w:rsidR="005411F5" w:rsidRDefault="005411F5" w:rsidP="005411F5">
      <w:pPr>
        <w:outlineLvl w:val="0"/>
        <w:rPr>
          <w:rFonts w:ascii="Arial" w:hAnsi="Arial" w:cs="Arial"/>
          <w:sz w:val="22"/>
          <w:szCs w:val="22"/>
        </w:rPr>
      </w:pPr>
      <w:r>
        <w:rPr>
          <w:rFonts w:ascii="Arial" w:hAnsi="Arial" w:cs="Arial"/>
          <w:sz w:val="22"/>
          <w:szCs w:val="22"/>
        </w:rPr>
        <w:t>I also acknowledge helpful feedback from two</w:t>
      </w:r>
      <w:r w:rsidR="00CA1AA7">
        <w:rPr>
          <w:rFonts w:ascii="Arial" w:hAnsi="Arial" w:cs="Arial"/>
          <w:sz w:val="22"/>
          <w:szCs w:val="22"/>
        </w:rPr>
        <w:t xml:space="preserve"> reviewers, Joshua Arbury and Wayne Heerdegen </w:t>
      </w:r>
      <w:r>
        <w:rPr>
          <w:rFonts w:ascii="Arial" w:hAnsi="Arial" w:cs="Arial"/>
          <w:sz w:val="22"/>
          <w:szCs w:val="22"/>
        </w:rPr>
        <w:t>of the New Zealand Transport Agency, and helpful discussions</w:t>
      </w:r>
      <w:r w:rsidR="001E16BB">
        <w:rPr>
          <w:rFonts w:ascii="Arial" w:hAnsi="Arial" w:cs="Arial"/>
          <w:sz w:val="22"/>
          <w:szCs w:val="22"/>
        </w:rPr>
        <w:t xml:space="preserve"> with many others in the field,</w:t>
      </w:r>
      <w:r>
        <w:rPr>
          <w:rFonts w:ascii="Arial" w:hAnsi="Arial" w:cs="Arial"/>
          <w:sz w:val="22"/>
          <w:szCs w:val="22"/>
        </w:rPr>
        <w:t xml:space="preserve"> </w:t>
      </w:r>
      <w:r w:rsidR="00762CDE">
        <w:rPr>
          <w:rFonts w:ascii="Arial" w:hAnsi="Arial" w:cs="Arial"/>
          <w:sz w:val="22"/>
          <w:szCs w:val="22"/>
        </w:rPr>
        <w:t>including but not limited to</w:t>
      </w:r>
      <w:r>
        <w:rPr>
          <w:rFonts w:ascii="Arial" w:hAnsi="Arial" w:cs="Arial"/>
          <w:sz w:val="22"/>
          <w:szCs w:val="22"/>
        </w:rPr>
        <w:t xml:space="preserve"> </w:t>
      </w:r>
      <w:r w:rsidR="00CA1AA7">
        <w:rPr>
          <w:rFonts w:ascii="Arial" w:hAnsi="Arial" w:cs="Arial"/>
          <w:sz w:val="22"/>
          <w:szCs w:val="22"/>
        </w:rPr>
        <w:t>Chris Money, Chris Parker, Nadine Dodge, and Stuart Donovan</w:t>
      </w:r>
      <w:r>
        <w:rPr>
          <w:rFonts w:ascii="Arial" w:hAnsi="Arial" w:cs="Arial"/>
          <w:sz w:val="22"/>
          <w:szCs w:val="22"/>
        </w:rPr>
        <w:t>.</w:t>
      </w:r>
    </w:p>
    <w:p w14:paraId="35DB1C3F" w14:textId="3754393E" w:rsidR="00966A0C" w:rsidRDefault="00CA1AA7" w:rsidP="00CA1AA7">
      <w:pPr>
        <w:tabs>
          <w:tab w:val="left" w:pos="7178"/>
        </w:tabs>
        <w:outlineLvl w:val="0"/>
        <w:rPr>
          <w:rFonts w:ascii="Arial" w:hAnsi="Arial" w:cs="Arial"/>
          <w:sz w:val="22"/>
          <w:szCs w:val="22"/>
        </w:rPr>
      </w:pPr>
      <w:r>
        <w:rPr>
          <w:rFonts w:ascii="Arial" w:hAnsi="Arial" w:cs="Arial"/>
          <w:sz w:val="22"/>
          <w:szCs w:val="22"/>
        </w:rPr>
        <w:tab/>
      </w:r>
    </w:p>
    <w:p w14:paraId="31D76F4F" w14:textId="499264AE" w:rsidR="00966A0C" w:rsidRDefault="00966A0C" w:rsidP="005411F5">
      <w:pPr>
        <w:outlineLvl w:val="0"/>
        <w:rPr>
          <w:rFonts w:ascii="Arial" w:hAnsi="Arial" w:cs="Arial"/>
          <w:sz w:val="22"/>
          <w:szCs w:val="22"/>
        </w:rPr>
      </w:pPr>
      <w:r>
        <w:rPr>
          <w:rFonts w:ascii="Arial" w:hAnsi="Arial" w:cs="Arial"/>
          <w:sz w:val="22"/>
          <w:szCs w:val="22"/>
        </w:rPr>
        <w:t xml:space="preserve">Lastly, </w:t>
      </w:r>
      <w:r w:rsidR="007C2385">
        <w:rPr>
          <w:rFonts w:ascii="Arial" w:hAnsi="Arial" w:cs="Arial"/>
          <w:sz w:val="22"/>
          <w:szCs w:val="22"/>
        </w:rPr>
        <w:t>the paper has benefitted from</w:t>
      </w:r>
      <w:r>
        <w:rPr>
          <w:rFonts w:ascii="Arial" w:hAnsi="Arial" w:cs="Arial"/>
          <w:sz w:val="22"/>
          <w:szCs w:val="22"/>
        </w:rPr>
        <w:t xml:space="preserve"> helpful suggestions from two anonymous referees.</w:t>
      </w:r>
    </w:p>
    <w:p w14:paraId="68285ED3" w14:textId="77777777" w:rsidR="0051052A" w:rsidRDefault="0051052A" w:rsidP="00467137">
      <w:pPr>
        <w:outlineLvl w:val="0"/>
        <w:rPr>
          <w:rFonts w:ascii="Arial" w:hAnsi="Arial" w:cs="Arial"/>
          <w:sz w:val="22"/>
          <w:szCs w:val="22"/>
        </w:rPr>
      </w:pPr>
    </w:p>
    <w:p w14:paraId="6FCAB98A" w14:textId="4ECBF9E1" w:rsidR="008119A9" w:rsidRDefault="0051052A" w:rsidP="004F6514">
      <w:pPr>
        <w:numPr>
          <w:ilvl w:val="0"/>
          <w:numId w:val="6"/>
        </w:numPr>
        <w:outlineLvl w:val="0"/>
        <w:rPr>
          <w:rFonts w:ascii="Arial" w:hAnsi="Arial" w:cs="Arial"/>
          <w:sz w:val="22"/>
          <w:szCs w:val="22"/>
        </w:rPr>
      </w:pPr>
      <w:r>
        <w:rPr>
          <w:rFonts w:ascii="Arial" w:hAnsi="Arial" w:cs="Arial"/>
          <w:sz w:val="22"/>
          <w:szCs w:val="22"/>
        </w:rPr>
        <w:br w:type="page"/>
      </w:r>
      <w:r>
        <w:rPr>
          <w:rFonts w:ascii="Arial" w:hAnsi="Arial" w:cs="Arial"/>
          <w:b/>
          <w:bCs/>
          <w:sz w:val="28"/>
          <w:szCs w:val="28"/>
        </w:rPr>
        <w:lastRenderedPageBreak/>
        <w:t>Introduction</w:t>
      </w:r>
      <w:r w:rsidR="008119A9" w:rsidRPr="008119A9">
        <w:rPr>
          <w:rFonts w:ascii="Arial" w:hAnsi="Arial" w:cs="Arial"/>
          <w:sz w:val="28"/>
          <w:szCs w:val="28"/>
        </w:rPr>
        <w:t xml:space="preserve"> </w:t>
      </w:r>
      <w:r w:rsidR="008119A9">
        <w:rPr>
          <w:rFonts w:ascii="Arial" w:hAnsi="Arial" w:cs="Arial"/>
          <w:sz w:val="22"/>
          <w:szCs w:val="22"/>
        </w:rPr>
        <w:t xml:space="preserve"> </w:t>
      </w:r>
    </w:p>
    <w:p w14:paraId="4F3CCAC2" w14:textId="77777777" w:rsidR="0051052A" w:rsidRPr="0051052A" w:rsidRDefault="0051052A" w:rsidP="004021C5">
      <w:pPr>
        <w:jc w:val="center"/>
        <w:outlineLvl w:val="0"/>
        <w:rPr>
          <w:rFonts w:ascii="Arial" w:hAnsi="Arial" w:cs="Arial"/>
          <w:bCs/>
          <w:sz w:val="22"/>
          <w:szCs w:val="22"/>
          <w:lang w:val="en-AU"/>
        </w:rPr>
      </w:pPr>
    </w:p>
    <w:p w14:paraId="6A3B5668" w14:textId="7A013B88" w:rsidR="0051052A" w:rsidRPr="0051052A" w:rsidRDefault="004F6514" w:rsidP="0051052A">
      <w:pPr>
        <w:outlineLvl w:val="0"/>
        <w:rPr>
          <w:rFonts w:ascii="Arial" w:hAnsi="Arial" w:cs="Arial"/>
          <w:bCs/>
          <w:sz w:val="22"/>
          <w:szCs w:val="22"/>
          <w:lang w:val="en-AU"/>
        </w:rPr>
      </w:pPr>
      <w:r>
        <w:rPr>
          <w:rFonts w:ascii="Arial" w:hAnsi="Arial" w:cs="Arial"/>
          <w:bCs/>
          <w:sz w:val="22"/>
          <w:szCs w:val="22"/>
          <w:lang w:val="en-AU"/>
        </w:rPr>
        <w:t>T</w:t>
      </w:r>
      <w:r w:rsidR="0051052A" w:rsidRPr="0051052A">
        <w:rPr>
          <w:rFonts w:ascii="Arial" w:hAnsi="Arial" w:cs="Arial"/>
          <w:bCs/>
          <w:sz w:val="22"/>
          <w:szCs w:val="22"/>
          <w:lang w:val="en-AU"/>
        </w:rPr>
        <w:t>ransport policy</w:t>
      </w:r>
      <w:r>
        <w:rPr>
          <w:rFonts w:ascii="Arial" w:hAnsi="Arial" w:cs="Arial"/>
          <w:bCs/>
          <w:sz w:val="22"/>
          <w:szCs w:val="22"/>
          <w:lang w:val="en-AU"/>
        </w:rPr>
        <w:t xml:space="preserve"> and investments </w:t>
      </w:r>
      <w:r w:rsidR="00FA627F">
        <w:rPr>
          <w:rFonts w:ascii="Arial" w:hAnsi="Arial" w:cs="Arial"/>
          <w:bCs/>
          <w:sz w:val="22"/>
          <w:szCs w:val="22"/>
          <w:lang w:val="en-AU"/>
        </w:rPr>
        <w:t xml:space="preserve">shape </w:t>
      </w:r>
      <w:r>
        <w:rPr>
          <w:rFonts w:ascii="Arial" w:hAnsi="Arial" w:cs="Arial"/>
          <w:bCs/>
          <w:sz w:val="22"/>
          <w:szCs w:val="22"/>
          <w:lang w:val="en-AU"/>
        </w:rPr>
        <w:t>how cities and regions grow. Major p</w:t>
      </w:r>
      <w:r w:rsidR="0051052A" w:rsidRPr="0051052A">
        <w:rPr>
          <w:rFonts w:ascii="Arial" w:hAnsi="Arial" w:cs="Arial"/>
          <w:bCs/>
          <w:sz w:val="22"/>
          <w:szCs w:val="22"/>
          <w:lang w:val="en-AU"/>
        </w:rPr>
        <w:t>rojects like the London Underground, the US interstate highway system, and, locally, the Auckland Harbour Bridge have shaped urban growth</w:t>
      </w:r>
      <w:r w:rsidR="000F3497">
        <w:rPr>
          <w:rFonts w:ascii="Arial" w:hAnsi="Arial" w:cs="Arial"/>
          <w:bCs/>
          <w:sz w:val="22"/>
          <w:szCs w:val="22"/>
          <w:lang w:val="en-AU"/>
        </w:rPr>
        <w:t xml:space="preserve"> (Heblich, Redding, and Sturm, 2018; </w:t>
      </w:r>
      <w:r w:rsidR="000F3497">
        <w:rPr>
          <w:rFonts w:ascii="Arial" w:hAnsi="Arial" w:cs="Arial"/>
          <w:sz w:val="22"/>
          <w:szCs w:val="22"/>
        </w:rPr>
        <w:t>Duranton and Turner, 2012; Grimes, 2011)</w:t>
      </w:r>
      <w:r w:rsidR="0051052A" w:rsidRPr="0051052A">
        <w:rPr>
          <w:rFonts w:ascii="Arial" w:hAnsi="Arial" w:cs="Arial"/>
          <w:bCs/>
          <w:sz w:val="22"/>
          <w:szCs w:val="22"/>
          <w:lang w:val="en-AU"/>
        </w:rPr>
        <w:t>. The effects can last decades or even millennia, as shown by the impact of Roman roads on present-day regional development in Europe</w:t>
      </w:r>
      <w:r w:rsidR="000F3497">
        <w:rPr>
          <w:rFonts w:ascii="Arial" w:hAnsi="Arial" w:cs="Arial"/>
          <w:bCs/>
          <w:sz w:val="22"/>
          <w:szCs w:val="22"/>
          <w:lang w:val="en-AU"/>
        </w:rPr>
        <w:t xml:space="preserve"> (Dalgaard et al, 2018)</w:t>
      </w:r>
      <w:r w:rsidR="0051052A" w:rsidRPr="0051052A">
        <w:rPr>
          <w:rFonts w:ascii="Arial" w:hAnsi="Arial" w:cs="Arial"/>
          <w:bCs/>
          <w:sz w:val="22"/>
          <w:szCs w:val="22"/>
          <w:lang w:val="en-AU"/>
        </w:rPr>
        <w:t>.</w:t>
      </w:r>
    </w:p>
    <w:p w14:paraId="016EBD22" w14:textId="77777777" w:rsidR="0051052A" w:rsidRDefault="0051052A" w:rsidP="0051052A">
      <w:pPr>
        <w:outlineLvl w:val="0"/>
        <w:rPr>
          <w:rFonts w:ascii="Arial" w:hAnsi="Arial" w:cs="Arial"/>
          <w:bCs/>
          <w:sz w:val="22"/>
          <w:szCs w:val="22"/>
          <w:lang w:val="en-AU"/>
        </w:rPr>
      </w:pPr>
    </w:p>
    <w:p w14:paraId="7B79E114" w14:textId="7FC97339" w:rsidR="0051052A" w:rsidRDefault="007B63FE" w:rsidP="0051052A">
      <w:pPr>
        <w:outlineLvl w:val="0"/>
        <w:rPr>
          <w:rFonts w:ascii="Arial" w:hAnsi="Arial" w:cs="Arial"/>
          <w:bCs/>
          <w:sz w:val="22"/>
          <w:szCs w:val="22"/>
          <w:lang w:val="en-AU"/>
        </w:rPr>
      </w:pPr>
      <w:r>
        <w:rPr>
          <w:rFonts w:ascii="Arial" w:hAnsi="Arial" w:cs="Arial"/>
          <w:bCs/>
          <w:sz w:val="22"/>
          <w:szCs w:val="22"/>
          <w:lang w:val="en-AU"/>
        </w:rPr>
        <w:t>Today, p</w:t>
      </w:r>
      <w:r w:rsidRPr="0051052A">
        <w:rPr>
          <w:rFonts w:ascii="Arial" w:hAnsi="Arial" w:cs="Arial"/>
          <w:bCs/>
          <w:sz w:val="22"/>
          <w:szCs w:val="22"/>
          <w:lang w:val="en-AU"/>
        </w:rPr>
        <w:t>olicymakers are increasingly concerned about New Zealand’s challe</w:t>
      </w:r>
      <w:r w:rsidR="00C71873">
        <w:rPr>
          <w:rFonts w:ascii="Arial" w:hAnsi="Arial" w:cs="Arial"/>
          <w:bCs/>
          <w:sz w:val="22"/>
          <w:szCs w:val="22"/>
          <w:lang w:val="en-AU"/>
        </w:rPr>
        <w:t>nges with housing affordability</w:t>
      </w:r>
      <w:r w:rsidRPr="0051052A">
        <w:rPr>
          <w:rFonts w:ascii="Arial" w:hAnsi="Arial" w:cs="Arial"/>
          <w:bCs/>
          <w:sz w:val="22"/>
          <w:szCs w:val="22"/>
          <w:lang w:val="en-AU"/>
        </w:rPr>
        <w:t xml:space="preserve"> and looking for evidence on how transport investment can help to address this problem.</w:t>
      </w:r>
      <w:r>
        <w:rPr>
          <w:rFonts w:ascii="Arial" w:hAnsi="Arial" w:cs="Arial"/>
          <w:bCs/>
          <w:sz w:val="22"/>
          <w:szCs w:val="22"/>
          <w:lang w:val="en-AU"/>
        </w:rPr>
        <w:t xml:space="preserve"> However, w</w:t>
      </w:r>
      <w:r w:rsidR="0051052A" w:rsidRPr="0051052A">
        <w:rPr>
          <w:rFonts w:ascii="Arial" w:hAnsi="Arial" w:cs="Arial"/>
          <w:bCs/>
          <w:sz w:val="22"/>
          <w:szCs w:val="22"/>
          <w:lang w:val="en-AU"/>
        </w:rPr>
        <w:t>e lack methods for predicting impacts on housing development or valuing the resu</w:t>
      </w:r>
      <w:r w:rsidR="00926356">
        <w:rPr>
          <w:rFonts w:ascii="Arial" w:hAnsi="Arial" w:cs="Arial"/>
          <w:bCs/>
          <w:sz w:val="22"/>
          <w:szCs w:val="22"/>
          <w:lang w:val="en-AU"/>
        </w:rPr>
        <w:t>lting benefits (or disbenefits)</w:t>
      </w:r>
      <w:r w:rsidR="0051052A" w:rsidRPr="0051052A">
        <w:rPr>
          <w:rFonts w:ascii="Arial" w:hAnsi="Arial" w:cs="Arial"/>
          <w:bCs/>
          <w:sz w:val="22"/>
          <w:szCs w:val="22"/>
          <w:lang w:val="en-AU"/>
        </w:rPr>
        <w:t>.</w:t>
      </w:r>
      <w:r w:rsidR="0051052A" w:rsidRPr="0051052A">
        <w:rPr>
          <w:rFonts w:ascii="Arial" w:hAnsi="Arial" w:cs="Arial"/>
          <w:bCs/>
          <w:sz w:val="22"/>
          <w:szCs w:val="22"/>
          <w:vertAlign w:val="superscript"/>
          <w:lang w:val="en-AU"/>
        </w:rPr>
        <w:footnoteReference w:id="1"/>
      </w:r>
    </w:p>
    <w:p w14:paraId="64148EF6" w14:textId="77777777" w:rsidR="0012619F" w:rsidRDefault="0012619F" w:rsidP="0051052A">
      <w:pPr>
        <w:outlineLvl w:val="0"/>
        <w:rPr>
          <w:rFonts w:ascii="Arial" w:hAnsi="Arial" w:cs="Arial"/>
          <w:bCs/>
          <w:sz w:val="22"/>
          <w:szCs w:val="22"/>
          <w:lang w:val="en-AU"/>
        </w:rPr>
      </w:pPr>
    </w:p>
    <w:p w14:paraId="03BD6749" w14:textId="2BC4BEDE" w:rsidR="0012619F" w:rsidRPr="0051052A" w:rsidRDefault="0012619F" w:rsidP="0051052A">
      <w:pPr>
        <w:outlineLvl w:val="0"/>
        <w:rPr>
          <w:rFonts w:ascii="Arial" w:hAnsi="Arial" w:cs="Arial"/>
          <w:bCs/>
          <w:sz w:val="22"/>
          <w:szCs w:val="22"/>
          <w:lang w:val="en-AU"/>
        </w:rPr>
      </w:pPr>
      <w:r>
        <w:rPr>
          <w:rFonts w:ascii="Arial" w:hAnsi="Arial" w:cs="Arial"/>
          <w:bCs/>
          <w:sz w:val="22"/>
          <w:szCs w:val="22"/>
          <w:lang w:val="en-AU"/>
        </w:rPr>
        <w:t xml:space="preserve">There are several reasons why it is desirable to </w:t>
      </w:r>
      <w:r w:rsidR="00966A0C">
        <w:rPr>
          <w:rFonts w:ascii="Arial" w:hAnsi="Arial" w:cs="Arial"/>
          <w:bCs/>
          <w:sz w:val="22"/>
          <w:szCs w:val="22"/>
          <w:lang w:val="en-AU"/>
        </w:rPr>
        <w:t>assess these impacts. First, doing so may help inform strategic planning and investment prioritisation. For instance, a project that is expected to have large benefits for housing development may be preferred over a similar project that does not deliver those benefits. Second, assessing these impacts may assist in designing complementary land use policies, such as rezoning of areas to enable housing development.</w:t>
      </w:r>
    </w:p>
    <w:p w14:paraId="1CB26827" w14:textId="679D2C32" w:rsidR="0051052A" w:rsidRPr="0051052A" w:rsidRDefault="0051052A" w:rsidP="00926356">
      <w:pPr>
        <w:tabs>
          <w:tab w:val="left" w:pos="3466"/>
        </w:tabs>
        <w:outlineLvl w:val="0"/>
        <w:rPr>
          <w:rFonts w:ascii="Arial" w:hAnsi="Arial" w:cs="Arial"/>
          <w:bCs/>
          <w:sz w:val="22"/>
          <w:szCs w:val="22"/>
          <w:lang w:val="en-AU"/>
        </w:rPr>
      </w:pPr>
    </w:p>
    <w:p w14:paraId="03525CDD" w14:textId="12B93E71" w:rsidR="0051052A" w:rsidRDefault="007B63FE" w:rsidP="007B63FE">
      <w:pPr>
        <w:outlineLvl w:val="0"/>
        <w:rPr>
          <w:rFonts w:ascii="Arial" w:hAnsi="Arial" w:cs="Arial"/>
          <w:bCs/>
          <w:sz w:val="22"/>
          <w:szCs w:val="22"/>
          <w:lang w:val="en-AU"/>
        </w:rPr>
      </w:pPr>
      <w:r>
        <w:rPr>
          <w:rFonts w:ascii="Arial" w:hAnsi="Arial" w:cs="Arial"/>
          <w:bCs/>
          <w:sz w:val="22"/>
          <w:szCs w:val="22"/>
          <w:lang w:val="en-AU"/>
        </w:rPr>
        <w:t xml:space="preserve">This research paper </w:t>
      </w:r>
      <w:r w:rsidR="0012619F">
        <w:rPr>
          <w:rFonts w:ascii="Arial" w:hAnsi="Arial" w:cs="Arial"/>
          <w:bCs/>
          <w:sz w:val="22"/>
          <w:szCs w:val="22"/>
          <w:lang w:val="en-AU"/>
        </w:rPr>
        <w:t xml:space="preserve">therefore </w:t>
      </w:r>
      <w:r w:rsidR="004F6514">
        <w:rPr>
          <w:rFonts w:ascii="Arial" w:hAnsi="Arial" w:cs="Arial"/>
          <w:bCs/>
          <w:sz w:val="22"/>
          <w:szCs w:val="22"/>
          <w:lang w:val="en-AU"/>
        </w:rPr>
        <w:t>examines how to model and value the</w:t>
      </w:r>
      <w:r>
        <w:rPr>
          <w:rFonts w:ascii="Arial" w:hAnsi="Arial" w:cs="Arial"/>
          <w:bCs/>
          <w:sz w:val="22"/>
          <w:szCs w:val="22"/>
          <w:lang w:val="en-AU"/>
        </w:rPr>
        <w:t xml:space="preserve"> impacts of transport investment on housing development. I</w:t>
      </w:r>
      <w:r w:rsidR="00E5556B">
        <w:rPr>
          <w:rFonts w:ascii="Arial" w:hAnsi="Arial" w:cs="Arial"/>
          <w:bCs/>
          <w:sz w:val="22"/>
          <w:szCs w:val="22"/>
          <w:lang w:val="en-AU"/>
        </w:rPr>
        <w:t>t argues that:</w:t>
      </w:r>
    </w:p>
    <w:p w14:paraId="2E8235FB" w14:textId="77777777" w:rsidR="00E5556B" w:rsidRDefault="00E5556B" w:rsidP="007B63FE">
      <w:pPr>
        <w:outlineLvl w:val="0"/>
        <w:rPr>
          <w:rFonts w:ascii="Arial" w:hAnsi="Arial" w:cs="Arial"/>
          <w:bCs/>
          <w:sz w:val="22"/>
          <w:szCs w:val="22"/>
          <w:lang w:val="en-AU"/>
        </w:rPr>
      </w:pPr>
    </w:p>
    <w:p w14:paraId="2641FFB4" w14:textId="2B47487B" w:rsidR="00E5556B" w:rsidRDefault="00E5556B" w:rsidP="00E5556B">
      <w:pPr>
        <w:numPr>
          <w:ilvl w:val="0"/>
          <w:numId w:val="3"/>
        </w:numPr>
        <w:outlineLvl w:val="0"/>
        <w:rPr>
          <w:rFonts w:ascii="Arial" w:hAnsi="Arial" w:cs="Arial"/>
          <w:bCs/>
          <w:sz w:val="22"/>
          <w:szCs w:val="22"/>
          <w:lang w:val="en-AU"/>
        </w:rPr>
      </w:pPr>
      <w:r>
        <w:rPr>
          <w:rFonts w:ascii="Arial" w:hAnsi="Arial" w:cs="Arial"/>
          <w:bCs/>
          <w:sz w:val="22"/>
          <w:szCs w:val="22"/>
          <w:lang w:val="en-AU"/>
        </w:rPr>
        <w:t xml:space="preserve">Housing development markets are characterised by imperfect competition due to various factors that constrain the supply of new housing to meet demand (Section </w:t>
      </w:r>
      <w:r>
        <w:rPr>
          <w:rFonts w:ascii="Arial" w:hAnsi="Arial" w:cs="Arial"/>
          <w:bCs/>
          <w:sz w:val="22"/>
          <w:szCs w:val="22"/>
          <w:lang w:val="en-AU"/>
        </w:rPr>
        <w:fldChar w:fldCharType="begin"/>
      </w:r>
      <w:r>
        <w:rPr>
          <w:rFonts w:ascii="Arial" w:hAnsi="Arial" w:cs="Arial"/>
          <w:bCs/>
          <w:sz w:val="22"/>
          <w:szCs w:val="22"/>
          <w:lang w:val="en-AU"/>
        </w:rPr>
        <w:instrText xml:space="preserve"> REF _Ref32868275 \r \h </w:instrText>
      </w:r>
      <w:r>
        <w:rPr>
          <w:rFonts w:ascii="Arial" w:hAnsi="Arial" w:cs="Arial"/>
          <w:bCs/>
          <w:sz w:val="22"/>
          <w:szCs w:val="22"/>
          <w:lang w:val="en-AU"/>
        </w:rPr>
      </w:r>
      <w:r>
        <w:rPr>
          <w:rFonts w:ascii="Arial" w:hAnsi="Arial" w:cs="Arial"/>
          <w:bCs/>
          <w:sz w:val="22"/>
          <w:szCs w:val="22"/>
          <w:lang w:val="en-AU"/>
        </w:rPr>
        <w:fldChar w:fldCharType="separate"/>
      </w:r>
      <w:r>
        <w:rPr>
          <w:rFonts w:ascii="Arial" w:hAnsi="Arial" w:cs="Arial"/>
          <w:bCs/>
          <w:sz w:val="22"/>
          <w:szCs w:val="22"/>
          <w:lang w:val="en-AU"/>
        </w:rPr>
        <w:t>2</w:t>
      </w:r>
      <w:r>
        <w:rPr>
          <w:rFonts w:ascii="Arial" w:hAnsi="Arial" w:cs="Arial"/>
          <w:bCs/>
          <w:sz w:val="22"/>
          <w:szCs w:val="22"/>
          <w:lang w:val="en-AU"/>
        </w:rPr>
        <w:fldChar w:fldCharType="end"/>
      </w:r>
      <w:r>
        <w:rPr>
          <w:rFonts w:ascii="Arial" w:hAnsi="Arial" w:cs="Arial"/>
          <w:bCs/>
          <w:sz w:val="22"/>
          <w:szCs w:val="22"/>
          <w:lang w:val="en-AU"/>
        </w:rPr>
        <w:t>)</w:t>
      </w:r>
    </w:p>
    <w:p w14:paraId="2E3E68CD" w14:textId="17954465" w:rsidR="00E5556B" w:rsidRDefault="00E5556B" w:rsidP="00E5556B">
      <w:pPr>
        <w:numPr>
          <w:ilvl w:val="0"/>
          <w:numId w:val="3"/>
        </w:numPr>
        <w:outlineLvl w:val="0"/>
        <w:rPr>
          <w:rFonts w:ascii="Arial" w:hAnsi="Arial" w:cs="Arial"/>
          <w:bCs/>
          <w:sz w:val="22"/>
          <w:szCs w:val="22"/>
          <w:lang w:val="en-AU"/>
        </w:rPr>
      </w:pPr>
      <w:r>
        <w:rPr>
          <w:rFonts w:ascii="Arial" w:hAnsi="Arial" w:cs="Arial"/>
          <w:bCs/>
          <w:sz w:val="22"/>
          <w:szCs w:val="22"/>
          <w:lang w:val="en-AU"/>
        </w:rPr>
        <w:t xml:space="preserve">Transport investments can affect local housing demand, as increased accessibility makes areas more attractive for residents, and local supply dynamics, as increased accessibility can place landowners under greater competitive pressure (Section </w:t>
      </w:r>
      <w:r>
        <w:rPr>
          <w:rFonts w:ascii="Arial" w:hAnsi="Arial" w:cs="Arial"/>
          <w:bCs/>
          <w:sz w:val="22"/>
          <w:szCs w:val="22"/>
          <w:lang w:val="en-AU"/>
        </w:rPr>
        <w:fldChar w:fldCharType="begin"/>
      </w:r>
      <w:r>
        <w:rPr>
          <w:rFonts w:ascii="Arial" w:hAnsi="Arial" w:cs="Arial"/>
          <w:bCs/>
          <w:sz w:val="22"/>
          <w:szCs w:val="22"/>
          <w:lang w:val="en-AU"/>
        </w:rPr>
        <w:instrText xml:space="preserve"> REF _Ref32868375 \r \h </w:instrText>
      </w:r>
      <w:r>
        <w:rPr>
          <w:rFonts w:ascii="Arial" w:hAnsi="Arial" w:cs="Arial"/>
          <w:bCs/>
          <w:sz w:val="22"/>
          <w:szCs w:val="22"/>
          <w:lang w:val="en-AU"/>
        </w:rPr>
      </w:r>
      <w:r>
        <w:rPr>
          <w:rFonts w:ascii="Arial" w:hAnsi="Arial" w:cs="Arial"/>
          <w:bCs/>
          <w:sz w:val="22"/>
          <w:szCs w:val="22"/>
          <w:lang w:val="en-AU"/>
        </w:rPr>
        <w:fldChar w:fldCharType="separate"/>
      </w:r>
      <w:r>
        <w:rPr>
          <w:rFonts w:ascii="Arial" w:hAnsi="Arial" w:cs="Arial"/>
          <w:bCs/>
          <w:sz w:val="22"/>
          <w:szCs w:val="22"/>
          <w:lang w:val="en-AU"/>
        </w:rPr>
        <w:t>3</w:t>
      </w:r>
      <w:r>
        <w:rPr>
          <w:rFonts w:ascii="Arial" w:hAnsi="Arial" w:cs="Arial"/>
          <w:bCs/>
          <w:sz w:val="22"/>
          <w:szCs w:val="22"/>
          <w:lang w:val="en-AU"/>
        </w:rPr>
        <w:fldChar w:fldCharType="end"/>
      </w:r>
      <w:r>
        <w:rPr>
          <w:rFonts w:ascii="Arial" w:hAnsi="Arial" w:cs="Arial"/>
          <w:bCs/>
          <w:sz w:val="22"/>
          <w:szCs w:val="22"/>
          <w:lang w:val="en-AU"/>
        </w:rPr>
        <w:t>)</w:t>
      </w:r>
    </w:p>
    <w:p w14:paraId="12E5DE7E" w14:textId="3F63927D" w:rsidR="00E5556B" w:rsidRDefault="000F3497" w:rsidP="00E5556B">
      <w:pPr>
        <w:numPr>
          <w:ilvl w:val="0"/>
          <w:numId w:val="3"/>
        </w:numPr>
        <w:outlineLvl w:val="0"/>
        <w:rPr>
          <w:rFonts w:ascii="Arial" w:hAnsi="Arial" w:cs="Arial"/>
          <w:bCs/>
          <w:sz w:val="22"/>
          <w:szCs w:val="22"/>
          <w:lang w:val="en-AU"/>
        </w:rPr>
      </w:pPr>
      <w:r>
        <w:rPr>
          <w:rFonts w:ascii="Arial" w:hAnsi="Arial" w:cs="Arial"/>
          <w:bCs/>
          <w:sz w:val="22"/>
          <w:szCs w:val="22"/>
          <w:lang w:val="en-AU"/>
        </w:rPr>
        <w:t xml:space="preserve">As a result, major transport investments can generate wider economic benefits in housing development (Section </w:t>
      </w:r>
      <w:r>
        <w:rPr>
          <w:rFonts w:ascii="Arial" w:hAnsi="Arial" w:cs="Arial"/>
          <w:bCs/>
          <w:sz w:val="22"/>
          <w:szCs w:val="22"/>
          <w:lang w:val="en-AU"/>
        </w:rPr>
        <w:fldChar w:fldCharType="begin"/>
      </w:r>
      <w:r>
        <w:rPr>
          <w:rFonts w:ascii="Arial" w:hAnsi="Arial" w:cs="Arial"/>
          <w:bCs/>
          <w:sz w:val="22"/>
          <w:szCs w:val="22"/>
          <w:lang w:val="en-AU"/>
        </w:rPr>
        <w:instrText xml:space="preserve"> REF _Ref32868436 \r \h </w:instrText>
      </w:r>
      <w:r>
        <w:rPr>
          <w:rFonts w:ascii="Arial" w:hAnsi="Arial" w:cs="Arial"/>
          <w:bCs/>
          <w:sz w:val="22"/>
          <w:szCs w:val="22"/>
          <w:lang w:val="en-AU"/>
        </w:rPr>
      </w:r>
      <w:r>
        <w:rPr>
          <w:rFonts w:ascii="Arial" w:hAnsi="Arial" w:cs="Arial"/>
          <w:bCs/>
          <w:sz w:val="22"/>
          <w:szCs w:val="22"/>
          <w:lang w:val="en-AU"/>
        </w:rPr>
        <w:fldChar w:fldCharType="separate"/>
      </w:r>
      <w:r>
        <w:rPr>
          <w:rFonts w:ascii="Arial" w:hAnsi="Arial" w:cs="Arial"/>
          <w:bCs/>
          <w:sz w:val="22"/>
          <w:szCs w:val="22"/>
          <w:lang w:val="en-AU"/>
        </w:rPr>
        <w:t>4</w:t>
      </w:r>
      <w:r>
        <w:rPr>
          <w:rFonts w:ascii="Arial" w:hAnsi="Arial" w:cs="Arial"/>
          <w:bCs/>
          <w:sz w:val="22"/>
          <w:szCs w:val="22"/>
          <w:lang w:val="en-AU"/>
        </w:rPr>
        <w:fldChar w:fldCharType="end"/>
      </w:r>
      <w:r>
        <w:rPr>
          <w:rFonts w:ascii="Arial" w:hAnsi="Arial" w:cs="Arial"/>
          <w:bCs/>
          <w:sz w:val="22"/>
          <w:szCs w:val="22"/>
          <w:lang w:val="en-AU"/>
        </w:rPr>
        <w:t>)</w:t>
      </w:r>
    </w:p>
    <w:p w14:paraId="69280563" w14:textId="2534A010" w:rsidR="000F3497" w:rsidRDefault="000F3497" w:rsidP="00E5556B">
      <w:pPr>
        <w:numPr>
          <w:ilvl w:val="0"/>
          <w:numId w:val="3"/>
        </w:numPr>
        <w:outlineLvl w:val="0"/>
        <w:rPr>
          <w:rFonts w:ascii="Arial" w:hAnsi="Arial" w:cs="Arial"/>
          <w:bCs/>
          <w:sz w:val="22"/>
          <w:szCs w:val="22"/>
          <w:lang w:val="en-AU"/>
        </w:rPr>
      </w:pPr>
      <w:r>
        <w:rPr>
          <w:rFonts w:ascii="Arial" w:hAnsi="Arial" w:cs="Arial"/>
          <w:bCs/>
          <w:sz w:val="22"/>
          <w:szCs w:val="22"/>
          <w:lang w:val="en-AU"/>
        </w:rPr>
        <w:t xml:space="preserve">Existing land use-transport interaction models are ill-suited to capture these benefits, as they typically assume that housing development is perfectly competitive or that transport improvements cannot affect housing supply dynamics (Section </w:t>
      </w:r>
      <w:r>
        <w:rPr>
          <w:rFonts w:ascii="Arial" w:hAnsi="Arial" w:cs="Arial"/>
          <w:bCs/>
          <w:sz w:val="22"/>
          <w:szCs w:val="22"/>
          <w:lang w:val="en-AU"/>
        </w:rPr>
        <w:fldChar w:fldCharType="begin"/>
      </w:r>
      <w:r>
        <w:rPr>
          <w:rFonts w:ascii="Arial" w:hAnsi="Arial" w:cs="Arial"/>
          <w:bCs/>
          <w:sz w:val="22"/>
          <w:szCs w:val="22"/>
          <w:lang w:val="en-AU"/>
        </w:rPr>
        <w:instrText xml:space="preserve"> REF _Ref32868518 \r \h </w:instrText>
      </w:r>
      <w:r>
        <w:rPr>
          <w:rFonts w:ascii="Arial" w:hAnsi="Arial" w:cs="Arial"/>
          <w:bCs/>
          <w:sz w:val="22"/>
          <w:szCs w:val="22"/>
          <w:lang w:val="en-AU"/>
        </w:rPr>
      </w:r>
      <w:r>
        <w:rPr>
          <w:rFonts w:ascii="Arial" w:hAnsi="Arial" w:cs="Arial"/>
          <w:bCs/>
          <w:sz w:val="22"/>
          <w:szCs w:val="22"/>
          <w:lang w:val="en-AU"/>
        </w:rPr>
        <w:fldChar w:fldCharType="separate"/>
      </w:r>
      <w:r>
        <w:rPr>
          <w:rFonts w:ascii="Arial" w:hAnsi="Arial" w:cs="Arial"/>
          <w:bCs/>
          <w:sz w:val="22"/>
          <w:szCs w:val="22"/>
          <w:lang w:val="en-AU"/>
        </w:rPr>
        <w:t>5</w:t>
      </w:r>
      <w:r>
        <w:rPr>
          <w:rFonts w:ascii="Arial" w:hAnsi="Arial" w:cs="Arial"/>
          <w:bCs/>
          <w:sz w:val="22"/>
          <w:szCs w:val="22"/>
          <w:lang w:val="en-AU"/>
        </w:rPr>
        <w:fldChar w:fldCharType="end"/>
      </w:r>
      <w:r>
        <w:rPr>
          <w:rFonts w:ascii="Arial" w:hAnsi="Arial" w:cs="Arial"/>
          <w:bCs/>
          <w:sz w:val="22"/>
          <w:szCs w:val="22"/>
          <w:lang w:val="en-AU"/>
        </w:rPr>
        <w:t>).</w:t>
      </w:r>
    </w:p>
    <w:p w14:paraId="00D5CD61" w14:textId="77777777" w:rsidR="000F3497" w:rsidRDefault="000F3497" w:rsidP="000F3497">
      <w:pPr>
        <w:outlineLvl w:val="0"/>
        <w:rPr>
          <w:rFonts w:ascii="Arial" w:hAnsi="Arial" w:cs="Arial"/>
          <w:bCs/>
          <w:sz w:val="22"/>
          <w:szCs w:val="22"/>
          <w:lang w:val="en-AU"/>
        </w:rPr>
      </w:pPr>
    </w:p>
    <w:p w14:paraId="6EED4487" w14:textId="30DE9EF0" w:rsidR="000F3497" w:rsidRDefault="000F3497" w:rsidP="000F3497">
      <w:pPr>
        <w:outlineLvl w:val="0"/>
        <w:rPr>
          <w:rFonts w:ascii="Arial" w:hAnsi="Arial" w:cs="Arial"/>
          <w:bCs/>
          <w:sz w:val="22"/>
          <w:szCs w:val="22"/>
          <w:lang w:val="en-AU"/>
        </w:rPr>
      </w:pPr>
      <w:r>
        <w:rPr>
          <w:rFonts w:ascii="Arial" w:hAnsi="Arial" w:cs="Arial"/>
          <w:bCs/>
          <w:sz w:val="22"/>
          <w:szCs w:val="22"/>
          <w:lang w:val="en-AU"/>
        </w:rPr>
        <w:t xml:space="preserve">To conclude, this paper sketches out a modelling approach that could be used to capture and value the wider benefits of transport investment for housing development (Section </w:t>
      </w:r>
      <w:r>
        <w:rPr>
          <w:rFonts w:ascii="Arial" w:hAnsi="Arial" w:cs="Arial"/>
          <w:bCs/>
          <w:sz w:val="22"/>
          <w:szCs w:val="22"/>
          <w:lang w:val="en-AU"/>
        </w:rPr>
        <w:fldChar w:fldCharType="begin"/>
      </w:r>
      <w:r>
        <w:rPr>
          <w:rFonts w:ascii="Arial" w:hAnsi="Arial" w:cs="Arial"/>
          <w:bCs/>
          <w:sz w:val="22"/>
          <w:szCs w:val="22"/>
          <w:lang w:val="en-AU"/>
        </w:rPr>
        <w:instrText xml:space="preserve"> REF _Ref32868567 \r \h </w:instrText>
      </w:r>
      <w:r>
        <w:rPr>
          <w:rFonts w:ascii="Arial" w:hAnsi="Arial" w:cs="Arial"/>
          <w:bCs/>
          <w:sz w:val="22"/>
          <w:szCs w:val="22"/>
          <w:lang w:val="en-AU"/>
        </w:rPr>
      </w:r>
      <w:r>
        <w:rPr>
          <w:rFonts w:ascii="Arial" w:hAnsi="Arial" w:cs="Arial"/>
          <w:bCs/>
          <w:sz w:val="22"/>
          <w:szCs w:val="22"/>
          <w:lang w:val="en-AU"/>
        </w:rPr>
        <w:fldChar w:fldCharType="separate"/>
      </w:r>
      <w:r>
        <w:rPr>
          <w:rFonts w:ascii="Arial" w:hAnsi="Arial" w:cs="Arial"/>
          <w:bCs/>
          <w:sz w:val="22"/>
          <w:szCs w:val="22"/>
          <w:lang w:val="en-AU"/>
        </w:rPr>
        <w:t>6</w:t>
      </w:r>
      <w:r>
        <w:rPr>
          <w:rFonts w:ascii="Arial" w:hAnsi="Arial" w:cs="Arial"/>
          <w:bCs/>
          <w:sz w:val="22"/>
          <w:szCs w:val="22"/>
          <w:lang w:val="en-AU"/>
        </w:rPr>
        <w:fldChar w:fldCharType="end"/>
      </w:r>
      <w:r w:rsidR="004021C5">
        <w:rPr>
          <w:rFonts w:ascii="Arial" w:hAnsi="Arial" w:cs="Arial"/>
          <w:bCs/>
          <w:sz w:val="22"/>
          <w:szCs w:val="22"/>
          <w:lang w:val="en-AU"/>
        </w:rPr>
        <w:t>).</w:t>
      </w:r>
    </w:p>
    <w:p w14:paraId="2BE39F7A" w14:textId="77777777" w:rsidR="000F3497" w:rsidRPr="0051052A" w:rsidRDefault="000F3497" w:rsidP="000F3497">
      <w:pPr>
        <w:outlineLvl w:val="0"/>
        <w:rPr>
          <w:rFonts w:ascii="Arial" w:hAnsi="Arial" w:cs="Arial"/>
          <w:bCs/>
          <w:sz w:val="22"/>
          <w:szCs w:val="22"/>
          <w:lang w:val="en-AU"/>
        </w:rPr>
      </w:pPr>
    </w:p>
    <w:p w14:paraId="286C08D0" w14:textId="238E6C51" w:rsidR="0051052A" w:rsidRPr="00474EE0" w:rsidRDefault="004F6514" w:rsidP="004F6514">
      <w:pPr>
        <w:numPr>
          <w:ilvl w:val="0"/>
          <w:numId w:val="6"/>
        </w:numPr>
        <w:outlineLvl w:val="0"/>
        <w:rPr>
          <w:rFonts w:ascii="Arial" w:hAnsi="Arial" w:cs="Arial"/>
          <w:b/>
          <w:bCs/>
          <w:sz w:val="28"/>
          <w:szCs w:val="28"/>
        </w:rPr>
      </w:pPr>
      <w:bookmarkStart w:id="0" w:name="_Ref32868275"/>
      <w:r>
        <w:rPr>
          <w:rFonts w:ascii="Arial" w:hAnsi="Arial" w:cs="Arial"/>
          <w:b/>
          <w:bCs/>
          <w:sz w:val="28"/>
          <w:szCs w:val="28"/>
        </w:rPr>
        <w:t>Characteristics of housing development markets</w:t>
      </w:r>
      <w:bookmarkEnd w:id="0"/>
    </w:p>
    <w:p w14:paraId="539AD559" w14:textId="77777777" w:rsidR="0051052A" w:rsidRPr="0051052A" w:rsidRDefault="0051052A" w:rsidP="0051052A">
      <w:pPr>
        <w:outlineLvl w:val="0"/>
        <w:rPr>
          <w:rFonts w:ascii="Arial" w:hAnsi="Arial" w:cs="Arial"/>
          <w:bCs/>
          <w:sz w:val="22"/>
          <w:szCs w:val="22"/>
          <w:lang w:val="en-AU"/>
        </w:rPr>
      </w:pPr>
    </w:p>
    <w:p w14:paraId="384C36D8" w14:textId="4BBA32C1" w:rsidR="0051052A" w:rsidRPr="00CB2702" w:rsidRDefault="004F6514" w:rsidP="0051052A">
      <w:pPr>
        <w:numPr>
          <w:ilvl w:val="1"/>
          <w:numId w:val="6"/>
        </w:numPr>
        <w:outlineLvl w:val="0"/>
        <w:rPr>
          <w:rFonts w:ascii="Arial" w:hAnsi="Arial" w:cs="Arial"/>
          <w:b/>
          <w:bCs/>
          <w:i/>
          <w:iCs/>
          <w:sz w:val="22"/>
          <w:szCs w:val="22"/>
          <w:lang w:val="en-AU"/>
        </w:rPr>
      </w:pPr>
      <w:r>
        <w:rPr>
          <w:rFonts w:ascii="Arial" w:hAnsi="Arial" w:cs="Arial"/>
          <w:b/>
          <w:bCs/>
          <w:i/>
          <w:iCs/>
          <w:sz w:val="22"/>
          <w:szCs w:val="22"/>
          <w:lang w:val="en-AU"/>
        </w:rPr>
        <w:t>Market imperfections in housing development</w:t>
      </w:r>
    </w:p>
    <w:p w14:paraId="5EE0C586" w14:textId="6E564146" w:rsidR="0051052A" w:rsidRPr="0051052A" w:rsidRDefault="0051052A" w:rsidP="0051052A">
      <w:pPr>
        <w:outlineLvl w:val="0"/>
        <w:rPr>
          <w:rFonts w:ascii="Arial" w:hAnsi="Arial" w:cs="Arial"/>
          <w:bCs/>
          <w:sz w:val="22"/>
          <w:szCs w:val="22"/>
          <w:lang w:val="en-AU"/>
        </w:rPr>
      </w:pPr>
      <w:r w:rsidRPr="0051052A">
        <w:rPr>
          <w:rFonts w:ascii="Arial" w:hAnsi="Arial" w:cs="Arial"/>
          <w:bCs/>
          <w:sz w:val="22"/>
          <w:szCs w:val="22"/>
          <w:lang w:val="en-AU"/>
        </w:rPr>
        <w:t xml:space="preserve">‘Housing development’ </w:t>
      </w:r>
      <w:r w:rsidR="007A0E3D">
        <w:rPr>
          <w:rFonts w:ascii="Arial" w:hAnsi="Arial" w:cs="Arial"/>
          <w:bCs/>
          <w:sz w:val="22"/>
          <w:szCs w:val="22"/>
          <w:lang w:val="en-AU"/>
        </w:rPr>
        <w:t>is</w:t>
      </w:r>
      <w:r w:rsidRPr="0051052A">
        <w:rPr>
          <w:rFonts w:ascii="Arial" w:hAnsi="Arial" w:cs="Arial"/>
          <w:bCs/>
          <w:sz w:val="22"/>
          <w:szCs w:val="22"/>
          <w:lang w:val="en-AU"/>
        </w:rPr>
        <w:t xml:space="preserve"> the process of constructing new residential buildings, either by infilling or redeveloping existing sites or by building on new sites created by subdivision of large greenfield or brownfield sites.</w:t>
      </w:r>
      <w:r w:rsidRPr="0051052A">
        <w:rPr>
          <w:rFonts w:ascii="Arial" w:hAnsi="Arial" w:cs="Arial"/>
          <w:bCs/>
          <w:sz w:val="22"/>
          <w:szCs w:val="22"/>
          <w:vertAlign w:val="superscript"/>
          <w:lang w:val="en-AU"/>
        </w:rPr>
        <w:footnoteReference w:id="2"/>
      </w:r>
      <w:r w:rsidRPr="0051052A">
        <w:rPr>
          <w:rFonts w:ascii="Arial" w:hAnsi="Arial" w:cs="Arial"/>
          <w:bCs/>
          <w:sz w:val="22"/>
          <w:szCs w:val="22"/>
          <w:lang w:val="en-AU"/>
        </w:rPr>
        <w:t xml:space="preserve"> In New Zealand, most new housing is developed by private companies and sold to individual buyers or rental property investors.</w:t>
      </w:r>
    </w:p>
    <w:p w14:paraId="70068356" w14:textId="77777777" w:rsidR="0051052A" w:rsidRPr="0051052A" w:rsidRDefault="0051052A" w:rsidP="0051052A">
      <w:pPr>
        <w:outlineLvl w:val="0"/>
        <w:rPr>
          <w:rFonts w:ascii="Arial" w:hAnsi="Arial" w:cs="Arial"/>
          <w:bCs/>
          <w:sz w:val="22"/>
          <w:szCs w:val="22"/>
          <w:lang w:val="en-AU"/>
        </w:rPr>
      </w:pPr>
    </w:p>
    <w:p w14:paraId="44E97C65" w14:textId="439A9D3D" w:rsidR="0051052A" w:rsidRPr="0051052A" w:rsidRDefault="0051052A" w:rsidP="0051052A">
      <w:pPr>
        <w:outlineLvl w:val="0"/>
        <w:rPr>
          <w:rFonts w:ascii="Arial" w:hAnsi="Arial" w:cs="Arial"/>
          <w:bCs/>
          <w:sz w:val="22"/>
          <w:szCs w:val="22"/>
          <w:lang w:val="en-AU"/>
        </w:rPr>
      </w:pPr>
      <w:r w:rsidRPr="0051052A">
        <w:rPr>
          <w:rFonts w:ascii="Arial" w:hAnsi="Arial" w:cs="Arial"/>
          <w:bCs/>
          <w:sz w:val="22"/>
          <w:szCs w:val="22"/>
          <w:lang w:val="en-AU"/>
        </w:rPr>
        <w:t xml:space="preserve">Housing developers use a mix of inputs, including land, infrastructure services (eg water, wastewater, and roads), construction materials and services, and financing. They also must interact with land use and building regulations, which are governed by national legislation (the Resource Management Act and Building Act) </w:t>
      </w:r>
      <w:r w:rsidR="007A0E3D">
        <w:rPr>
          <w:rFonts w:ascii="Arial" w:hAnsi="Arial" w:cs="Arial"/>
          <w:bCs/>
          <w:sz w:val="22"/>
          <w:szCs w:val="22"/>
          <w:lang w:val="en-AU"/>
        </w:rPr>
        <w:t>and</w:t>
      </w:r>
      <w:r w:rsidRPr="0051052A">
        <w:rPr>
          <w:rFonts w:ascii="Arial" w:hAnsi="Arial" w:cs="Arial"/>
          <w:bCs/>
          <w:sz w:val="22"/>
          <w:szCs w:val="22"/>
          <w:lang w:val="en-AU"/>
        </w:rPr>
        <w:t xml:space="preserve"> implemented by local governments.</w:t>
      </w:r>
    </w:p>
    <w:p w14:paraId="4C55F5CC" w14:textId="77777777" w:rsidR="0051052A" w:rsidRDefault="0051052A" w:rsidP="0051052A">
      <w:pPr>
        <w:outlineLvl w:val="0"/>
        <w:rPr>
          <w:rFonts w:ascii="Arial" w:hAnsi="Arial" w:cs="Arial"/>
          <w:bCs/>
          <w:sz w:val="22"/>
          <w:szCs w:val="22"/>
          <w:lang w:val="en-AU"/>
        </w:rPr>
      </w:pPr>
    </w:p>
    <w:p w14:paraId="4636FD44" w14:textId="1CE1F1EE" w:rsidR="004F6514" w:rsidRPr="0051052A" w:rsidRDefault="004F6514" w:rsidP="004F6514">
      <w:pPr>
        <w:outlineLvl w:val="0"/>
        <w:rPr>
          <w:rFonts w:ascii="Arial" w:hAnsi="Arial" w:cs="Arial"/>
          <w:bCs/>
          <w:sz w:val="22"/>
          <w:szCs w:val="22"/>
          <w:lang w:val="en-AU"/>
        </w:rPr>
      </w:pPr>
      <w:r>
        <w:rPr>
          <w:rFonts w:ascii="Arial" w:hAnsi="Arial" w:cs="Arial"/>
          <w:bCs/>
          <w:sz w:val="22"/>
          <w:szCs w:val="22"/>
          <w:lang w:val="en-AU"/>
        </w:rPr>
        <w:t>Housing development is characterised by a number of market imperfections that constrain the supply of new homes to meet demand and in doing so drive up the price of housing. The following table summarises five underlying</w:t>
      </w:r>
      <w:r w:rsidRPr="0051052A">
        <w:rPr>
          <w:rFonts w:ascii="Arial" w:hAnsi="Arial" w:cs="Arial"/>
          <w:bCs/>
          <w:sz w:val="22"/>
          <w:szCs w:val="22"/>
          <w:lang w:val="en-AU"/>
        </w:rPr>
        <w:t xml:space="preserve"> reasons why housing development markets are not perfectly </w:t>
      </w:r>
      <w:r w:rsidRPr="0051052A">
        <w:rPr>
          <w:rFonts w:ascii="Arial" w:hAnsi="Arial" w:cs="Arial"/>
          <w:bCs/>
          <w:sz w:val="22"/>
          <w:szCs w:val="22"/>
          <w:lang w:val="en-AU"/>
        </w:rPr>
        <w:lastRenderedPageBreak/>
        <w:t>competitive.</w:t>
      </w:r>
      <w:r>
        <w:rPr>
          <w:rStyle w:val="FootnoteReference"/>
          <w:rFonts w:ascii="Arial" w:hAnsi="Arial" w:cs="Arial"/>
          <w:bCs/>
          <w:sz w:val="22"/>
          <w:szCs w:val="22"/>
          <w:lang w:val="en-AU"/>
        </w:rPr>
        <w:footnoteReference w:id="3"/>
      </w:r>
      <w:r w:rsidRPr="0051052A">
        <w:rPr>
          <w:rFonts w:ascii="Arial" w:hAnsi="Arial" w:cs="Arial"/>
          <w:bCs/>
          <w:sz w:val="22"/>
          <w:szCs w:val="22"/>
          <w:lang w:val="en-AU"/>
        </w:rPr>
        <w:t xml:space="preserve"> </w:t>
      </w:r>
      <w:r>
        <w:rPr>
          <w:rFonts w:ascii="Arial" w:hAnsi="Arial" w:cs="Arial"/>
          <w:bCs/>
          <w:sz w:val="22"/>
          <w:szCs w:val="22"/>
          <w:lang w:val="en-AU"/>
        </w:rPr>
        <w:t>These exacerbate the impact of demand ‘shocks’ such as rapid migration inflows.</w:t>
      </w:r>
      <w:r w:rsidR="00245312">
        <w:rPr>
          <w:rStyle w:val="FootnoteReference"/>
          <w:rFonts w:ascii="Arial" w:hAnsi="Arial" w:cs="Arial"/>
          <w:bCs/>
          <w:sz w:val="22"/>
          <w:szCs w:val="22"/>
          <w:lang w:val="en-AU"/>
        </w:rPr>
        <w:footnoteReference w:id="4"/>
      </w:r>
    </w:p>
    <w:p w14:paraId="469EE2D6" w14:textId="77777777" w:rsidR="004F6514" w:rsidRDefault="004F6514" w:rsidP="004F6514">
      <w:pPr>
        <w:outlineLvl w:val="0"/>
        <w:rPr>
          <w:rFonts w:ascii="Arial" w:hAnsi="Arial" w:cs="Arial"/>
          <w:bCs/>
          <w:sz w:val="22"/>
          <w:szCs w:val="22"/>
          <w:lang w:val="en-AU"/>
        </w:rPr>
      </w:pPr>
    </w:p>
    <w:p w14:paraId="5870F578" w14:textId="77777777" w:rsidR="004F6514" w:rsidRDefault="004F6514" w:rsidP="000F3497">
      <w:pPr>
        <w:keepNext/>
        <w:keepLines/>
        <w:widowControl/>
        <w:outlineLvl w:val="0"/>
        <w:rPr>
          <w:rFonts w:ascii="Arial" w:hAnsi="Arial" w:cs="Arial"/>
          <w:b/>
          <w:bCs/>
          <w:sz w:val="22"/>
          <w:szCs w:val="22"/>
          <w:lang w:val="en-AU"/>
        </w:rPr>
      </w:pPr>
      <w:r w:rsidRPr="0055012F">
        <w:rPr>
          <w:rFonts w:ascii="Arial" w:hAnsi="Arial" w:cs="Arial"/>
          <w:b/>
          <w:bCs/>
          <w:sz w:val="22"/>
          <w:szCs w:val="22"/>
          <w:lang w:val="en-AU"/>
        </w:rPr>
        <w:t xml:space="preserve">Table </w:t>
      </w:r>
      <w:r w:rsidRPr="0055012F">
        <w:rPr>
          <w:rFonts w:ascii="Arial" w:hAnsi="Arial" w:cs="Arial"/>
          <w:b/>
          <w:bCs/>
          <w:sz w:val="22"/>
          <w:szCs w:val="22"/>
          <w:lang w:val="en-AU"/>
        </w:rPr>
        <w:fldChar w:fldCharType="begin"/>
      </w:r>
      <w:r w:rsidRPr="0055012F">
        <w:rPr>
          <w:rFonts w:ascii="Arial" w:hAnsi="Arial" w:cs="Arial"/>
          <w:b/>
          <w:bCs/>
          <w:sz w:val="22"/>
          <w:szCs w:val="22"/>
          <w:lang w:val="en-AU"/>
        </w:rPr>
        <w:instrText xml:space="preserve"> SEQ Table \* ARABIC </w:instrText>
      </w:r>
      <w:r w:rsidRPr="0055012F">
        <w:rPr>
          <w:rFonts w:ascii="Arial" w:hAnsi="Arial" w:cs="Arial"/>
          <w:b/>
          <w:bCs/>
          <w:sz w:val="22"/>
          <w:szCs w:val="22"/>
          <w:lang w:val="en-AU"/>
        </w:rPr>
        <w:fldChar w:fldCharType="separate"/>
      </w:r>
      <w:r>
        <w:rPr>
          <w:rFonts w:ascii="Arial" w:hAnsi="Arial" w:cs="Arial"/>
          <w:b/>
          <w:bCs/>
          <w:noProof/>
          <w:sz w:val="22"/>
          <w:szCs w:val="22"/>
          <w:lang w:val="en-AU"/>
        </w:rPr>
        <w:t>1</w:t>
      </w:r>
      <w:r w:rsidRPr="0055012F">
        <w:rPr>
          <w:rFonts w:ascii="Arial" w:hAnsi="Arial" w:cs="Arial"/>
          <w:b/>
          <w:bCs/>
          <w:sz w:val="22"/>
          <w:szCs w:val="22"/>
          <w:lang w:val="en-AU"/>
        </w:rPr>
        <w:fldChar w:fldCharType="end"/>
      </w:r>
      <w:r>
        <w:rPr>
          <w:rFonts w:ascii="Arial" w:hAnsi="Arial" w:cs="Arial"/>
          <w:b/>
          <w:bCs/>
          <w:sz w:val="22"/>
          <w:szCs w:val="22"/>
          <w:lang w:val="en-AU"/>
        </w:rPr>
        <w:t>: Reasons why housing development markets are imperfectly competitive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8016"/>
      </w:tblGrid>
      <w:tr w:rsidR="004F6514" w:rsidRPr="00907275" w14:paraId="2D7663EB" w14:textId="77777777" w:rsidTr="00726E62">
        <w:tc>
          <w:tcPr>
            <w:tcW w:w="933" w:type="pct"/>
            <w:shd w:val="clear" w:color="auto" w:fill="auto"/>
          </w:tcPr>
          <w:p w14:paraId="0085F29C" w14:textId="77777777" w:rsidR="004F6514" w:rsidRPr="00907275" w:rsidRDefault="004F6514" w:rsidP="00726E62">
            <w:pPr>
              <w:outlineLvl w:val="0"/>
              <w:rPr>
                <w:rFonts w:ascii="Arial" w:hAnsi="Arial" w:cs="Arial"/>
                <w:b/>
                <w:bCs/>
                <w:sz w:val="22"/>
                <w:szCs w:val="22"/>
                <w:lang w:val="en-AU"/>
              </w:rPr>
            </w:pPr>
            <w:r w:rsidRPr="00907275">
              <w:rPr>
                <w:rFonts w:ascii="Arial" w:hAnsi="Arial" w:cs="Arial"/>
                <w:b/>
                <w:bCs/>
                <w:sz w:val="22"/>
                <w:szCs w:val="22"/>
                <w:lang w:val="en-AU"/>
              </w:rPr>
              <w:t>Cause</w:t>
            </w:r>
          </w:p>
        </w:tc>
        <w:tc>
          <w:tcPr>
            <w:tcW w:w="4067" w:type="pct"/>
            <w:shd w:val="clear" w:color="auto" w:fill="auto"/>
          </w:tcPr>
          <w:p w14:paraId="2DB9015F" w14:textId="77777777" w:rsidR="004F6514" w:rsidRPr="00907275" w:rsidRDefault="004F6514" w:rsidP="00726E62">
            <w:pPr>
              <w:outlineLvl w:val="0"/>
              <w:rPr>
                <w:rFonts w:ascii="Arial" w:hAnsi="Arial" w:cs="Arial"/>
                <w:b/>
                <w:bCs/>
                <w:sz w:val="22"/>
                <w:szCs w:val="22"/>
                <w:lang w:val="en-AU"/>
              </w:rPr>
            </w:pPr>
            <w:r w:rsidRPr="00907275">
              <w:rPr>
                <w:rFonts w:ascii="Arial" w:hAnsi="Arial" w:cs="Arial"/>
                <w:b/>
                <w:bCs/>
                <w:sz w:val="22"/>
                <w:szCs w:val="22"/>
                <w:lang w:val="en-AU"/>
              </w:rPr>
              <w:t>Explanation</w:t>
            </w:r>
          </w:p>
        </w:tc>
      </w:tr>
      <w:tr w:rsidR="004F6514" w:rsidRPr="00907275" w14:paraId="53867A49" w14:textId="77777777" w:rsidTr="00726E62">
        <w:tc>
          <w:tcPr>
            <w:tcW w:w="933" w:type="pct"/>
            <w:shd w:val="clear" w:color="auto" w:fill="auto"/>
          </w:tcPr>
          <w:p w14:paraId="31E3FB83"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Market power in land markets</w:t>
            </w:r>
          </w:p>
        </w:tc>
        <w:tc>
          <w:tcPr>
            <w:tcW w:w="4067" w:type="pct"/>
            <w:shd w:val="clear" w:color="auto" w:fill="auto"/>
          </w:tcPr>
          <w:p w14:paraId="12349736"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Land in each location is only available in a fixed quantity and different locations are imperfect substitutes for each other.</w:t>
            </w:r>
            <w:r w:rsidRPr="00907275">
              <w:rPr>
                <w:rFonts w:ascii="Arial" w:hAnsi="Arial" w:cs="Arial"/>
                <w:bCs/>
                <w:sz w:val="22"/>
                <w:szCs w:val="22"/>
                <w:vertAlign w:val="superscript"/>
                <w:lang w:val="en-AU"/>
              </w:rPr>
              <w:footnoteReference w:id="5"/>
            </w:r>
            <w:r w:rsidRPr="00907275">
              <w:rPr>
                <w:rFonts w:ascii="Arial" w:hAnsi="Arial" w:cs="Arial"/>
                <w:bCs/>
                <w:sz w:val="22"/>
                <w:szCs w:val="22"/>
                <w:lang w:val="en-AU"/>
              </w:rPr>
              <w:t xml:space="preserve"> Different sites have different underlying geology and different levels of access to amenities, employment opportunities, and so on and so forth.</w:t>
            </w:r>
          </w:p>
          <w:p w14:paraId="0699C0CF"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Landowners in any given location can exercise market power over people seeking to buy and use land. Land prices tend to be higher near localised amenities like beaches and closer to employment opportunities.</w:t>
            </w:r>
          </w:p>
        </w:tc>
      </w:tr>
      <w:tr w:rsidR="004F6514" w:rsidRPr="00907275" w14:paraId="6729506C" w14:textId="77777777" w:rsidTr="00726E62">
        <w:tc>
          <w:tcPr>
            <w:tcW w:w="933" w:type="pct"/>
            <w:shd w:val="clear" w:color="auto" w:fill="auto"/>
          </w:tcPr>
          <w:p w14:paraId="690E23BD"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Persistence in subdivision patterns</w:t>
            </w:r>
          </w:p>
        </w:tc>
        <w:tc>
          <w:tcPr>
            <w:tcW w:w="4067" w:type="pct"/>
            <w:shd w:val="clear" w:color="auto" w:fill="auto"/>
          </w:tcPr>
          <w:p w14:paraId="5E7DEA51" w14:textId="1C3E4E3B"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After land is initially subdivided for urban use, it tends to be very costly and difficult to amalgamate or re-subdivide it to serve changing demands. Subdivision is a ‘putty-clay’ problem – lot sizes and shapes are highly malleable at the outset, but rigid and hard to change at later dates.</w:t>
            </w:r>
          </w:p>
          <w:p w14:paraId="1F930B68"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Amalgamating or re-subdividing sites is difficult due to the costs associated with negotiating with multiple neighbouring landowners and the risk of hold-ups if some neighbours are unwilling to sell. As a result, it is rare in practice, even after major disasters that clear away existing buildings (Fredrickson, Fergusson and Wildish, 2016; Hornbeck and Keniston, 2017).</w:t>
            </w:r>
          </w:p>
        </w:tc>
      </w:tr>
      <w:tr w:rsidR="004F6514" w:rsidRPr="00907275" w14:paraId="20D68DE1" w14:textId="77777777" w:rsidTr="00726E62">
        <w:trPr>
          <w:trHeight w:val="520"/>
        </w:trPr>
        <w:tc>
          <w:tcPr>
            <w:tcW w:w="933" w:type="pct"/>
            <w:shd w:val="clear" w:color="auto" w:fill="auto"/>
          </w:tcPr>
          <w:p w14:paraId="36FF2F8E"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Durable housing</w:t>
            </w:r>
          </w:p>
        </w:tc>
        <w:tc>
          <w:tcPr>
            <w:tcW w:w="4067" w:type="pct"/>
            <w:shd w:val="clear" w:color="auto" w:fill="auto"/>
          </w:tcPr>
          <w:p w14:paraId="76D018C6" w14:textId="533F9440"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 xml:space="preserve">Buildings are durable. While different parts of buildings wear out at different rates, the underlying structures may have a usable life of decades or even centuries if they </w:t>
            </w:r>
            <w:r w:rsidR="00176E4C">
              <w:rPr>
                <w:rFonts w:ascii="Arial" w:hAnsi="Arial" w:cs="Arial"/>
                <w:bCs/>
                <w:sz w:val="22"/>
                <w:szCs w:val="22"/>
                <w:lang w:val="en-AU"/>
              </w:rPr>
              <w:t>are well maintained (Brand, 1995</w:t>
            </w:r>
            <w:r w:rsidRPr="00907275">
              <w:rPr>
                <w:rFonts w:ascii="Arial" w:hAnsi="Arial" w:cs="Arial"/>
                <w:bCs/>
                <w:sz w:val="22"/>
                <w:szCs w:val="22"/>
                <w:lang w:val="en-AU"/>
              </w:rPr>
              <w:t>). This can slow redevelopment of sites, as landowners may be reluctant to scrap existing assets with remaining value. However, existing buildings can also serve changing demands through renovation or redesign.</w:t>
            </w:r>
          </w:p>
          <w:p w14:paraId="28535AFE"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The durable nature of buildings affects the functioning of declining housing markets (Glaeser and Gyourko, 2018). A city with a falling population does not experience an immediate drop in its stock of housing, leading to high vacancy rates and prices that fall significantly below replacement costs.</w:t>
            </w:r>
          </w:p>
        </w:tc>
      </w:tr>
      <w:tr w:rsidR="004F6514" w:rsidRPr="00907275" w14:paraId="27199544" w14:textId="77777777" w:rsidTr="00726E62">
        <w:tc>
          <w:tcPr>
            <w:tcW w:w="933" w:type="pct"/>
            <w:shd w:val="clear" w:color="auto" w:fill="auto"/>
          </w:tcPr>
          <w:p w14:paraId="620DAEC7"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Monopoly provision of development infrastructure</w:t>
            </w:r>
          </w:p>
        </w:tc>
        <w:tc>
          <w:tcPr>
            <w:tcW w:w="4067" w:type="pct"/>
            <w:shd w:val="clear" w:color="auto" w:fill="auto"/>
          </w:tcPr>
          <w:p w14:paraId="41F6F16B"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Housing development must be served by infrastructure, including water, wastewater, road access, and electricity and power. While developers provide on-site infrastructure, they depend on network infrastructure providers for connections. Monopolistic behaviour or inefficient pricing of infrastructure services can therefore constrain housing development or push up its cost.</w:t>
            </w:r>
          </w:p>
          <w:p w14:paraId="399869A4"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Effective competition regulation can prevent monopoly infrastructure providers from charging prices significantly higher than the cost of providing services or restricting access to networks.</w:t>
            </w:r>
          </w:p>
        </w:tc>
      </w:tr>
      <w:tr w:rsidR="004F6514" w:rsidRPr="00907275" w14:paraId="46770482" w14:textId="77777777" w:rsidTr="00726E62">
        <w:tc>
          <w:tcPr>
            <w:tcW w:w="933" w:type="pct"/>
            <w:shd w:val="clear" w:color="auto" w:fill="auto"/>
          </w:tcPr>
          <w:p w14:paraId="1B801FA2"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Land use regulations</w:t>
            </w:r>
          </w:p>
        </w:tc>
        <w:tc>
          <w:tcPr>
            <w:tcW w:w="4067" w:type="pct"/>
            <w:shd w:val="clear" w:color="auto" w:fill="auto"/>
          </w:tcPr>
          <w:p w14:paraId="1D4A39BC"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Housing development is regulated by local and central government through building codes (which set standards for new construction), zoning codes / district plans (which define what land can be used for and how intensely it can be developed), and environmental regulations (such as restrictions on wastewater outflows into sensitive marine areas).</w:t>
            </w:r>
            <w:r w:rsidRPr="00907275">
              <w:rPr>
                <w:rFonts w:ascii="Arial" w:hAnsi="Arial" w:cs="Arial"/>
                <w:bCs/>
                <w:sz w:val="22"/>
                <w:szCs w:val="22"/>
                <w:lang w:val="en-AU"/>
              </w:rPr>
              <w:tab/>
            </w:r>
          </w:p>
          <w:p w14:paraId="43959765" w14:textId="77777777" w:rsidR="004F6514" w:rsidRPr="00907275" w:rsidRDefault="004F6514" w:rsidP="00726E62">
            <w:pPr>
              <w:outlineLvl w:val="0"/>
              <w:rPr>
                <w:rFonts w:ascii="Arial" w:hAnsi="Arial" w:cs="Arial"/>
                <w:bCs/>
                <w:sz w:val="22"/>
                <w:szCs w:val="22"/>
                <w:lang w:val="en-AU"/>
              </w:rPr>
            </w:pPr>
            <w:r w:rsidRPr="00907275">
              <w:rPr>
                <w:rFonts w:ascii="Arial" w:hAnsi="Arial" w:cs="Arial"/>
                <w:bCs/>
                <w:sz w:val="22"/>
                <w:szCs w:val="22"/>
                <w:lang w:val="en-AU"/>
              </w:rPr>
              <w:t>In New Zealand, district plans commonly limit how intensively sites can be developed or redeveloped, via building height limits, minimum lot sizes, and requirements to provide land-intensive features like carparking. They also limit the extent of new subdivision, often to manage the costs that councils bear to provide new development infrastructure.</w:t>
            </w:r>
          </w:p>
          <w:p w14:paraId="5CDDDD13" w14:textId="21D70962" w:rsidR="004F6514" w:rsidRPr="00907275" w:rsidRDefault="004F6514" w:rsidP="003B50F1">
            <w:pPr>
              <w:outlineLvl w:val="0"/>
              <w:rPr>
                <w:rFonts w:ascii="Arial" w:hAnsi="Arial" w:cs="Arial"/>
                <w:bCs/>
                <w:sz w:val="22"/>
                <w:szCs w:val="22"/>
                <w:lang w:val="en-AU"/>
              </w:rPr>
            </w:pPr>
            <w:r w:rsidRPr="00907275">
              <w:rPr>
                <w:rFonts w:ascii="Arial" w:hAnsi="Arial" w:cs="Arial"/>
                <w:bCs/>
                <w:sz w:val="22"/>
                <w:szCs w:val="22"/>
                <w:lang w:val="en-AU"/>
              </w:rPr>
              <w:t xml:space="preserve">There is evidence that </w:t>
            </w:r>
            <w:r w:rsidR="003B50F1">
              <w:rPr>
                <w:rFonts w:ascii="Arial" w:hAnsi="Arial" w:cs="Arial"/>
                <w:bCs/>
                <w:sz w:val="22"/>
                <w:szCs w:val="22"/>
                <w:lang w:val="en-AU"/>
              </w:rPr>
              <w:t>the</w:t>
            </w:r>
            <w:r w:rsidRPr="00907275">
              <w:rPr>
                <w:rFonts w:ascii="Arial" w:hAnsi="Arial" w:cs="Arial"/>
                <w:bCs/>
                <w:sz w:val="22"/>
                <w:szCs w:val="22"/>
                <w:lang w:val="en-AU"/>
              </w:rPr>
              <w:t xml:space="preserve"> costs </w:t>
            </w:r>
            <w:r w:rsidR="003B50F1">
              <w:rPr>
                <w:rFonts w:ascii="Arial" w:hAnsi="Arial" w:cs="Arial"/>
                <w:bCs/>
                <w:sz w:val="22"/>
                <w:szCs w:val="22"/>
                <w:lang w:val="en-AU"/>
              </w:rPr>
              <w:t xml:space="preserve">of some rules </w:t>
            </w:r>
            <w:r w:rsidRPr="00907275">
              <w:rPr>
                <w:rFonts w:ascii="Arial" w:hAnsi="Arial" w:cs="Arial"/>
                <w:bCs/>
                <w:sz w:val="22"/>
                <w:szCs w:val="22"/>
                <w:lang w:val="en-AU"/>
              </w:rPr>
              <w:t>outweigh the benefits they provide</w:t>
            </w:r>
            <w:r w:rsidR="003B50F1">
              <w:rPr>
                <w:rFonts w:ascii="Arial" w:hAnsi="Arial" w:cs="Arial"/>
                <w:bCs/>
                <w:sz w:val="22"/>
                <w:szCs w:val="22"/>
                <w:lang w:val="en-AU"/>
              </w:rPr>
              <w:t xml:space="preserve"> (Nunns and Denne, 2016)</w:t>
            </w:r>
            <w:r w:rsidRPr="00907275">
              <w:rPr>
                <w:rFonts w:ascii="Arial" w:hAnsi="Arial" w:cs="Arial"/>
                <w:bCs/>
                <w:sz w:val="22"/>
                <w:szCs w:val="22"/>
                <w:lang w:val="en-AU"/>
              </w:rPr>
              <w:t xml:space="preserve"> and that overly restrictive land use regulations can reduce the responsiveness of new housing development to </w:t>
            </w:r>
            <w:r w:rsidRPr="00907275">
              <w:rPr>
                <w:rFonts w:ascii="Arial" w:hAnsi="Arial" w:cs="Arial"/>
                <w:bCs/>
                <w:sz w:val="22"/>
                <w:szCs w:val="22"/>
                <w:lang w:val="en-AU"/>
              </w:rPr>
              <w:lastRenderedPageBreak/>
              <w:t>increased demand (Gyourko and Molloy, 2015).</w:t>
            </w:r>
            <w:r w:rsidRPr="00907275">
              <w:rPr>
                <w:rFonts w:ascii="Arial" w:hAnsi="Arial" w:cs="Arial"/>
                <w:bCs/>
                <w:sz w:val="22"/>
                <w:szCs w:val="22"/>
                <w:lang w:val="en-AU"/>
              </w:rPr>
              <w:tab/>
            </w:r>
          </w:p>
        </w:tc>
      </w:tr>
    </w:tbl>
    <w:p w14:paraId="2903D5E1" w14:textId="77777777" w:rsidR="004F6514" w:rsidRDefault="004F6514" w:rsidP="004F6514">
      <w:pPr>
        <w:outlineLvl w:val="0"/>
        <w:rPr>
          <w:rFonts w:ascii="Arial" w:hAnsi="Arial" w:cs="Arial"/>
          <w:bCs/>
          <w:sz w:val="22"/>
          <w:szCs w:val="22"/>
          <w:lang w:val="en-AU"/>
        </w:rPr>
      </w:pPr>
    </w:p>
    <w:p w14:paraId="0108B5E7" w14:textId="2D84AC22" w:rsidR="004F6514" w:rsidRPr="00CB2702" w:rsidRDefault="004F6514" w:rsidP="0051052A">
      <w:pPr>
        <w:numPr>
          <w:ilvl w:val="1"/>
          <w:numId w:val="6"/>
        </w:numPr>
        <w:outlineLvl w:val="0"/>
        <w:rPr>
          <w:rFonts w:ascii="Arial" w:hAnsi="Arial" w:cs="Arial"/>
          <w:b/>
          <w:bCs/>
          <w:i/>
          <w:iCs/>
          <w:sz w:val="22"/>
          <w:szCs w:val="22"/>
          <w:lang w:val="en-AU"/>
        </w:rPr>
      </w:pPr>
      <w:r>
        <w:rPr>
          <w:rFonts w:ascii="Arial" w:hAnsi="Arial" w:cs="Arial"/>
          <w:b/>
          <w:bCs/>
          <w:i/>
          <w:iCs/>
          <w:sz w:val="22"/>
          <w:szCs w:val="22"/>
          <w:lang w:val="en-AU"/>
        </w:rPr>
        <w:t>Empirical estimates of housing development market imperfections</w:t>
      </w:r>
    </w:p>
    <w:p w14:paraId="3A175391" w14:textId="39950C7C" w:rsidR="00474EE0" w:rsidRPr="0051052A" w:rsidRDefault="00474EE0" w:rsidP="00474EE0">
      <w:pPr>
        <w:outlineLvl w:val="0"/>
        <w:rPr>
          <w:rFonts w:ascii="Arial" w:hAnsi="Arial" w:cs="Arial"/>
          <w:bCs/>
          <w:sz w:val="22"/>
          <w:szCs w:val="22"/>
          <w:lang w:val="en-AU"/>
        </w:rPr>
      </w:pPr>
      <w:r w:rsidRPr="0051052A">
        <w:rPr>
          <w:rFonts w:ascii="Arial" w:hAnsi="Arial" w:cs="Arial"/>
          <w:bCs/>
          <w:sz w:val="22"/>
          <w:szCs w:val="22"/>
          <w:lang w:val="en-AU"/>
        </w:rPr>
        <w:t xml:space="preserve">Economists commonly use price-cost margins (PCMs) to measure </w:t>
      </w:r>
      <w:r w:rsidR="003B2370">
        <w:rPr>
          <w:rFonts w:ascii="Arial" w:hAnsi="Arial" w:cs="Arial"/>
          <w:bCs/>
          <w:sz w:val="22"/>
          <w:szCs w:val="22"/>
          <w:lang w:val="en-AU"/>
        </w:rPr>
        <w:t>the degree of imperfect competition in</w:t>
      </w:r>
      <w:r w:rsidRPr="0051052A">
        <w:rPr>
          <w:rFonts w:ascii="Arial" w:hAnsi="Arial" w:cs="Arial"/>
          <w:bCs/>
          <w:sz w:val="22"/>
          <w:szCs w:val="22"/>
          <w:lang w:val="en-AU"/>
        </w:rPr>
        <w:t xml:space="preserve"> markets (Stevens, 2011). The intuition behind this measure is that businesses should not be able to charge prices that are significantly higher than their underlying costs of production unless they benefit from market power or barriers to competitors entering the market (Cheshire and Hilber, 2008). PCMs can reflect the aggregate impact of multiple constraints and hence may not provide specific evidence on what specific features of markets limit competition.</w:t>
      </w:r>
    </w:p>
    <w:p w14:paraId="2BEDAB7B" w14:textId="77777777" w:rsidR="00474EE0" w:rsidRPr="0051052A" w:rsidRDefault="00474EE0" w:rsidP="00474EE0">
      <w:pPr>
        <w:outlineLvl w:val="0"/>
        <w:rPr>
          <w:rFonts w:ascii="Arial" w:hAnsi="Arial" w:cs="Arial"/>
          <w:bCs/>
          <w:sz w:val="22"/>
          <w:szCs w:val="22"/>
          <w:lang w:val="en-AU"/>
        </w:rPr>
      </w:pPr>
    </w:p>
    <w:p w14:paraId="57D8644D" w14:textId="16B7330A" w:rsidR="00474EE0" w:rsidRPr="0051052A" w:rsidRDefault="00474EE0" w:rsidP="00474EE0">
      <w:pPr>
        <w:outlineLvl w:val="0"/>
        <w:rPr>
          <w:rFonts w:ascii="Arial" w:hAnsi="Arial" w:cs="Arial"/>
          <w:bCs/>
          <w:sz w:val="22"/>
          <w:szCs w:val="22"/>
          <w:lang w:val="en-AU"/>
        </w:rPr>
      </w:pPr>
      <w:r w:rsidRPr="0051052A">
        <w:rPr>
          <w:rFonts w:ascii="Arial" w:hAnsi="Arial" w:cs="Arial"/>
          <w:bCs/>
          <w:sz w:val="22"/>
          <w:szCs w:val="22"/>
          <w:lang w:val="en-AU"/>
        </w:rPr>
        <w:t>A number of recent studies have measured PCMs in housing and land markets in New Zeal</w:t>
      </w:r>
      <w:r>
        <w:rPr>
          <w:rFonts w:ascii="Arial" w:hAnsi="Arial" w:cs="Arial"/>
          <w:bCs/>
          <w:sz w:val="22"/>
          <w:szCs w:val="22"/>
          <w:lang w:val="en-AU"/>
        </w:rPr>
        <w:t>and (</w:t>
      </w:r>
      <w:r w:rsidRPr="0051052A">
        <w:rPr>
          <w:rFonts w:ascii="Arial" w:hAnsi="Arial" w:cs="Arial"/>
          <w:bCs/>
          <w:sz w:val="22"/>
          <w:szCs w:val="22"/>
          <w:lang w:val="en-AU"/>
        </w:rPr>
        <w:t>Grime</w:t>
      </w:r>
      <w:r>
        <w:rPr>
          <w:rFonts w:ascii="Arial" w:hAnsi="Arial" w:cs="Arial"/>
          <w:bCs/>
          <w:sz w:val="22"/>
          <w:szCs w:val="22"/>
          <w:lang w:val="en-AU"/>
        </w:rPr>
        <w:t xml:space="preserve">s and Liang, </w:t>
      </w:r>
      <w:r w:rsidRPr="0051052A">
        <w:rPr>
          <w:rFonts w:ascii="Arial" w:hAnsi="Arial" w:cs="Arial"/>
          <w:bCs/>
          <w:sz w:val="22"/>
          <w:szCs w:val="22"/>
          <w:lang w:val="en-AU"/>
        </w:rPr>
        <w:t>2009</w:t>
      </w:r>
      <w:r>
        <w:rPr>
          <w:rFonts w:ascii="Arial" w:hAnsi="Arial" w:cs="Arial"/>
          <w:bCs/>
          <w:sz w:val="22"/>
          <w:szCs w:val="22"/>
          <w:lang w:val="en-AU"/>
        </w:rPr>
        <w:t xml:space="preserve">; MBIE, </w:t>
      </w:r>
      <w:r w:rsidRPr="0051052A">
        <w:rPr>
          <w:rFonts w:ascii="Arial" w:hAnsi="Arial" w:cs="Arial"/>
          <w:bCs/>
          <w:sz w:val="22"/>
          <w:szCs w:val="22"/>
          <w:lang w:val="en-AU"/>
        </w:rPr>
        <w:t>2017</w:t>
      </w:r>
      <w:r>
        <w:rPr>
          <w:rFonts w:ascii="Arial" w:hAnsi="Arial" w:cs="Arial"/>
          <w:bCs/>
          <w:sz w:val="22"/>
          <w:szCs w:val="22"/>
          <w:lang w:val="en-AU"/>
        </w:rPr>
        <w:t xml:space="preserve">; </w:t>
      </w:r>
      <w:r w:rsidRPr="0051052A">
        <w:rPr>
          <w:rFonts w:ascii="Arial" w:hAnsi="Arial" w:cs="Arial"/>
          <w:bCs/>
          <w:sz w:val="22"/>
          <w:szCs w:val="22"/>
          <w:lang w:val="en-AU"/>
        </w:rPr>
        <w:t>Lees, 201</w:t>
      </w:r>
      <w:r w:rsidR="00176E4C">
        <w:rPr>
          <w:rFonts w:ascii="Arial" w:hAnsi="Arial" w:cs="Arial"/>
          <w:bCs/>
          <w:sz w:val="22"/>
          <w:szCs w:val="22"/>
          <w:lang w:val="en-AU"/>
        </w:rPr>
        <w:t>9</w:t>
      </w:r>
      <w:r>
        <w:rPr>
          <w:rFonts w:ascii="Arial" w:hAnsi="Arial" w:cs="Arial"/>
          <w:bCs/>
          <w:sz w:val="22"/>
          <w:szCs w:val="22"/>
          <w:lang w:val="en-AU"/>
        </w:rPr>
        <w:t>; Nunns, 2018</w:t>
      </w:r>
      <w:r w:rsidRPr="0051052A">
        <w:rPr>
          <w:rFonts w:ascii="Arial" w:hAnsi="Arial" w:cs="Arial"/>
          <w:bCs/>
          <w:sz w:val="22"/>
          <w:szCs w:val="22"/>
          <w:lang w:val="en-AU"/>
        </w:rPr>
        <w:t>).</w:t>
      </w:r>
      <w:r>
        <w:rPr>
          <w:rFonts w:ascii="Arial" w:hAnsi="Arial" w:cs="Arial"/>
          <w:bCs/>
          <w:sz w:val="22"/>
          <w:szCs w:val="22"/>
          <w:lang w:val="en-AU"/>
        </w:rPr>
        <w:t xml:space="preserve"> </w:t>
      </w:r>
      <w:r w:rsidRPr="0051052A">
        <w:rPr>
          <w:rFonts w:ascii="Arial" w:hAnsi="Arial" w:cs="Arial"/>
          <w:bCs/>
          <w:sz w:val="22"/>
          <w:szCs w:val="22"/>
          <w:lang w:val="en-AU"/>
        </w:rPr>
        <w:fldChar w:fldCharType="begin"/>
      </w:r>
      <w:r w:rsidRPr="0051052A">
        <w:rPr>
          <w:rFonts w:ascii="Arial" w:hAnsi="Arial" w:cs="Arial"/>
          <w:bCs/>
          <w:sz w:val="22"/>
          <w:szCs w:val="22"/>
          <w:lang w:val="en-AU"/>
        </w:rPr>
        <w:instrText xml:space="preserve"> REF _Ref528097456 \h  \* MERGEFORMAT </w:instrText>
      </w:r>
      <w:r w:rsidRPr="0051052A">
        <w:rPr>
          <w:rFonts w:ascii="Arial" w:hAnsi="Arial" w:cs="Arial"/>
          <w:bCs/>
          <w:sz w:val="22"/>
          <w:szCs w:val="22"/>
          <w:lang w:val="en-AU"/>
        </w:rPr>
      </w:r>
      <w:r w:rsidRPr="0051052A">
        <w:rPr>
          <w:rFonts w:ascii="Arial" w:hAnsi="Arial" w:cs="Arial"/>
          <w:bCs/>
          <w:sz w:val="22"/>
          <w:szCs w:val="22"/>
          <w:lang w:val="en-AU"/>
        </w:rPr>
        <w:fldChar w:fldCharType="separate"/>
      </w:r>
      <w:r w:rsidRPr="00474EE0">
        <w:rPr>
          <w:rFonts w:ascii="Arial" w:hAnsi="Arial" w:cs="Arial"/>
          <w:bCs/>
          <w:sz w:val="22"/>
          <w:szCs w:val="22"/>
          <w:lang w:val="en-AU"/>
        </w:rPr>
        <w:t>Table 1</w:t>
      </w:r>
      <w:r w:rsidRPr="0051052A">
        <w:rPr>
          <w:rFonts w:ascii="Arial" w:hAnsi="Arial" w:cs="Arial"/>
          <w:bCs/>
          <w:sz w:val="22"/>
          <w:szCs w:val="22"/>
          <w:lang w:val="en-AU"/>
        </w:rPr>
        <w:fldChar w:fldCharType="end"/>
      </w:r>
      <w:r w:rsidRPr="0051052A">
        <w:rPr>
          <w:rFonts w:ascii="Arial" w:hAnsi="Arial" w:cs="Arial"/>
          <w:bCs/>
          <w:sz w:val="22"/>
          <w:szCs w:val="22"/>
          <w:lang w:val="en-AU"/>
        </w:rPr>
        <w:t xml:space="preserve"> summarises price-cost margins for urban residential land in New Zealand cities, based on measured discontinuities in land values at rural-urban zoning boundaries (MBIE, 2017). These reflect the aggregate impact </w:t>
      </w:r>
      <w:r w:rsidR="00945182">
        <w:rPr>
          <w:rFonts w:ascii="Arial" w:hAnsi="Arial" w:cs="Arial"/>
          <w:bCs/>
          <w:sz w:val="22"/>
          <w:szCs w:val="22"/>
          <w:lang w:val="en-AU"/>
        </w:rPr>
        <w:t>of</w:t>
      </w:r>
      <w:r w:rsidRPr="0051052A">
        <w:rPr>
          <w:rFonts w:ascii="Arial" w:hAnsi="Arial" w:cs="Arial"/>
          <w:bCs/>
          <w:sz w:val="22"/>
          <w:szCs w:val="22"/>
          <w:lang w:val="en-AU"/>
        </w:rPr>
        <w:t xml:space="preserve"> </w:t>
      </w:r>
      <w:r w:rsidR="00945182">
        <w:rPr>
          <w:rFonts w:ascii="Arial" w:hAnsi="Arial" w:cs="Arial"/>
          <w:bCs/>
          <w:sz w:val="22"/>
          <w:szCs w:val="22"/>
          <w:lang w:val="en-AU"/>
        </w:rPr>
        <w:t>regulatory and non-regulatory constraints to</w:t>
      </w:r>
      <w:r w:rsidRPr="0051052A">
        <w:rPr>
          <w:rFonts w:ascii="Arial" w:hAnsi="Arial" w:cs="Arial"/>
          <w:bCs/>
          <w:sz w:val="22"/>
          <w:szCs w:val="22"/>
          <w:lang w:val="en-AU"/>
        </w:rPr>
        <w:t xml:space="preserve"> infill and redevelopment of existing sites and </w:t>
      </w:r>
      <w:r w:rsidR="00945182">
        <w:rPr>
          <w:rFonts w:ascii="Arial" w:hAnsi="Arial" w:cs="Arial"/>
          <w:bCs/>
          <w:sz w:val="22"/>
          <w:szCs w:val="22"/>
          <w:lang w:val="en-AU"/>
        </w:rPr>
        <w:t>to</w:t>
      </w:r>
      <w:r w:rsidRPr="0051052A">
        <w:rPr>
          <w:rFonts w:ascii="Arial" w:hAnsi="Arial" w:cs="Arial"/>
          <w:bCs/>
          <w:sz w:val="22"/>
          <w:szCs w:val="22"/>
          <w:lang w:val="en-AU"/>
        </w:rPr>
        <w:t xml:space="preserve"> new subdivision at the edge of cities.</w:t>
      </w:r>
    </w:p>
    <w:p w14:paraId="238CB6EA" w14:textId="77777777" w:rsidR="00474EE0" w:rsidRPr="0051052A" w:rsidRDefault="00474EE0" w:rsidP="00474EE0">
      <w:pPr>
        <w:outlineLvl w:val="0"/>
        <w:rPr>
          <w:rFonts w:ascii="Arial" w:hAnsi="Arial" w:cs="Arial"/>
          <w:bCs/>
          <w:sz w:val="22"/>
          <w:szCs w:val="22"/>
          <w:lang w:val="en-AU"/>
        </w:rPr>
      </w:pPr>
    </w:p>
    <w:p w14:paraId="6851F9C9" w14:textId="77777777" w:rsidR="00474EE0" w:rsidRPr="0051052A" w:rsidRDefault="00474EE0" w:rsidP="00474EE0">
      <w:pPr>
        <w:outlineLvl w:val="0"/>
        <w:rPr>
          <w:rFonts w:ascii="Arial" w:hAnsi="Arial" w:cs="Arial"/>
          <w:bCs/>
          <w:sz w:val="22"/>
          <w:szCs w:val="22"/>
          <w:lang w:val="en-AU"/>
        </w:rPr>
      </w:pPr>
      <w:r w:rsidRPr="0051052A">
        <w:rPr>
          <w:rFonts w:ascii="Arial" w:hAnsi="Arial" w:cs="Arial"/>
          <w:bCs/>
          <w:sz w:val="22"/>
          <w:szCs w:val="22"/>
          <w:lang w:val="en-AU"/>
        </w:rPr>
        <w:t>PCMs in residential land markets are large relative to PCMs observed in other areas of the New Zealand economy. Residential land prices at the edge of Auckland and Queenstown appear to be roughly three times as high as the underlying cost to develop new land. In other cities markups range from 30% to 140%.</w:t>
      </w:r>
      <w:r w:rsidRPr="0051052A">
        <w:rPr>
          <w:rFonts w:ascii="Arial" w:hAnsi="Arial" w:cs="Arial"/>
          <w:bCs/>
          <w:sz w:val="22"/>
          <w:szCs w:val="22"/>
          <w:vertAlign w:val="superscript"/>
          <w:lang w:val="en-AU"/>
        </w:rPr>
        <w:footnoteReference w:id="6"/>
      </w:r>
    </w:p>
    <w:p w14:paraId="2BE87880" w14:textId="77777777" w:rsidR="00474EE0" w:rsidRPr="0051052A" w:rsidRDefault="00474EE0" w:rsidP="00474EE0">
      <w:pPr>
        <w:outlineLvl w:val="0"/>
        <w:rPr>
          <w:rFonts w:ascii="Arial" w:hAnsi="Arial" w:cs="Arial"/>
          <w:bCs/>
          <w:sz w:val="22"/>
          <w:szCs w:val="22"/>
          <w:lang w:val="en-AU"/>
        </w:rPr>
      </w:pPr>
    </w:p>
    <w:p w14:paraId="1063903C" w14:textId="79F08D86" w:rsidR="00474EE0" w:rsidRPr="0051052A" w:rsidRDefault="00474EE0" w:rsidP="00474EE0">
      <w:pPr>
        <w:outlineLvl w:val="0"/>
        <w:rPr>
          <w:rFonts w:ascii="Arial" w:hAnsi="Arial" w:cs="Arial"/>
          <w:bCs/>
          <w:sz w:val="22"/>
          <w:szCs w:val="22"/>
          <w:lang w:val="en-AU"/>
        </w:rPr>
      </w:pPr>
      <w:r w:rsidRPr="0051052A">
        <w:rPr>
          <w:rFonts w:ascii="Arial" w:hAnsi="Arial" w:cs="Arial"/>
          <w:bCs/>
          <w:sz w:val="22"/>
          <w:szCs w:val="22"/>
          <w:lang w:val="en-AU"/>
        </w:rPr>
        <w:t xml:space="preserve">By comparison, Stevens (2011) uses firm-level data for 2000-2007 to estimate that PCMs in most ANZSIC industries are less than 15%. PCMs only rise above 30% in capital-intensive sectors like water transport and air transport. </w:t>
      </w:r>
      <w:r w:rsidR="00945182">
        <w:rPr>
          <w:rFonts w:ascii="Arial" w:hAnsi="Arial" w:cs="Arial"/>
          <w:bCs/>
          <w:sz w:val="22"/>
          <w:szCs w:val="22"/>
          <w:lang w:val="en-AU"/>
        </w:rPr>
        <w:t>This indicates that</w:t>
      </w:r>
      <w:r w:rsidRPr="0051052A">
        <w:rPr>
          <w:rFonts w:ascii="Arial" w:hAnsi="Arial" w:cs="Arial"/>
          <w:bCs/>
          <w:sz w:val="22"/>
          <w:szCs w:val="22"/>
          <w:lang w:val="en-AU"/>
        </w:rPr>
        <w:t xml:space="preserve"> urban housing development is much less competitive than the rest of the New Zealand economy.</w:t>
      </w:r>
    </w:p>
    <w:p w14:paraId="56A0F715" w14:textId="77777777" w:rsidR="00474EE0" w:rsidRPr="0051052A" w:rsidRDefault="00474EE0" w:rsidP="00474EE0">
      <w:pPr>
        <w:outlineLvl w:val="0"/>
        <w:rPr>
          <w:rFonts w:ascii="Arial" w:hAnsi="Arial" w:cs="Arial"/>
          <w:bCs/>
          <w:sz w:val="22"/>
          <w:szCs w:val="22"/>
          <w:lang w:val="en-AU"/>
        </w:rPr>
      </w:pPr>
    </w:p>
    <w:p w14:paraId="7833BDB0" w14:textId="0576B150" w:rsidR="00474EE0" w:rsidRPr="0051052A" w:rsidRDefault="00474EE0" w:rsidP="000F3497">
      <w:pPr>
        <w:keepNext/>
        <w:keepLines/>
        <w:widowControl/>
        <w:outlineLvl w:val="0"/>
        <w:rPr>
          <w:rFonts w:ascii="Arial" w:hAnsi="Arial" w:cs="Arial"/>
          <w:b/>
          <w:bCs/>
          <w:sz w:val="22"/>
          <w:szCs w:val="22"/>
          <w:lang w:val="en-AU"/>
        </w:rPr>
      </w:pPr>
      <w:bookmarkStart w:id="1" w:name="_Ref528097456"/>
      <w:r w:rsidRPr="0051052A">
        <w:rPr>
          <w:rFonts w:ascii="Arial" w:hAnsi="Arial" w:cs="Arial"/>
          <w:b/>
          <w:bCs/>
          <w:sz w:val="22"/>
          <w:szCs w:val="22"/>
          <w:lang w:val="en-AU"/>
        </w:rPr>
        <w:t xml:space="preserve">Table </w:t>
      </w:r>
      <w:r w:rsidRPr="0051052A">
        <w:rPr>
          <w:rFonts w:ascii="Arial" w:hAnsi="Arial" w:cs="Arial"/>
          <w:b/>
          <w:bCs/>
          <w:sz w:val="22"/>
          <w:szCs w:val="22"/>
          <w:lang w:val="en-AU"/>
        </w:rPr>
        <w:fldChar w:fldCharType="begin"/>
      </w:r>
      <w:r w:rsidRPr="0051052A">
        <w:rPr>
          <w:rFonts w:ascii="Arial" w:hAnsi="Arial" w:cs="Arial"/>
          <w:b/>
          <w:bCs/>
          <w:sz w:val="22"/>
          <w:szCs w:val="22"/>
          <w:lang w:val="en-AU"/>
        </w:rPr>
        <w:instrText xml:space="preserve"> SEQ Table \* ARABIC </w:instrText>
      </w:r>
      <w:r w:rsidRPr="0051052A">
        <w:rPr>
          <w:rFonts w:ascii="Arial" w:hAnsi="Arial" w:cs="Arial"/>
          <w:b/>
          <w:bCs/>
          <w:sz w:val="22"/>
          <w:szCs w:val="22"/>
          <w:lang w:val="en-AU"/>
        </w:rPr>
        <w:fldChar w:fldCharType="separate"/>
      </w:r>
      <w:r w:rsidR="0055012F">
        <w:rPr>
          <w:rFonts w:ascii="Arial" w:hAnsi="Arial" w:cs="Arial"/>
          <w:b/>
          <w:bCs/>
          <w:noProof/>
          <w:sz w:val="22"/>
          <w:szCs w:val="22"/>
          <w:lang w:val="en-AU"/>
        </w:rPr>
        <w:t>1</w:t>
      </w:r>
      <w:r w:rsidRPr="0051052A">
        <w:rPr>
          <w:rFonts w:ascii="Arial" w:hAnsi="Arial" w:cs="Arial"/>
          <w:bCs/>
          <w:sz w:val="22"/>
          <w:szCs w:val="22"/>
          <w:lang w:val="en-AU"/>
        </w:rPr>
        <w:fldChar w:fldCharType="end"/>
      </w:r>
      <w:bookmarkEnd w:id="1"/>
      <w:r w:rsidRPr="0051052A">
        <w:rPr>
          <w:rFonts w:ascii="Arial" w:hAnsi="Arial" w:cs="Arial"/>
          <w:b/>
          <w:bCs/>
          <w:sz w:val="22"/>
          <w:szCs w:val="22"/>
          <w:lang w:val="en-AU"/>
        </w:rPr>
        <w:t>: Land value discontinuities at selected rural-urban zoning boundaries</w:t>
      </w:r>
      <w:r w:rsidR="00371501">
        <w:rPr>
          <w:rFonts w:ascii="Arial" w:hAnsi="Arial" w:cs="Arial"/>
          <w:b/>
          <w:bCs/>
          <w:sz w:val="22"/>
          <w:szCs w:val="22"/>
          <w:lang w:val="en-AU"/>
        </w:rPr>
        <w:t xml:space="preserve">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898"/>
        <w:gridCol w:w="1898"/>
        <w:gridCol w:w="3037"/>
      </w:tblGrid>
      <w:tr w:rsidR="00474EE0" w:rsidRPr="0051052A" w14:paraId="727FAD2A" w14:textId="77777777" w:rsidTr="000F7377">
        <w:trPr>
          <w:trHeight w:val="57"/>
        </w:trPr>
        <w:tc>
          <w:tcPr>
            <w:tcW w:w="1533" w:type="pct"/>
            <w:shd w:val="clear" w:color="auto" w:fill="auto"/>
            <w:hideMark/>
          </w:tcPr>
          <w:p w14:paraId="7400F9B4" w14:textId="77777777" w:rsidR="00474EE0" w:rsidRPr="0051052A" w:rsidRDefault="00474EE0" w:rsidP="000F7377">
            <w:pPr>
              <w:outlineLvl w:val="0"/>
              <w:rPr>
                <w:rFonts w:ascii="Arial" w:hAnsi="Arial" w:cs="Arial"/>
                <w:b/>
                <w:bCs/>
                <w:sz w:val="22"/>
                <w:szCs w:val="22"/>
                <w:lang w:val="en-AU"/>
              </w:rPr>
            </w:pPr>
            <w:r w:rsidRPr="0051052A">
              <w:rPr>
                <w:rFonts w:ascii="Arial" w:hAnsi="Arial" w:cs="Arial"/>
                <w:b/>
                <w:bCs/>
                <w:sz w:val="22"/>
                <w:szCs w:val="22"/>
                <w:lang w:val="en-AU"/>
              </w:rPr>
              <w:t>Urban area</w:t>
            </w:r>
          </w:p>
        </w:tc>
        <w:tc>
          <w:tcPr>
            <w:tcW w:w="963" w:type="pct"/>
          </w:tcPr>
          <w:p w14:paraId="64785677" w14:textId="77777777" w:rsidR="00474EE0" w:rsidRPr="0051052A" w:rsidRDefault="00474EE0" w:rsidP="000F7377">
            <w:pPr>
              <w:outlineLvl w:val="0"/>
              <w:rPr>
                <w:rFonts w:ascii="Arial" w:hAnsi="Arial" w:cs="Arial"/>
                <w:b/>
                <w:bCs/>
                <w:sz w:val="22"/>
                <w:szCs w:val="22"/>
                <w:lang w:val="en-AU"/>
              </w:rPr>
            </w:pPr>
            <w:r w:rsidRPr="0051052A">
              <w:rPr>
                <w:rFonts w:ascii="Arial" w:hAnsi="Arial" w:cs="Arial"/>
                <w:b/>
                <w:bCs/>
                <w:sz w:val="22"/>
                <w:szCs w:val="22"/>
                <w:lang w:val="en-AU"/>
              </w:rPr>
              <w:t>Price-cost margin</w:t>
            </w:r>
          </w:p>
        </w:tc>
        <w:tc>
          <w:tcPr>
            <w:tcW w:w="963" w:type="pct"/>
            <w:shd w:val="clear" w:color="auto" w:fill="auto"/>
            <w:hideMark/>
          </w:tcPr>
          <w:p w14:paraId="7799F89B" w14:textId="77777777" w:rsidR="00474EE0" w:rsidRPr="0051052A" w:rsidRDefault="00474EE0" w:rsidP="000F7377">
            <w:pPr>
              <w:outlineLvl w:val="0"/>
              <w:rPr>
                <w:rFonts w:ascii="Arial" w:hAnsi="Arial" w:cs="Arial"/>
                <w:b/>
                <w:bCs/>
                <w:sz w:val="22"/>
                <w:szCs w:val="22"/>
                <w:lang w:val="en-AU"/>
              </w:rPr>
            </w:pPr>
            <w:r w:rsidRPr="0051052A">
              <w:rPr>
                <w:rFonts w:ascii="Arial" w:hAnsi="Arial" w:cs="Arial"/>
                <w:b/>
                <w:bCs/>
                <w:sz w:val="22"/>
                <w:szCs w:val="22"/>
                <w:lang w:val="en-AU"/>
              </w:rPr>
              <w:t>Difference ($/m2)</w:t>
            </w:r>
          </w:p>
        </w:tc>
        <w:tc>
          <w:tcPr>
            <w:tcW w:w="1541" w:type="pct"/>
            <w:shd w:val="clear" w:color="auto" w:fill="auto"/>
            <w:hideMark/>
          </w:tcPr>
          <w:p w14:paraId="68E3494B" w14:textId="77777777" w:rsidR="00474EE0" w:rsidRPr="0051052A" w:rsidRDefault="00474EE0" w:rsidP="000F7377">
            <w:pPr>
              <w:outlineLvl w:val="0"/>
              <w:rPr>
                <w:rFonts w:ascii="Arial" w:hAnsi="Arial" w:cs="Arial"/>
                <w:b/>
                <w:bCs/>
                <w:sz w:val="22"/>
                <w:szCs w:val="22"/>
                <w:lang w:val="en-AU"/>
              </w:rPr>
            </w:pPr>
            <w:r w:rsidRPr="0051052A">
              <w:rPr>
                <w:rFonts w:ascii="Arial" w:hAnsi="Arial" w:cs="Arial"/>
                <w:b/>
                <w:bCs/>
                <w:sz w:val="22"/>
                <w:szCs w:val="22"/>
                <w:lang w:val="en-AU"/>
              </w:rPr>
              <w:t>Difference ($/600m2 section)</w:t>
            </w:r>
          </w:p>
        </w:tc>
      </w:tr>
      <w:tr w:rsidR="00474EE0" w:rsidRPr="0051052A" w14:paraId="42BFD472" w14:textId="77777777" w:rsidTr="000F7377">
        <w:trPr>
          <w:trHeight w:val="57"/>
        </w:trPr>
        <w:tc>
          <w:tcPr>
            <w:tcW w:w="1533" w:type="pct"/>
            <w:shd w:val="clear" w:color="auto" w:fill="auto"/>
            <w:hideMark/>
          </w:tcPr>
          <w:p w14:paraId="27232C2E"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Auckland</w:t>
            </w:r>
          </w:p>
        </w:tc>
        <w:tc>
          <w:tcPr>
            <w:tcW w:w="963" w:type="pct"/>
          </w:tcPr>
          <w:p w14:paraId="0B62A75F"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215%</w:t>
            </w:r>
          </w:p>
        </w:tc>
        <w:tc>
          <w:tcPr>
            <w:tcW w:w="963" w:type="pct"/>
            <w:shd w:val="clear" w:color="auto" w:fill="auto"/>
            <w:hideMark/>
          </w:tcPr>
          <w:p w14:paraId="62BBA600"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$345</w:t>
            </w:r>
          </w:p>
        </w:tc>
        <w:tc>
          <w:tcPr>
            <w:tcW w:w="1541" w:type="pct"/>
            <w:shd w:val="clear" w:color="auto" w:fill="auto"/>
            <w:hideMark/>
          </w:tcPr>
          <w:p w14:paraId="53DC3A92"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$206,700</w:t>
            </w:r>
          </w:p>
        </w:tc>
      </w:tr>
      <w:tr w:rsidR="00474EE0" w:rsidRPr="0051052A" w14:paraId="75A842DA" w14:textId="77777777" w:rsidTr="000F7377">
        <w:trPr>
          <w:trHeight w:val="57"/>
        </w:trPr>
        <w:tc>
          <w:tcPr>
            <w:tcW w:w="1533" w:type="pct"/>
            <w:shd w:val="clear" w:color="auto" w:fill="auto"/>
            <w:hideMark/>
          </w:tcPr>
          <w:p w14:paraId="5445F859"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Christchurch</w:t>
            </w:r>
          </w:p>
        </w:tc>
        <w:tc>
          <w:tcPr>
            <w:tcW w:w="963" w:type="pct"/>
          </w:tcPr>
          <w:p w14:paraId="1B554D7E"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123%</w:t>
            </w:r>
          </w:p>
        </w:tc>
        <w:tc>
          <w:tcPr>
            <w:tcW w:w="963" w:type="pct"/>
            <w:shd w:val="clear" w:color="auto" w:fill="auto"/>
            <w:hideMark/>
          </w:tcPr>
          <w:p w14:paraId="328AA87A"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$150</w:t>
            </w:r>
          </w:p>
        </w:tc>
        <w:tc>
          <w:tcPr>
            <w:tcW w:w="1541" w:type="pct"/>
            <w:shd w:val="clear" w:color="auto" w:fill="auto"/>
            <w:hideMark/>
          </w:tcPr>
          <w:p w14:paraId="0C6E11A9"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$90,100</w:t>
            </w:r>
          </w:p>
        </w:tc>
      </w:tr>
      <w:tr w:rsidR="00474EE0" w:rsidRPr="0051052A" w14:paraId="473AA426" w14:textId="77777777" w:rsidTr="000F7377">
        <w:trPr>
          <w:trHeight w:val="57"/>
        </w:trPr>
        <w:tc>
          <w:tcPr>
            <w:tcW w:w="1533" w:type="pct"/>
            <w:shd w:val="clear" w:color="auto" w:fill="auto"/>
            <w:hideMark/>
          </w:tcPr>
          <w:p w14:paraId="5319A9D1"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Dunedin</w:t>
            </w:r>
          </w:p>
        </w:tc>
        <w:tc>
          <w:tcPr>
            <w:tcW w:w="963" w:type="pct"/>
          </w:tcPr>
          <w:p w14:paraId="1A94A440"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29%</w:t>
            </w:r>
          </w:p>
        </w:tc>
        <w:tc>
          <w:tcPr>
            <w:tcW w:w="963" w:type="pct"/>
            <w:shd w:val="clear" w:color="auto" w:fill="auto"/>
            <w:hideMark/>
          </w:tcPr>
          <w:p w14:paraId="536DDF40"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$38</w:t>
            </w:r>
          </w:p>
        </w:tc>
        <w:tc>
          <w:tcPr>
            <w:tcW w:w="1541" w:type="pct"/>
            <w:shd w:val="clear" w:color="auto" w:fill="auto"/>
            <w:hideMark/>
          </w:tcPr>
          <w:p w14:paraId="391A7656"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$22,500</w:t>
            </w:r>
          </w:p>
        </w:tc>
      </w:tr>
      <w:tr w:rsidR="00474EE0" w:rsidRPr="0051052A" w14:paraId="4E1C9320" w14:textId="77777777" w:rsidTr="000F7377">
        <w:trPr>
          <w:trHeight w:val="57"/>
        </w:trPr>
        <w:tc>
          <w:tcPr>
            <w:tcW w:w="1533" w:type="pct"/>
            <w:shd w:val="clear" w:color="auto" w:fill="auto"/>
            <w:hideMark/>
          </w:tcPr>
          <w:p w14:paraId="2FB816A7"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Hamilton</w:t>
            </w:r>
          </w:p>
        </w:tc>
        <w:tc>
          <w:tcPr>
            <w:tcW w:w="963" w:type="pct"/>
          </w:tcPr>
          <w:p w14:paraId="4449DE22"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142%</w:t>
            </w:r>
          </w:p>
        </w:tc>
        <w:tc>
          <w:tcPr>
            <w:tcW w:w="963" w:type="pct"/>
            <w:shd w:val="clear" w:color="auto" w:fill="auto"/>
            <w:hideMark/>
          </w:tcPr>
          <w:p w14:paraId="60DB938B"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$227</w:t>
            </w:r>
          </w:p>
        </w:tc>
        <w:tc>
          <w:tcPr>
            <w:tcW w:w="1541" w:type="pct"/>
            <w:shd w:val="clear" w:color="auto" w:fill="auto"/>
            <w:hideMark/>
          </w:tcPr>
          <w:p w14:paraId="62B8297D"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$136,200</w:t>
            </w:r>
          </w:p>
        </w:tc>
      </w:tr>
      <w:tr w:rsidR="00474EE0" w:rsidRPr="0051052A" w14:paraId="539EE731" w14:textId="77777777" w:rsidTr="000F7377">
        <w:trPr>
          <w:trHeight w:val="57"/>
        </w:trPr>
        <w:tc>
          <w:tcPr>
            <w:tcW w:w="1533" w:type="pct"/>
            <w:shd w:val="clear" w:color="auto" w:fill="auto"/>
            <w:hideMark/>
          </w:tcPr>
          <w:p w14:paraId="39450FFD"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New Plymouth</w:t>
            </w:r>
          </w:p>
        </w:tc>
        <w:tc>
          <w:tcPr>
            <w:tcW w:w="963" w:type="pct"/>
          </w:tcPr>
          <w:p w14:paraId="29831CD3"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61%</w:t>
            </w:r>
          </w:p>
        </w:tc>
        <w:tc>
          <w:tcPr>
            <w:tcW w:w="963" w:type="pct"/>
            <w:shd w:val="clear" w:color="auto" w:fill="auto"/>
            <w:hideMark/>
          </w:tcPr>
          <w:p w14:paraId="25F5A22C"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$92</w:t>
            </w:r>
          </w:p>
        </w:tc>
        <w:tc>
          <w:tcPr>
            <w:tcW w:w="1541" w:type="pct"/>
            <w:shd w:val="clear" w:color="auto" w:fill="auto"/>
            <w:hideMark/>
          </w:tcPr>
          <w:p w14:paraId="5B5B2B74"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$55,100</w:t>
            </w:r>
          </w:p>
        </w:tc>
      </w:tr>
      <w:tr w:rsidR="00474EE0" w:rsidRPr="0051052A" w14:paraId="1AF39D47" w14:textId="77777777" w:rsidTr="000F7377">
        <w:trPr>
          <w:trHeight w:val="57"/>
        </w:trPr>
        <w:tc>
          <w:tcPr>
            <w:tcW w:w="1533" w:type="pct"/>
            <w:shd w:val="clear" w:color="auto" w:fill="auto"/>
            <w:hideMark/>
          </w:tcPr>
          <w:p w14:paraId="12182BC7"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Palmerston North</w:t>
            </w:r>
          </w:p>
        </w:tc>
        <w:tc>
          <w:tcPr>
            <w:tcW w:w="963" w:type="pct"/>
          </w:tcPr>
          <w:p w14:paraId="44543720"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57%</w:t>
            </w:r>
          </w:p>
        </w:tc>
        <w:tc>
          <w:tcPr>
            <w:tcW w:w="963" w:type="pct"/>
            <w:shd w:val="clear" w:color="auto" w:fill="auto"/>
            <w:hideMark/>
          </w:tcPr>
          <w:p w14:paraId="6DD3AB8D"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$73</w:t>
            </w:r>
          </w:p>
        </w:tc>
        <w:tc>
          <w:tcPr>
            <w:tcW w:w="1541" w:type="pct"/>
            <w:shd w:val="clear" w:color="auto" w:fill="auto"/>
            <w:hideMark/>
          </w:tcPr>
          <w:p w14:paraId="6C6933C2"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$43,900</w:t>
            </w:r>
          </w:p>
        </w:tc>
      </w:tr>
      <w:tr w:rsidR="00474EE0" w:rsidRPr="0051052A" w14:paraId="71CE65F7" w14:textId="77777777" w:rsidTr="000F7377">
        <w:trPr>
          <w:trHeight w:val="57"/>
        </w:trPr>
        <w:tc>
          <w:tcPr>
            <w:tcW w:w="1533" w:type="pct"/>
            <w:shd w:val="clear" w:color="auto" w:fill="auto"/>
            <w:hideMark/>
          </w:tcPr>
          <w:p w14:paraId="0EE573C1"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Queenstown</w:t>
            </w:r>
          </w:p>
        </w:tc>
        <w:tc>
          <w:tcPr>
            <w:tcW w:w="963" w:type="pct"/>
          </w:tcPr>
          <w:p w14:paraId="1396671E"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212%</w:t>
            </w:r>
          </w:p>
        </w:tc>
        <w:tc>
          <w:tcPr>
            <w:tcW w:w="963" w:type="pct"/>
            <w:shd w:val="clear" w:color="auto" w:fill="auto"/>
            <w:hideMark/>
          </w:tcPr>
          <w:p w14:paraId="0BFE9FA0"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$337</w:t>
            </w:r>
          </w:p>
        </w:tc>
        <w:tc>
          <w:tcPr>
            <w:tcW w:w="1541" w:type="pct"/>
            <w:shd w:val="clear" w:color="auto" w:fill="auto"/>
            <w:hideMark/>
          </w:tcPr>
          <w:p w14:paraId="423E79AB"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$202,500</w:t>
            </w:r>
          </w:p>
        </w:tc>
      </w:tr>
      <w:tr w:rsidR="00474EE0" w:rsidRPr="0051052A" w14:paraId="4AD85A1F" w14:textId="77777777" w:rsidTr="000F7377">
        <w:trPr>
          <w:trHeight w:val="57"/>
        </w:trPr>
        <w:tc>
          <w:tcPr>
            <w:tcW w:w="1533" w:type="pct"/>
            <w:shd w:val="clear" w:color="auto" w:fill="auto"/>
            <w:hideMark/>
          </w:tcPr>
          <w:p w14:paraId="162AB490"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Tauranga</w:t>
            </w:r>
          </w:p>
        </w:tc>
        <w:tc>
          <w:tcPr>
            <w:tcW w:w="963" w:type="pct"/>
          </w:tcPr>
          <w:p w14:paraId="7F5DA74A"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102%</w:t>
            </w:r>
          </w:p>
        </w:tc>
        <w:tc>
          <w:tcPr>
            <w:tcW w:w="963" w:type="pct"/>
            <w:shd w:val="clear" w:color="auto" w:fill="auto"/>
            <w:hideMark/>
          </w:tcPr>
          <w:p w14:paraId="46E7BDD0"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$232</w:t>
            </w:r>
          </w:p>
        </w:tc>
        <w:tc>
          <w:tcPr>
            <w:tcW w:w="1541" w:type="pct"/>
            <w:shd w:val="clear" w:color="auto" w:fill="auto"/>
            <w:hideMark/>
          </w:tcPr>
          <w:p w14:paraId="4369BF30"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$139,100</w:t>
            </w:r>
          </w:p>
        </w:tc>
      </w:tr>
      <w:tr w:rsidR="00474EE0" w:rsidRPr="0051052A" w14:paraId="0083E2E8" w14:textId="77777777" w:rsidTr="000F7377">
        <w:trPr>
          <w:trHeight w:val="57"/>
        </w:trPr>
        <w:tc>
          <w:tcPr>
            <w:tcW w:w="1533" w:type="pct"/>
            <w:shd w:val="clear" w:color="auto" w:fill="auto"/>
            <w:hideMark/>
          </w:tcPr>
          <w:p w14:paraId="69062E40"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Wellington</w:t>
            </w:r>
          </w:p>
        </w:tc>
        <w:tc>
          <w:tcPr>
            <w:tcW w:w="963" w:type="pct"/>
          </w:tcPr>
          <w:p w14:paraId="2D294908"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130%</w:t>
            </w:r>
          </w:p>
        </w:tc>
        <w:tc>
          <w:tcPr>
            <w:tcW w:w="963" w:type="pct"/>
            <w:shd w:val="clear" w:color="auto" w:fill="auto"/>
            <w:hideMark/>
          </w:tcPr>
          <w:p w14:paraId="23E39472"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$201</w:t>
            </w:r>
          </w:p>
        </w:tc>
        <w:tc>
          <w:tcPr>
            <w:tcW w:w="1541" w:type="pct"/>
            <w:shd w:val="clear" w:color="auto" w:fill="auto"/>
            <w:hideMark/>
          </w:tcPr>
          <w:p w14:paraId="6CC29967"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$120,400</w:t>
            </w:r>
          </w:p>
        </w:tc>
      </w:tr>
      <w:tr w:rsidR="00474EE0" w:rsidRPr="0051052A" w14:paraId="78FF84F1" w14:textId="77777777" w:rsidTr="000F7377">
        <w:trPr>
          <w:trHeight w:val="57"/>
        </w:trPr>
        <w:tc>
          <w:tcPr>
            <w:tcW w:w="1533" w:type="pct"/>
            <w:shd w:val="clear" w:color="auto" w:fill="auto"/>
            <w:hideMark/>
          </w:tcPr>
          <w:p w14:paraId="5EA493B4"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Whangarei</w:t>
            </w:r>
          </w:p>
        </w:tc>
        <w:tc>
          <w:tcPr>
            <w:tcW w:w="963" w:type="pct"/>
          </w:tcPr>
          <w:p w14:paraId="6AC34DC9"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100%</w:t>
            </w:r>
          </w:p>
        </w:tc>
        <w:tc>
          <w:tcPr>
            <w:tcW w:w="963" w:type="pct"/>
            <w:shd w:val="clear" w:color="auto" w:fill="auto"/>
            <w:hideMark/>
          </w:tcPr>
          <w:p w14:paraId="618C04D0"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$80</w:t>
            </w:r>
          </w:p>
        </w:tc>
        <w:tc>
          <w:tcPr>
            <w:tcW w:w="1541" w:type="pct"/>
            <w:shd w:val="clear" w:color="auto" w:fill="auto"/>
            <w:hideMark/>
          </w:tcPr>
          <w:p w14:paraId="53A195E0" w14:textId="77777777" w:rsidR="00474EE0" w:rsidRPr="0051052A" w:rsidRDefault="00474EE0" w:rsidP="000F7377">
            <w:pPr>
              <w:outlineLvl w:val="0"/>
              <w:rPr>
                <w:rFonts w:ascii="Arial" w:hAnsi="Arial" w:cs="Arial"/>
                <w:bCs/>
                <w:sz w:val="22"/>
                <w:szCs w:val="22"/>
                <w:lang w:val="en-AU"/>
              </w:rPr>
            </w:pPr>
            <w:r w:rsidRPr="0051052A">
              <w:rPr>
                <w:rFonts w:ascii="Arial" w:hAnsi="Arial" w:cs="Arial"/>
                <w:bCs/>
                <w:sz w:val="22"/>
                <w:szCs w:val="22"/>
                <w:lang w:val="en-AU"/>
              </w:rPr>
              <w:t>$48,100</w:t>
            </w:r>
          </w:p>
        </w:tc>
      </w:tr>
    </w:tbl>
    <w:p w14:paraId="7D9C1832" w14:textId="62FBAA16" w:rsidR="00474EE0" w:rsidRPr="0051052A" w:rsidRDefault="00474EE0" w:rsidP="00474EE0">
      <w:pPr>
        <w:outlineLvl w:val="0"/>
        <w:rPr>
          <w:rFonts w:ascii="Arial" w:hAnsi="Arial" w:cs="Arial"/>
          <w:bCs/>
          <w:sz w:val="22"/>
          <w:szCs w:val="22"/>
          <w:lang w:val="en-AU"/>
        </w:rPr>
      </w:pPr>
      <w:r w:rsidRPr="0051052A">
        <w:rPr>
          <w:rFonts w:ascii="Arial" w:hAnsi="Arial" w:cs="Arial"/>
          <w:bCs/>
          <w:i/>
          <w:sz w:val="22"/>
          <w:szCs w:val="22"/>
          <w:lang w:val="en-AU"/>
        </w:rPr>
        <w:t xml:space="preserve">Source: </w:t>
      </w:r>
      <w:hyperlink r:id="rId8" w:history="1">
        <w:r w:rsidR="00176E4C" w:rsidRPr="0061423A">
          <w:rPr>
            <w:rStyle w:val="Hyperlink"/>
            <w:rFonts w:ascii="Arial" w:hAnsi="Arial" w:cs="Arial"/>
            <w:bCs/>
            <w:i/>
            <w:sz w:val="22"/>
            <w:szCs w:val="22"/>
            <w:lang w:val="en-AU"/>
          </w:rPr>
          <w:t>http://urban-development-capacity.mbie.govt.nz/</w:t>
        </w:r>
      </w:hyperlink>
      <w:r w:rsidR="00176E4C">
        <w:rPr>
          <w:rFonts w:ascii="Arial" w:hAnsi="Arial" w:cs="Arial"/>
          <w:bCs/>
          <w:i/>
          <w:sz w:val="22"/>
          <w:szCs w:val="22"/>
          <w:lang w:val="en-AU"/>
        </w:rPr>
        <w:t xml:space="preserve">. </w:t>
      </w:r>
      <w:r w:rsidRPr="0051052A">
        <w:rPr>
          <w:rFonts w:ascii="Arial" w:hAnsi="Arial" w:cs="Arial"/>
          <w:bCs/>
          <w:i/>
          <w:sz w:val="22"/>
          <w:szCs w:val="22"/>
          <w:lang w:val="en-AU"/>
        </w:rPr>
        <w:t>Price-cost margins calculated as the ratio of land prices inside and outside boundaries, minus 1.</w:t>
      </w:r>
    </w:p>
    <w:p w14:paraId="68591FBC" w14:textId="77777777" w:rsidR="00474EE0" w:rsidRPr="0051052A" w:rsidRDefault="00474EE0" w:rsidP="00474EE0">
      <w:pPr>
        <w:outlineLvl w:val="0"/>
        <w:rPr>
          <w:rFonts w:ascii="Arial" w:hAnsi="Arial" w:cs="Arial"/>
          <w:bCs/>
          <w:sz w:val="22"/>
          <w:szCs w:val="22"/>
          <w:lang w:val="en-AU"/>
        </w:rPr>
      </w:pPr>
    </w:p>
    <w:p w14:paraId="3E236CF4" w14:textId="384EA556" w:rsidR="00474EE0" w:rsidRDefault="00945182" w:rsidP="0051052A">
      <w:pPr>
        <w:outlineLvl w:val="0"/>
        <w:rPr>
          <w:rFonts w:ascii="Arial" w:hAnsi="Arial" w:cs="Arial"/>
          <w:bCs/>
          <w:sz w:val="22"/>
          <w:szCs w:val="22"/>
          <w:lang w:val="en-AU"/>
        </w:rPr>
      </w:pPr>
      <w:r>
        <w:rPr>
          <w:rFonts w:ascii="Arial" w:hAnsi="Arial" w:cs="Arial"/>
          <w:bCs/>
          <w:sz w:val="22"/>
          <w:szCs w:val="22"/>
          <w:lang w:val="en-AU"/>
        </w:rPr>
        <w:t>PCMs</w:t>
      </w:r>
      <w:r w:rsidR="00474EE0" w:rsidRPr="0051052A">
        <w:rPr>
          <w:rFonts w:ascii="Arial" w:hAnsi="Arial" w:cs="Arial"/>
          <w:bCs/>
          <w:sz w:val="22"/>
          <w:szCs w:val="22"/>
          <w:lang w:val="en-AU"/>
        </w:rPr>
        <w:t xml:space="preserve"> in urban housing markets </w:t>
      </w:r>
      <w:r w:rsidR="005C39E3">
        <w:rPr>
          <w:rFonts w:ascii="Arial" w:hAnsi="Arial" w:cs="Arial"/>
          <w:bCs/>
          <w:sz w:val="22"/>
          <w:szCs w:val="22"/>
          <w:lang w:val="en-AU"/>
        </w:rPr>
        <w:t xml:space="preserve">can </w:t>
      </w:r>
      <w:r w:rsidR="00474EE0" w:rsidRPr="0051052A">
        <w:rPr>
          <w:rFonts w:ascii="Arial" w:hAnsi="Arial" w:cs="Arial"/>
          <w:bCs/>
          <w:sz w:val="22"/>
          <w:szCs w:val="22"/>
          <w:lang w:val="en-AU"/>
        </w:rPr>
        <w:t xml:space="preserve">reduce </w:t>
      </w:r>
      <w:r w:rsidR="005C39E3">
        <w:rPr>
          <w:rFonts w:ascii="Arial" w:hAnsi="Arial" w:cs="Arial"/>
          <w:bCs/>
          <w:sz w:val="22"/>
          <w:szCs w:val="22"/>
          <w:lang w:val="en-AU"/>
        </w:rPr>
        <w:t>overall</w:t>
      </w:r>
      <w:r w:rsidR="00474EE0" w:rsidRPr="0051052A">
        <w:rPr>
          <w:rFonts w:ascii="Arial" w:hAnsi="Arial" w:cs="Arial"/>
          <w:bCs/>
          <w:sz w:val="22"/>
          <w:szCs w:val="22"/>
          <w:lang w:val="en-AU"/>
        </w:rPr>
        <w:t xml:space="preserve"> </w:t>
      </w:r>
      <w:r>
        <w:rPr>
          <w:rFonts w:ascii="Arial" w:hAnsi="Arial" w:cs="Arial"/>
          <w:bCs/>
          <w:sz w:val="22"/>
          <w:szCs w:val="22"/>
          <w:lang w:val="en-AU"/>
        </w:rPr>
        <w:t>wellbeing</w:t>
      </w:r>
      <w:r w:rsidR="00474EE0" w:rsidRPr="0051052A">
        <w:rPr>
          <w:rFonts w:ascii="Arial" w:hAnsi="Arial" w:cs="Arial"/>
          <w:bCs/>
          <w:sz w:val="22"/>
          <w:szCs w:val="22"/>
          <w:lang w:val="en-AU"/>
        </w:rPr>
        <w:t>. Because housing prices are high, some people consume less housing than would be optimal for them or live in less desirable places. This in turn leads to various other social and economic costs, such as the health impacts of living in overcrowded or substandard housing, the economic costs of discouraging people from living in productive cities with high housing costs, and traffic congestion caused by excess urban sprawl.</w:t>
      </w:r>
    </w:p>
    <w:p w14:paraId="462ABECA" w14:textId="77777777" w:rsidR="004F6514" w:rsidRDefault="004F6514" w:rsidP="0051052A">
      <w:pPr>
        <w:outlineLvl w:val="0"/>
        <w:rPr>
          <w:rFonts w:ascii="Arial" w:hAnsi="Arial" w:cs="Arial"/>
          <w:bCs/>
          <w:sz w:val="22"/>
          <w:szCs w:val="22"/>
          <w:lang w:val="en-AU"/>
        </w:rPr>
      </w:pPr>
    </w:p>
    <w:p w14:paraId="7C0DA048" w14:textId="194368EB" w:rsidR="004F6514" w:rsidRPr="00474EE0" w:rsidRDefault="004F6514" w:rsidP="004F6514">
      <w:pPr>
        <w:numPr>
          <w:ilvl w:val="0"/>
          <w:numId w:val="6"/>
        </w:numPr>
        <w:outlineLvl w:val="0"/>
        <w:rPr>
          <w:rFonts w:ascii="Arial" w:hAnsi="Arial" w:cs="Arial"/>
          <w:b/>
          <w:bCs/>
          <w:sz w:val="28"/>
          <w:szCs w:val="28"/>
        </w:rPr>
      </w:pPr>
      <w:bookmarkStart w:id="2" w:name="_Ref32868375"/>
      <w:r>
        <w:rPr>
          <w:rFonts w:ascii="Arial" w:hAnsi="Arial" w:cs="Arial"/>
          <w:b/>
          <w:bCs/>
          <w:sz w:val="28"/>
          <w:szCs w:val="28"/>
        </w:rPr>
        <w:t>Transport and housing markets</w:t>
      </w:r>
      <w:bookmarkEnd w:id="2"/>
    </w:p>
    <w:p w14:paraId="5A6D9BD3" w14:textId="77777777" w:rsidR="001A31AE" w:rsidRDefault="001A31AE" w:rsidP="0051052A">
      <w:pPr>
        <w:outlineLvl w:val="0"/>
        <w:rPr>
          <w:rFonts w:ascii="Arial" w:hAnsi="Arial" w:cs="Arial"/>
          <w:bCs/>
          <w:sz w:val="22"/>
          <w:szCs w:val="22"/>
          <w:lang w:val="en-AU"/>
        </w:rPr>
      </w:pPr>
    </w:p>
    <w:p w14:paraId="5B42E983" w14:textId="44C08227" w:rsidR="001A31AE" w:rsidRPr="00CB2702" w:rsidRDefault="00CB2702" w:rsidP="0051052A">
      <w:pPr>
        <w:numPr>
          <w:ilvl w:val="1"/>
          <w:numId w:val="6"/>
        </w:numPr>
        <w:outlineLvl w:val="0"/>
        <w:rPr>
          <w:rFonts w:ascii="Arial" w:hAnsi="Arial" w:cs="Arial"/>
          <w:b/>
          <w:bCs/>
          <w:i/>
          <w:iCs/>
          <w:sz w:val="22"/>
          <w:szCs w:val="22"/>
          <w:lang w:val="en-AU"/>
        </w:rPr>
      </w:pPr>
      <w:r>
        <w:rPr>
          <w:rFonts w:ascii="Arial" w:hAnsi="Arial" w:cs="Arial"/>
          <w:b/>
          <w:bCs/>
          <w:i/>
          <w:iCs/>
          <w:sz w:val="22"/>
          <w:szCs w:val="22"/>
          <w:lang w:val="en-AU"/>
        </w:rPr>
        <w:t>Supply and demand dynamics</w:t>
      </w:r>
    </w:p>
    <w:p w14:paraId="008CEC82" w14:textId="7D4C8037" w:rsidR="00DC5758" w:rsidRDefault="001A31AE" w:rsidP="001A31AE">
      <w:pPr>
        <w:outlineLvl w:val="0"/>
        <w:rPr>
          <w:rFonts w:ascii="Arial" w:hAnsi="Arial" w:cs="Arial"/>
          <w:bCs/>
          <w:sz w:val="22"/>
          <w:szCs w:val="22"/>
          <w:lang w:val="en-AU"/>
        </w:rPr>
      </w:pPr>
      <w:r w:rsidRPr="0051052A">
        <w:rPr>
          <w:rFonts w:ascii="Arial" w:hAnsi="Arial" w:cs="Arial"/>
          <w:bCs/>
          <w:sz w:val="22"/>
          <w:szCs w:val="22"/>
          <w:lang w:val="en-AU"/>
        </w:rPr>
        <w:t>Transport investments can have two different effects on housing and land markets.</w:t>
      </w:r>
      <w:r>
        <w:rPr>
          <w:rFonts w:ascii="Arial" w:hAnsi="Arial" w:cs="Arial"/>
          <w:bCs/>
          <w:sz w:val="22"/>
          <w:szCs w:val="22"/>
          <w:lang w:val="en-AU"/>
        </w:rPr>
        <w:t xml:space="preserve"> They can affect </w:t>
      </w:r>
      <w:r>
        <w:rPr>
          <w:rFonts w:ascii="Arial" w:hAnsi="Arial" w:cs="Arial"/>
          <w:bCs/>
          <w:i/>
          <w:sz w:val="22"/>
          <w:szCs w:val="22"/>
          <w:lang w:val="en-AU"/>
        </w:rPr>
        <w:lastRenderedPageBreak/>
        <w:t>demand</w:t>
      </w:r>
      <w:r>
        <w:rPr>
          <w:rFonts w:ascii="Arial" w:hAnsi="Arial" w:cs="Arial"/>
          <w:bCs/>
          <w:sz w:val="22"/>
          <w:szCs w:val="22"/>
          <w:lang w:val="en-AU"/>
        </w:rPr>
        <w:t xml:space="preserve"> for housing in particular places</w:t>
      </w:r>
      <w:r w:rsidR="00DC5758">
        <w:rPr>
          <w:rFonts w:ascii="Arial" w:hAnsi="Arial" w:cs="Arial"/>
          <w:bCs/>
          <w:sz w:val="22"/>
          <w:szCs w:val="22"/>
          <w:lang w:val="en-AU"/>
        </w:rPr>
        <w:t>. This can be due to improved transport access that makes areas more attractive (Heblich, Redding, and Sturm, 2018; Garcia-</w:t>
      </w:r>
      <w:r w:rsidR="00DC5758" w:rsidRPr="00DC5758">
        <w:rPr>
          <w:rFonts w:ascii="Arial" w:hAnsi="Arial" w:cs="Arial"/>
          <w:sz w:val="22"/>
          <w:szCs w:val="22"/>
        </w:rPr>
        <w:t>López</w:t>
      </w:r>
      <w:r w:rsidR="00DC5758">
        <w:rPr>
          <w:rFonts w:ascii="Arial" w:hAnsi="Arial" w:cs="Arial"/>
          <w:sz w:val="22"/>
          <w:szCs w:val="22"/>
        </w:rPr>
        <w:t>, 2012; Baum-Snow, 2007, 2010; Duranton and Turner, 2012; Grimes, 2011)</w:t>
      </w:r>
      <w:r w:rsidR="00DC5758">
        <w:rPr>
          <w:rFonts w:ascii="Arial" w:hAnsi="Arial" w:cs="Arial"/>
          <w:bCs/>
          <w:sz w:val="22"/>
          <w:szCs w:val="22"/>
          <w:lang w:val="en-AU"/>
        </w:rPr>
        <w:t xml:space="preserve">, or noise and severance that makes them less attractive (Brinkman and Lin, 2017). In New Zealand cities, </w:t>
      </w:r>
      <w:r w:rsidR="00DC5758" w:rsidRPr="0051052A">
        <w:rPr>
          <w:rFonts w:ascii="Arial" w:hAnsi="Arial" w:cs="Arial"/>
          <w:bCs/>
          <w:sz w:val="22"/>
          <w:szCs w:val="22"/>
          <w:lang w:val="en-AU"/>
        </w:rPr>
        <w:t xml:space="preserve">better transport access by both car and public transport </w:t>
      </w:r>
      <w:r w:rsidR="00DC5758">
        <w:rPr>
          <w:rFonts w:ascii="Arial" w:hAnsi="Arial" w:cs="Arial"/>
          <w:bCs/>
          <w:sz w:val="22"/>
          <w:szCs w:val="22"/>
          <w:lang w:val="en-AU"/>
        </w:rPr>
        <w:t>increases</w:t>
      </w:r>
      <w:r w:rsidR="00DC5758" w:rsidRPr="0051052A">
        <w:rPr>
          <w:rFonts w:ascii="Arial" w:hAnsi="Arial" w:cs="Arial"/>
          <w:bCs/>
          <w:sz w:val="22"/>
          <w:szCs w:val="22"/>
          <w:lang w:val="en-AU"/>
        </w:rPr>
        <w:t xml:space="preserve"> the density of development and the volume of co</w:t>
      </w:r>
      <w:r w:rsidR="00DC5758">
        <w:rPr>
          <w:rFonts w:ascii="Arial" w:hAnsi="Arial" w:cs="Arial"/>
          <w:bCs/>
          <w:sz w:val="22"/>
          <w:szCs w:val="22"/>
          <w:lang w:val="en-AU"/>
        </w:rPr>
        <w:t>mmuting flows between locations (Nunns, 2019).</w:t>
      </w:r>
    </w:p>
    <w:p w14:paraId="4112BA94" w14:textId="77777777" w:rsidR="00DC5758" w:rsidRDefault="00DC5758" w:rsidP="001A31AE">
      <w:pPr>
        <w:outlineLvl w:val="0"/>
        <w:rPr>
          <w:rFonts w:ascii="Arial" w:hAnsi="Arial" w:cs="Arial"/>
          <w:bCs/>
          <w:sz w:val="22"/>
          <w:szCs w:val="22"/>
          <w:lang w:val="en-AU"/>
        </w:rPr>
      </w:pPr>
    </w:p>
    <w:p w14:paraId="1A6B8018" w14:textId="7539689F" w:rsidR="00DC5758" w:rsidRPr="00DC5758" w:rsidRDefault="00DC5758" w:rsidP="00DC5758">
      <w:pPr>
        <w:outlineLvl w:val="0"/>
        <w:rPr>
          <w:rFonts w:ascii="Arial" w:hAnsi="Arial" w:cs="Arial"/>
          <w:bCs/>
          <w:sz w:val="22"/>
          <w:szCs w:val="22"/>
          <w:lang w:val="en-AU"/>
        </w:rPr>
      </w:pPr>
      <w:r>
        <w:rPr>
          <w:rFonts w:ascii="Arial" w:hAnsi="Arial" w:cs="Arial"/>
          <w:bCs/>
          <w:sz w:val="22"/>
          <w:szCs w:val="22"/>
          <w:lang w:val="en-AU"/>
        </w:rPr>
        <w:t xml:space="preserve">Transport investments can also affect the conditions under which housing is </w:t>
      </w:r>
      <w:r>
        <w:rPr>
          <w:rFonts w:ascii="Arial" w:hAnsi="Arial" w:cs="Arial"/>
          <w:bCs/>
          <w:i/>
          <w:sz w:val="22"/>
          <w:szCs w:val="22"/>
          <w:lang w:val="en-AU"/>
        </w:rPr>
        <w:t>supplied</w:t>
      </w:r>
      <w:r>
        <w:rPr>
          <w:rFonts w:ascii="Arial" w:hAnsi="Arial" w:cs="Arial"/>
          <w:bCs/>
          <w:sz w:val="22"/>
          <w:szCs w:val="22"/>
          <w:lang w:val="en-AU"/>
        </w:rPr>
        <w:t xml:space="preserve"> in different places. I</w:t>
      </w:r>
      <w:r w:rsidRPr="0051052A">
        <w:rPr>
          <w:rFonts w:ascii="Arial" w:hAnsi="Arial" w:cs="Arial"/>
          <w:bCs/>
          <w:sz w:val="22"/>
          <w:szCs w:val="22"/>
          <w:lang w:val="en-AU"/>
        </w:rPr>
        <w:t>mproving access can increase the substitutability between alternative sites</w:t>
      </w:r>
      <w:r>
        <w:rPr>
          <w:rFonts w:ascii="Arial" w:hAnsi="Arial" w:cs="Arial"/>
          <w:bCs/>
          <w:sz w:val="22"/>
          <w:szCs w:val="22"/>
          <w:lang w:val="en-AU"/>
        </w:rPr>
        <w:t>, thereby</w:t>
      </w:r>
      <w:r w:rsidRPr="0051052A">
        <w:rPr>
          <w:rFonts w:ascii="Arial" w:hAnsi="Arial" w:cs="Arial"/>
          <w:bCs/>
          <w:sz w:val="22"/>
          <w:szCs w:val="22"/>
          <w:lang w:val="en-AU"/>
        </w:rPr>
        <w:t xml:space="preserve"> reducing the market power held by landowners in a particular location (Homans and Marshall, 2008). For instance, a project that increases the speed of public transport to the city centre </w:t>
      </w:r>
      <w:r>
        <w:rPr>
          <w:rFonts w:ascii="Arial" w:hAnsi="Arial" w:cs="Arial"/>
          <w:bCs/>
          <w:sz w:val="22"/>
          <w:szCs w:val="22"/>
          <w:lang w:val="en-AU"/>
        </w:rPr>
        <w:t xml:space="preserve">might make further-out locations a better substitute for inner-city areas. </w:t>
      </w:r>
      <w:r w:rsidRPr="0051052A">
        <w:rPr>
          <w:rFonts w:ascii="Arial" w:hAnsi="Arial" w:cs="Arial"/>
          <w:bCs/>
          <w:sz w:val="22"/>
          <w:szCs w:val="22"/>
          <w:lang w:val="en-AU"/>
        </w:rPr>
        <w:t xml:space="preserve">The impact of this will generally be to </w:t>
      </w:r>
      <w:r w:rsidRPr="0051052A">
        <w:rPr>
          <w:rFonts w:ascii="Arial" w:hAnsi="Arial" w:cs="Arial"/>
          <w:bCs/>
          <w:i/>
          <w:sz w:val="22"/>
          <w:szCs w:val="22"/>
          <w:lang w:val="en-AU"/>
        </w:rPr>
        <w:t>flatten</w:t>
      </w:r>
      <w:r w:rsidRPr="0051052A">
        <w:rPr>
          <w:rFonts w:ascii="Arial" w:hAnsi="Arial" w:cs="Arial"/>
          <w:bCs/>
          <w:sz w:val="22"/>
          <w:szCs w:val="22"/>
          <w:lang w:val="en-AU"/>
        </w:rPr>
        <w:t xml:space="preserve"> the land-price gradi</w:t>
      </w:r>
      <w:r>
        <w:rPr>
          <w:rFonts w:ascii="Arial" w:hAnsi="Arial" w:cs="Arial"/>
          <w:bCs/>
          <w:sz w:val="22"/>
          <w:szCs w:val="22"/>
          <w:lang w:val="en-AU"/>
        </w:rPr>
        <w:t>ent around desirable amenities.</w:t>
      </w:r>
    </w:p>
    <w:p w14:paraId="2CB104F6" w14:textId="77777777" w:rsidR="001A31AE" w:rsidRDefault="001A31AE" w:rsidP="0051052A">
      <w:pPr>
        <w:outlineLvl w:val="0"/>
        <w:rPr>
          <w:rFonts w:ascii="Arial" w:hAnsi="Arial" w:cs="Arial"/>
          <w:bCs/>
          <w:sz w:val="22"/>
          <w:szCs w:val="22"/>
          <w:lang w:val="en-AU"/>
        </w:rPr>
      </w:pPr>
    </w:p>
    <w:p w14:paraId="3A13C71F" w14:textId="1BD6D3B3" w:rsidR="001A31AE" w:rsidRPr="001A31AE" w:rsidRDefault="001A31AE" w:rsidP="001A31AE">
      <w:pPr>
        <w:outlineLvl w:val="0"/>
        <w:rPr>
          <w:rFonts w:ascii="Arial" w:hAnsi="Arial" w:cs="Arial"/>
          <w:bCs/>
          <w:sz w:val="22"/>
          <w:szCs w:val="22"/>
          <w:lang w:val="en-AU"/>
        </w:rPr>
      </w:pPr>
      <w:r>
        <w:rPr>
          <w:rFonts w:ascii="Arial" w:hAnsi="Arial" w:cs="Arial"/>
          <w:bCs/>
          <w:sz w:val="22"/>
          <w:szCs w:val="22"/>
          <w:lang w:val="en-AU"/>
        </w:rPr>
        <w:t>The</w:t>
      </w:r>
      <w:r w:rsidRPr="001A31AE">
        <w:rPr>
          <w:rFonts w:ascii="Arial" w:hAnsi="Arial" w:cs="Arial"/>
          <w:bCs/>
          <w:sz w:val="22"/>
          <w:szCs w:val="22"/>
          <w:lang w:val="en-AU"/>
        </w:rPr>
        <w:t xml:space="preserve"> following supply and demand diagrams</w:t>
      </w:r>
      <w:r>
        <w:rPr>
          <w:rFonts w:ascii="Arial" w:hAnsi="Arial" w:cs="Arial"/>
          <w:bCs/>
          <w:sz w:val="22"/>
          <w:szCs w:val="22"/>
          <w:lang w:val="en-AU"/>
        </w:rPr>
        <w:t xml:space="preserve"> </w:t>
      </w:r>
      <w:r w:rsidR="00DC5758">
        <w:rPr>
          <w:rFonts w:ascii="Arial" w:hAnsi="Arial" w:cs="Arial"/>
          <w:bCs/>
          <w:sz w:val="22"/>
          <w:szCs w:val="22"/>
          <w:lang w:val="en-AU"/>
        </w:rPr>
        <w:t>show the impact of considering one or both of these dynamics</w:t>
      </w:r>
      <w:r w:rsidRPr="001A31AE">
        <w:rPr>
          <w:rFonts w:ascii="Arial" w:hAnsi="Arial" w:cs="Arial"/>
          <w:bCs/>
          <w:sz w:val="22"/>
          <w:szCs w:val="22"/>
          <w:lang w:val="en-AU"/>
        </w:rPr>
        <w:t xml:space="preserve">. Panel A shows </w:t>
      </w:r>
      <w:r w:rsidR="00DC5758">
        <w:rPr>
          <w:rFonts w:ascii="Arial" w:hAnsi="Arial" w:cs="Arial"/>
          <w:bCs/>
          <w:sz w:val="22"/>
          <w:szCs w:val="22"/>
          <w:lang w:val="en-AU"/>
        </w:rPr>
        <w:t>the impact of</w:t>
      </w:r>
      <w:r w:rsidRPr="001A31AE">
        <w:rPr>
          <w:rFonts w:ascii="Arial" w:hAnsi="Arial" w:cs="Arial"/>
          <w:bCs/>
          <w:sz w:val="22"/>
          <w:szCs w:val="22"/>
          <w:lang w:val="en-AU"/>
        </w:rPr>
        <w:t xml:space="preserve"> transport improvements </w:t>
      </w:r>
      <w:r w:rsidR="00DC5758">
        <w:rPr>
          <w:rFonts w:ascii="Arial" w:hAnsi="Arial" w:cs="Arial"/>
          <w:bCs/>
          <w:sz w:val="22"/>
          <w:szCs w:val="22"/>
          <w:lang w:val="en-AU"/>
        </w:rPr>
        <w:t>that</w:t>
      </w:r>
      <w:r w:rsidRPr="001A31AE">
        <w:rPr>
          <w:rFonts w:ascii="Arial" w:hAnsi="Arial" w:cs="Arial"/>
          <w:bCs/>
          <w:sz w:val="22"/>
          <w:szCs w:val="22"/>
          <w:lang w:val="en-AU"/>
        </w:rPr>
        <w:t xml:space="preserve"> shift local demand for housing by making some places relatively more accessible</w:t>
      </w:r>
      <w:r w:rsidR="00DC5758">
        <w:rPr>
          <w:rFonts w:ascii="Arial" w:hAnsi="Arial" w:cs="Arial"/>
          <w:bCs/>
          <w:sz w:val="22"/>
          <w:szCs w:val="22"/>
          <w:lang w:val="en-AU"/>
        </w:rPr>
        <w:t xml:space="preserve"> and hence desirable</w:t>
      </w:r>
      <w:r w:rsidRPr="001A31AE">
        <w:rPr>
          <w:rFonts w:ascii="Arial" w:hAnsi="Arial" w:cs="Arial"/>
          <w:bCs/>
          <w:sz w:val="22"/>
          <w:szCs w:val="22"/>
          <w:lang w:val="en-AU"/>
        </w:rPr>
        <w:t>. In the context of an upwards-sloping local supply curve for housing, an increase in local housing demand translates into higher house prices as well as greater density.</w:t>
      </w:r>
      <w:r w:rsidR="00DC5758">
        <w:rPr>
          <w:rStyle w:val="FootnoteReference"/>
          <w:rFonts w:ascii="Arial" w:hAnsi="Arial" w:cs="Arial"/>
          <w:bCs/>
          <w:sz w:val="22"/>
          <w:szCs w:val="22"/>
          <w:lang w:val="en-AU"/>
        </w:rPr>
        <w:footnoteReference w:id="7"/>
      </w:r>
    </w:p>
    <w:p w14:paraId="23CAC54F" w14:textId="77777777" w:rsidR="001A31AE" w:rsidRPr="001A31AE" w:rsidRDefault="001A31AE" w:rsidP="001A31AE">
      <w:pPr>
        <w:outlineLvl w:val="0"/>
        <w:rPr>
          <w:rFonts w:ascii="Arial" w:hAnsi="Arial" w:cs="Arial"/>
          <w:bCs/>
          <w:sz w:val="22"/>
          <w:szCs w:val="22"/>
          <w:lang w:val="en-AU"/>
        </w:rPr>
      </w:pPr>
    </w:p>
    <w:p w14:paraId="24BB0B4E" w14:textId="66519441" w:rsidR="001A31AE" w:rsidRDefault="001A31AE" w:rsidP="001A31AE">
      <w:pPr>
        <w:outlineLvl w:val="0"/>
        <w:rPr>
          <w:rFonts w:ascii="Arial" w:hAnsi="Arial" w:cs="Arial"/>
          <w:bCs/>
          <w:sz w:val="22"/>
          <w:szCs w:val="22"/>
          <w:lang w:val="en-AU"/>
        </w:rPr>
      </w:pPr>
      <w:r w:rsidRPr="001A31AE">
        <w:rPr>
          <w:rFonts w:ascii="Arial" w:hAnsi="Arial" w:cs="Arial"/>
          <w:bCs/>
          <w:sz w:val="22"/>
          <w:szCs w:val="22"/>
          <w:lang w:val="en-AU"/>
        </w:rPr>
        <w:t xml:space="preserve">Panel B </w:t>
      </w:r>
      <w:r>
        <w:rPr>
          <w:rFonts w:ascii="Arial" w:hAnsi="Arial" w:cs="Arial"/>
          <w:bCs/>
          <w:sz w:val="22"/>
          <w:szCs w:val="22"/>
          <w:lang w:val="en-AU"/>
        </w:rPr>
        <w:t>illustrates a case in which</w:t>
      </w:r>
      <w:r w:rsidRPr="001A31AE">
        <w:rPr>
          <w:rFonts w:ascii="Arial" w:hAnsi="Arial" w:cs="Arial"/>
          <w:bCs/>
          <w:sz w:val="22"/>
          <w:szCs w:val="22"/>
          <w:lang w:val="en-AU"/>
        </w:rPr>
        <w:t xml:space="preserve"> transport improvements simultaneously shift local demand for housing, by making some places relatively more accessible, and shift local housing supply dynamics, by making alternative development locations more substitutable and hence increasing competition between them. In this context, an in</w:t>
      </w:r>
      <w:r w:rsidR="00DC5758">
        <w:rPr>
          <w:rFonts w:ascii="Arial" w:hAnsi="Arial" w:cs="Arial"/>
          <w:bCs/>
          <w:sz w:val="22"/>
          <w:szCs w:val="22"/>
          <w:lang w:val="en-AU"/>
        </w:rPr>
        <w:t>crease in local housing demand can be satisfied without increasing prices as much.</w:t>
      </w:r>
      <w:r w:rsidR="00DC5758">
        <w:rPr>
          <w:rStyle w:val="FootnoteReference"/>
          <w:rFonts w:ascii="Arial" w:hAnsi="Arial" w:cs="Arial"/>
          <w:bCs/>
          <w:sz w:val="22"/>
          <w:szCs w:val="22"/>
          <w:lang w:val="en-AU"/>
        </w:rPr>
        <w:footnoteReference w:id="8"/>
      </w:r>
    </w:p>
    <w:p w14:paraId="36AD686F" w14:textId="77777777" w:rsidR="001A31AE" w:rsidRPr="001A31AE" w:rsidRDefault="001A31AE" w:rsidP="001A31AE">
      <w:pPr>
        <w:outlineLvl w:val="0"/>
        <w:rPr>
          <w:rFonts w:ascii="Arial" w:hAnsi="Arial" w:cs="Arial"/>
          <w:bCs/>
          <w:sz w:val="22"/>
          <w:szCs w:val="22"/>
          <w:lang w:val="en-AU"/>
        </w:rPr>
      </w:pPr>
    </w:p>
    <w:p w14:paraId="4A9F6D23" w14:textId="55A5D75D" w:rsidR="001A31AE" w:rsidRPr="001A31AE" w:rsidRDefault="001A31AE" w:rsidP="000F3497">
      <w:pPr>
        <w:keepNext/>
        <w:keepLines/>
        <w:widowControl/>
        <w:outlineLvl w:val="0"/>
        <w:rPr>
          <w:rFonts w:ascii="Arial" w:hAnsi="Arial" w:cs="Arial"/>
          <w:b/>
          <w:bCs/>
          <w:i/>
          <w:sz w:val="22"/>
          <w:szCs w:val="22"/>
          <w:lang w:val="en-AU"/>
        </w:rPr>
      </w:pPr>
      <w:r w:rsidRPr="001A31AE">
        <w:rPr>
          <w:rFonts w:ascii="Arial" w:hAnsi="Arial" w:cs="Arial"/>
          <w:b/>
          <w:bCs/>
          <w:i/>
          <w:sz w:val="22"/>
          <w:szCs w:val="22"/>
          <w:lang w:val="en-AU"/>
        </w:rPr>
        <w:t xml:space="preserve">Figure </w:t>
      </w:r>
      <w:r w:rsidRPr="001A31AE">
        <w:rPr>
          <w:rFonts w:ascii="Arial" w:hAnsi="Arial" w:cs="Arial"/>
          <w:b/>
          <w:bCs/>
          <w:i/>
          <w:sz w:val="22"/>
          <w:szCs w:val="22"/>
          <w:lang w:val="en-AU"/>
        </w:rPr>
        <w:fldChar w:fldCharType="begin"/>
      </w:r>
      <w:r w:rsidRPr="001A31AE">
        <w:rPr>
          <w:rFonts w:ascii="Arial" w:hAnsi="Arial" w:cs="Arial"/>
          <w:b/>
          <w:bCs/>
          <w:i/>
          <w:sz w:val="22"/>
          <w:szCs w:val="22"/>
          <w:lang w:val="en-AU"/>
        </w:rPr>
        <w:instrText xml:space="preserve"> SEQ Figure \* ARABIC </w:instrText>
      </w:r>
      <w:r w:rsidRPr="001A31AE">
        <w:rPr>
          <w:rFonts w:ascii="Arial" w:hAnsi="Arial" w:cs="Arial"/>
          <w:b/>
          <w:bCs/>
          <w:i/>
          <w:sz w:val="22"/>
          <w:szCs w:val="22"/>
          <w:lang w:val="en-AU"/>
        </w:rPr>
        <w:fldChar w:fldCharType="separate"/>
      </w:r>
      <w:r>
        <w:rPr>
          <w:rFonts w:ascii="Arial" w:hAnsi="Arial" w:cs="Arial"/>
          <w:b/>
          <w:bCs/>
          <w:i/>
          <w:noProof/>
          <w:sz w:val="22"/>
          <w:szCs w:val="22"/>
          <w:lang w:val="en-AU"/>
        </w:rPr>
        <w:t>1</w:t>
      </w:r>
      <w:r w:rsidRPr="001A31AE">
        <w:rPr>
          <w:rFonts w:ascii="Arial" w:hAnsi="Arial" w:cs="Arial"/>
          <w:bCs/>
          <w:sz w:val="22"/>
          <w:szCs w:val="22"/>
          <w:lang w:val="en-AU"/>
        </w:rPr>
        <w:fldChar w:fldCharType="end"/>
      </w:r>
      <w:r w:rsidRPr="001A31AE">
        <w:rPr>
          <w:rFonts w:ascii="Arial" w:hAnsi="Arial" w:cs="Arial"/>
          <w:b/>
          <w:bCs/>
          <w:i/>
          <w:sz w:val="22"/>
          <w:szCs w:val="22"/>
          <w:lang w:val="en-AU"/>
        </w:rPr>
        <w:t xml:space="preserve">: </w:t>
      </w:r>
      <w:r w:rsidR="00CB2702">
        <w:rPr>
          <w:rFonts w:ascii="Arial" w:hAnsi="Arial" w:cs="Arial"/>
          <w:b/>
          <w:bCs/>
          <w:i/>
          <w:sz w:val="22"/>
          <w:szCs w:val="22"/>
          <w:lang w:val="en-AU"/>
        </w:rPr>
        <w:t>A simple model of local housing supply and demand dynamics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1A31AE" w:rsidRPr="00921B28" w14:paraId="19A6E004" w14:textId="77777777" w:rsidTr="00921B28">
        <w:tc>
          <w:tcPr>
            <w:tcW w:w="5097" w:type="dxa"/>
            <w:shd w:val="clear" w:color="auto" w:fill="auto"/>
          </w:tcPr>
          <w:p w14:paraId="612ABAC5" w14:textId="77777777" w:rsidR="001A31AE" w:rsidRPr="00921B28" w:rsidRDefault="001A31AE" w:rsidP="00921B28">
            <w:pPr>
              <w:outlineLvl w:val="0"/>
              <w:rPr>
                <w:rFonts w:ascii="Arial" w:hAnsi="Arial" w:cs="Arial"/>
                <w:bCs/>
                <w:i/>
                <w:sz w:val="22"/>
                <w:szCs w:val="22"/>
                <w:lang w:val="en-AU"/>
              </w:rPr>
            </w:pPr>
            <w:r w:rsidRPr="00921B28">
              <w:rPr>
                <w:rFonts w:ascii="Arial" w:hAnsi="Arial" w:cs="Arial"/>
                <w:bCs/>
                <w:i/>
                <w:sz w:val="22"/>
                <w:szCs w:val="22"/>
                <w:lang w:val="en-AU"/>
              </w:rPr>
              <w:t>Panel A: Transport improvements that only shift local demand for housing</w:t>
            </w:r>
          </w:p>
          <w:p w14:paraId="3F4BF65A" w14:textId="3D619DDE" w:rsidR="001A31AE" w:rsidRPr="00921B28" w:rsidRDefault="0058651C" w:rsidP="00921B28">
            <w:pPr>
              <w:outlineLvl w:val="0"/>
              <w:rPr>
                <w:rFonts w:ascii="Arial" w:hAnsi="Arial" w:cs="Arial"/>
                <w:bCs/>
                <w:i/>
                <w:sz w:val="22"/>
                <w:szCs w:val="22"/>
                <w:lang w:val="en-AU"/>
              </w:rPr>
            </w:pPr>
            <w:r>
              <w:rPr>
                <w:rFonts w:ascii="Arial" w:hAnsi="Arial" w:cs="Arial"/>
                <w:bCs/>
                <w:i/>
                <w:sz w:val="22"/>
                <w:szCs w:val="22"/>
                <w:lang w:val="en-AU"/>
              </w:rPr>
              <w:pict w14:anchorId="6768D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26.5pt;height:178.9pt;visibility:visible;mso-wrap-style:square">
                  <v:imagedata r:id="rId9" o:title=""/>
                </v:shape>
              </w:pict>
            </w:r>
          </w:p>
        </w:tc>
        <w:tc>
          <w:tcPr>
            <w:tcW w:w="5098" w:type="dxa"/>
            <w:shd w:val="clear" w:color="auto" w:fill="auto"/>
          </w:tcPr>
          <w:p w14:paraId="6036ABEA" w14:textId="77777777" w:rsidR="001A31AE" w:rsidRPr="00921B28" w:rsidRDefault="001A31AE" w:rsidP="00921B28">
            <w:pPr>
              <w:outlineLvl w:val="0"/>
              <w:rPr>
                <w:rFonts w:ascii="Arial" w:hAnsi="Arial" w:cs="Arial"/>
                <w:bCs/>
                <w:i/>
                <w:sz w:val="22"/>
                <w:szCs w:val="22"/>
                <w:lang w:val="en-AU"/>
              </w:rPr>
            </w:pPr>
            <w:r w:rsidRPr="00921B28">
              <w:rPr>
                <w:rFonts w:ascii="Arial" w:hAnsi="Arial" w:cs="Arial"/>
                <w:bCs/>
                <w:i/>
                <w:sz w:val="22"/>
                <w:szCs w:val="22"/>
                <w:lang w:val="en-AU"/>
              </w:rPr>
              <w:t>Panel B: Transport improvements that shift local demand for housing and shift local housing supply dynamics</w:t>
            </w:r>
          </w:p>
          <w:p w14:paraId="2C6E2C51" w14:textId="5394B8B3" w:rsidR="001A31AE" w:rsidRPr="00921B28" w:rsidRDefault="0058651C" w:rsidP="00921B28">
            <w:pPr>
              <w:outlineLvl w:val="0"/>
              <w:rPr>
                <w:rFonts w:ascii="Arial" w:hAnsi="Arial" w:cs="Arial"/>
                <w:bCs/>
                <w:i/>
                <w:sz w:val="22"/>
                <w:szCs w:val="22"/>
                <w:lang w:val="en-AU"/>
              </w:rPr>
            </w:pPr>
            <w:r>
              <w:rPr>
                <w:rFonts w:ascii="Arial" w:hAnsi="Arial" w:cs="Arial"/>
                <w:bCs/>
                <w:i/>
                <w:sz w:val="22"/>
                <w:szCs w:val="22"/>
                <w:lang w:val="en-AU"/>
              </w:rPr>
              <w:pict w14:anchorId="590C9A9F">
                <v:shape id="Picture 3" o:spid="_x0000_i1026" type="#_x0000_t75" style="width:226.5pt;height:182.75pt;visibility:visible;mso-wrap-style:square">
                  <v:imagedata r:id="rId10" o:title=""/>
                </v:shape>
              </w:pict>
            </w:r>
          </w:p>
        </w:tc>
      </w:tr>
    </w:tbl>
    <w:p w14:paraId="67BA3237" w14:textId="77777777" w:rsidR="001A31AE" w:rsidRDefault="001A31AE" w:rsidP="0051052A">
      <w:pPr>
        <w:outlineLvl w:val="0"/>
        <w:rPr>
          <w:rFonts w:ascii="Arial" w:hAnsi="Arial" w:cs="Arial"/>
          <w:bCs/>
          <w:sz w:val="22"/>
          <w:szCs w:val="22"/>
          <w:lang w:val="en-AU"/>
        </w:rPr>
      </w:pPr>
    </w:p>
    <w:p w14:paraId="51511B59" w14:textId="69514B88" w:rsidR="00CB2702" w:rsidRPr="00CB2702" w:rsidRDefault="00CB2702" w:rsidP="00CB2702">
      <w:pPr>
        <w:numPr>
          <w:ilvl w:val="1"/>
          <w:numId w:val="6"/>
        </w:numPr>
        <w:outlineLvl w:val="0"/>
        <w:rPr>
          <w:rFonts w:ascii="Arial" w:hAnsi="Arial" w:cs="Arial"/>
          <w:b/>
          <w:bCs/>
          <w:i/>
          <w:iCs/>
          <w:sz w:val="22"/>
          <w:szCs w:val="22"/>
          <w:lang w:val="en-AU"/>
        </w:rPr>
      </w:pPr>
      <w:r w:rsidRPr="00474EE0">
        <w:rPr>
          <w:rFonts w:ascii="Arial" w:hAnsi="Arial" w:cs="Arial"/>
          <w:b/>
          <w:bCs/>
          <w:i/>
          <w:iCs/>
          <w:sz w:val="22"/>
          <w:szCs w:val="22"/>
          <w:lang w:val="en-AU"/>
        </w:rPr>
        <w:t xml:space="preserve">Transport access is </w:t>
      </w:r>
      <w:r>
        <w:rPr>
          <w:rFonts w:ascii="Arial" w:hAnsi="Arial" w:cs="Arial"/>
          <w:b/>
          <w:bCs/>
          <w:i/>
          <w:iCs/>
          <w:sz w:val="22"/>
          <w:szCs w:val="22"/>
          <w:lang w:val="en-AU"/>
        </w:rPr>
        <w:t>necessary but not sufficient</w:t>
      </w:r>
    </w:p>
    <w:p w14:paraId="2F92F4D5" w14:textId="79CB8B30" w:rsidR="00CB2702" w:rsidRPr="0051052A" w:rsidRDefault="00CB2702" w:rsidP="00CB2702">
      <w:pPr>
        <w:outlineLvl w:val="0"/>
        <w:rPr>
          <w:rFonts w:ascii="Arial" w:hAnsi="Arial" w:cs="Arial"/>
          <w:bCs/>
          <w:sz w:val="22"/>
          <w:szCs w:val="22"/>
          <w:lang w:val="en-AU"/>
        </w:rPr>
      </w:pPr>
      <w:r>
        <w:rPr>
          <w:rFonts w:ascii="Arial" w:hAnsi="Arial" w:cs="Arial"/>
          <w:bCs/>
          <w:sz w:val="22"/>
          <w:szCs w:val="22"/>
          <w:lang w:val="en-AU"/>
        </w:rPr>
        <w:t>While transport</w:t>
      </w:r>
      <w:r w:rsidRPr="0051052A">
        <w:rPr>
          <w:rFonts w:ascii="Arial" w:hAnsi="Arial" w:cs="Arial"/>
          <w:bCs/>
          <w:sz w:val="22"/>
          <w:szCs w:val="22"/>
          <w:lang w:val="en-AU"/>
        </w:rPr>
        <w:t xml:space="preserve"> access is </w:t>
      </w:r>
      <w:r>
        <w:rPr>
          <w:rFonts w:ascii="Arial" w:hAnsi="Arial" w:cs="Arial"/>
          <w:bCs/>
          <w:sz w:val="22"/>
          <w:szCs w:val="22"/>
          <w:lang w:val="en-AU"/>
        </w:rPr>
        <w:t>important, o</w:t>
      </w:r>
      <w:r w:rsidRPr="0051052A">
        <w:rPr>
          <w:rFonts w:ascii="Arial" w:hAnsi="Arial" w:cs="Arial"/>
          <w:bCs/>
          <w:sz w:val="22"/>
          <w:szCs w:val="22"/>
          <w:lang w:val="en-AU"/>
        </w:rPr>
        <w:t>ther factors also influence whether hous</w:t>
      </w:r>
      <w:r>
        <w:rPr>
          <w:rFonts w:ascii="Arial" w:hAnsi="Arial" w:cs="Arial"/>
          <w:bCs/>
          <w:sz w:val="22"/>
          <w:szCs w:val="22"/>
          <w:lang w:val="en-AU"/>
        </w:rPr>
        <w:t>ing will actually be developed.</w:t>
      </w:r>
    </w:p>
    <w:p w14:paraId="33C75E81" w14:textId="77777777" w:rsidR="00CB2702" w:rsidRPr="0051052A" w:rsidRDefault="00CB2702" w:rsidP="00CB2702">
      <w:pPr>
        <w:outlineLvl w:val="0"/>
        <w:rPr>
          <w:rFonts w:ascii="Arial" w:hAnsi="Arial" w:cs="Arial"/>
          <w:bCs/>
          <w:sz w:val="22"/>
          <w:szCs w:val="22"/>
          <w:lang w:val="en-AU"/>
        </w:rPr>
      </w:pPr>
    </w:p>
    <w:p w14:paraId="02814D83" w14:textId="419476C9" w:rsidR="00CB2702" w:rsidRPr="0051052A" w:rsidRDefault="00CB2702" w:rsidP="00CB2702">
      <w:pPr>
        <w:outlineLvl w:val="0"/>
        <w:rPr>
          <w:rFonts w:ascii="Arial" w:hAnsi="Arial" w:cs="Arial"/>
          <w:bCs/>
          <w:sz w:val="22"/>
          <w:szCs w:val="22"/>
          <w:lang w:val="en-AU"/>
        </w:rPr>
      </w:pPr>
      <w:r w:rsidRPr="0051052A">
        <w:rPr>
          <w:rFonts w:ascii="Arial" w:hAnsi="Arial" w:cs="Arial"/>
          <w:bCs/>
          <w:sz w:val="22"/>
          <w:szCs w:val="22"/>
          <w:lang w:val="en-AU"/>
        </w:rPr>
        <w:lastRenderedPageBreak/>
        <w:t xml:space="preserve">First, there must be some </w:t>
      </w:r>
      <w:r>
        <w:rPr>
          <w:rFonts w:ascii="Arial" w:hAnsi="Arial" w:cs="Arial"/>
          <w:bCs/>
          <w:sz w:val="22"/>
          <w:szCs w:val="22"/>
          <w:lang w:val="en-AU"/>
        </w:rPr>
        <w:t>underlying, unmet</w:t>
      </w:r>
      <w:r w:rsidRPr="0051052A">
        <w:rPr>
          <w:rFonts w:ascii="Arial" w:hAnsi="Arial" w:cs="Arial"/>
          <w:bCs/>
          <w:sz w:val="22"/>
          <w:szCs w:val="22"/>
          <w:lang w:val="en-AU"/>
        </w:rPr>
        <w:t xml:space="preserve"> demand for new </w:t>
      </w:r>
      <w:r w:rsidR="003B50F1">
        <w:rPr>
          <w:rFonts w:ascii="Arial" w:hAnsi="Arial" w:cs="Arial"/>
          <w:bCs/>
          <w:sz w:val="22"/>
          <w:szCs w:val="22"/>
          <w:lang w:val="en-AU"/>
        </w:rPr>
        <w:t>housing, either overall or in a specific sub-market</w:t>
      </w:r>
      <w:r w:rsidRPr="0051052A">
        <w:rPr>
          <w:rFonts w:ascii="Arial" w:hAnsi="Arial" w:cs="Arial"/>
          <w:bCs/>
          <w:sz w:val="22"/>
          <w:szCs w:val="22"/>
          <w:lang w:val="en-AU"/>
        </w:rPr>
        <w:t xml:space="preserve">. Building new transport infrastructure in cities </w:t>
      </w:r>
      <w:r>
        <w:rPr>
          <w:rFonts w:ascii="Arial" w:hAnsi="Arial" w:cs="Arial"/>
          <w:bCs/>
          <w:sz w:val="22"/>
          <w:szCs w:val="22"/>
          <w:lang w:val="en-AU"/>
        </w:rPr>
        <w:t xml:space="preserve">(or neighbourhoods) </w:t>
      </w:r>
      <w:r w:rsidRPr="0051052A">
        <w:rPr>
          <w:rFonts w:ascii="Arial" w:hAnsi="Arial" w:cs="Arial"/>
          <w:bCs/>
          <w:sz w:val="22"/>
          <w:szCs w:val="22"/>
          <w:lang w:val="en-AU"/>
        </w:rPr>
        <w:t xml:space="preserve">that are declining economically or losing population is unlikely to </w:t>
      </w:r>
      <w:r>
        <w:rPr>
          <w:rFonts w:ascii="Arial" w:hAnsi="Arial" w:cs="Arial"/>
          <w:bCs/>
          <w:sz w:val="22"/>
          <w:szCs w:val="22"/>
          <w:lang w:val="en-AU"/>
        </w:rPr>
        <w:t xml:space="preserve">encourage more housing </w:t>
      </w:r>
      <w:r w:rsidRPr="0051052A">
        <w:rPr>
          <w:rFonts w:ascii="Arial" w:hAnsi="Arial" w:cs="Arial"/>
          <w:bCs/>
          <w:sz w:val="22"/>
          <w:szCs w:val="22"/>
          <w:lang w:val="en-AU"/>
        </w:rPr>
        <w:t xml:space="preserve">development, as </w:t>
      </w:r>
      <w:r>
        <w:rPr>
          <w:rFonts w:ascii="Arial" w:hAnsi="Arial" w:cs="Arial"/>
          <w:bCs/>
          <w:sz w:val="22"/>
          <w:szCs w:val="22"/>
          <w:lang w:val="en-AU"/>
        </w:rPr>
        <w:t>these</w:t>
      </w:r>
      <w:r w:rsidRPr="0051052A">
        <w:rPr>
          <w:rFonts w:ascii="Arial" w:hAnsi="Arial" w:cs="Arial"/>
          <w:bCs/>
          <w:sz w:val="22"/>
          <w:szCs w:val="22"/>
          <w:lang w:val="en-AU"/>
        </w:rPr>
        <w:t xml:space="preserve"> housing markets</w:t>
      </w:r>
      <w:r>
        <w:rPr>
          <w:rFonts w:ascii="Arial" w:hAnsi="Arial" w:cs="Arial"/>
          <w:bCs/>
          <w:sz w:val="22"/>
          <w:szCs w:val="22"/>
          <w:lang w:val="en-AU"/>
        </w:rPr>
        <w:t xml:space="preserve"> are already ‘slack’</w:t>
      </w:r>
      <w:r w:rsidRPr="0051052A">
        <w:rPr>
          <w:rFonts w:ascii="Arial" w:hAnsi="Arial" w:cs="Arial"/>
          <w:bCs/>
          <w:sz w:val="22"/>
          <w:szCs w:val="22"/>
          <w:lang w:val="en-AU"/>
        </w:rPr>
        <w:t>.</w:t>
      </w:r>
    </w:p>
    <w:p w14:paraId="35875B7B" w14:textId="77777777" w:rsidR="00CB2702" w:rsidRPr="0051052A" w:rsidRDefault="00CB2702" w:rsidP="00CB2702">
      <w:pPr>
        <w:outlineLvl w:val="0"/>
        <w:rPr>
          <w:rFonts w:ascii="Arial" w:hAnsi="Arial" w:cs="Arial"/>
          <w:bCs/>
          <w:sz w:val="22"/>
          <w:szCs w:val="22"/>
          <w:lang w:val="en-AU"/>
        </w:rPr>
      </w:pPr>
    </w:p>
    <w:p w14:paraId="24CD3CB4" w14:textId="69FFFE27" w:rsidR="00CB2702" w:rsidRPr="0051052A" w:rsidRDefault="00CB2702" w:rsidP="00CB2702">
      <w:pPr>
        <w:outlineLvl w:val="0"/>
        <w:rPr>
          <w:rFonts w:ascii="Arial" w:hAnsi="Arial" w:cs="Arial"/>
          <w:bCs/>
          <w:sz w:val="22"/>
          <w:szCs w:val="22"/>
          <w:lang w:val="en-AU"/>
        </w:rPr>
      </w:pPr>
      <w:r w:rsidRPr="0051052A">
        <w:rPr>
          <w:rFonts w:ascii="Arial" w:hAnsi="Arial" w:cs="Arial"/>
          <w:bCs/>
          <w:sz w:val="22"/>
          <w:szCs w:val="22"/>
          <w:lang w:val="en-AU"/>
        </w:rPr>
        <w:t xml:space="preserve">Second, the rate of new housing development in a newly accessible area will </w:t>
      </w:r>
      <w:r>
        <w:rPr>
          <w:rFonts w:ascii="Arial" w:hAnsi="Arial" w:cs="Arial"/>
          <w:bCs/>
          <w:sz w:val="22"/>
          <w:szCs w:val="22"/>
          <w:lang w:val="en-AU"/>
        </w:rPr>
        <w:t xml:space="preserve">also </w:t>
      </w:r>
      <w:r w:rsidRPr="0051052A">
        <w:rPr>
          <w:rFonts w:ascii="Arial" w:hAnsi="Arial" w:cs="Arial"/>
          <w:bCs/>
          <w:sz w:val="22"/>
          <w:szCs w:val="22"/>
          <w:lang w:val="en-AU"/>
        </w:rPr>
        <w:t xml:space="preserve">depend upon constraints to housing development. The market imperfections identified above – landowners’ market power, persistence in subdivision patterns, durable housing, monopoly provision of development infrastructure, and land use regulations – may </w:t>
      </w:r>
      <w:r>
        <w:rPr>
          <w:rFonts w:ascii="Arial" w:hAnsi="Arial" w:cs="Arial"/>
          <w:bCs/>
          <w:sz w:val="22"/>
          <w:szCs w:val="22"/>
          <w:lang w:val="en-AU"/>
        </w:rPr>
        <w:t>slow</w:t>
      </w:r>
      <w:r w:rsidRPr="0051052A">
        <w:rPr>
          <w:rFonts w:ascii="Arial" w:hAnsi="Arial" w:cs="Arial"/>
          <w:bCs/>
          <w:sz w:val="22"/>
          <w:szCs w:val="22"/>
          <w:lang w:val="en-AU"/>
        </w:rPr>
        <w:t xml:space="preserve"> new development.</w:t>
      </w:r>
      <w:r w:rsidRPr="0051052A">
        <w:rPr>
          <w:rFonts w:ascii="Arial" w:hAnsi="Arial" w:cs="Arial"/>
          <w:bCs/>
          <w:sz w:val="22"/>
          <w:szCs w:val="22"/>
          <w:vertAlign w:val="superscript"/>
          <w:lang w:val="en-AU"/>
        </w:rPr>
        <w:footnoteReference w:id="9"/>
      </w:r>
      <w:r>
        <w:rPr>
          <w:rFonts w:ascii="Arial" w:hAnsi="Arial" w:cs="Arial"/>
          <w:bCs/>
          <w:sz w:val="22"/>
          <w:szCs w:val="22"/>
          <w:lang w:val="en-AU"/>
        </w:rPr>
        <w:t xml:space="preserve"> If</w:t>
      </w:r>
      <w:r w:rsidRPr="0051052A">
        <w:rPr>
          <w:rFonts w:ascii="Arial" w:hAnsi="Arial" w:cs="Arial"/>
          <w:bCs/>
          <w:sz w:val="22"/>
          <w:szCs w:val="22"/>
          <w:lang w:val="en-AU"/>
        </w:rPr>
        <w:t xml:space="preserve"> these constraints are totally binding, transport improvements will have no impact on housing development as no further development </w:t>
      </w:r>
      <w:r w:rsidRPr="0051052A">
        <w:rPr>
          <w:rFonts w:ascii="Arial" w:hAnsi="Arial" w:cs="Arial"/>
          <w:bCs/>
          <w:i/>
          <w:sz w:val="22"/>
          <w:szCs w:val="22"/>
          <w:lang w:val="en-AU"/>
        </w:rPr>
        <w:t>can</w:t>
      </w:r>
      <w:r w:rsidRPr="0051052A">
        <w:rPr>
          <w:rFonts w:ascii="Arial" w:hAnsi="Arial" w:cs="Arial"/>
          <w:bCs/>
          <w:sz w:val="22"/>
          <w:szCs w:val="22"/>
          <w:lang w:val="en-AU"/>
        </w:rPr>
        <w:t xml:space="preserve"> occur. </w:t>
      </w:r>
      <w:r>
        <w:rPr>
          <w:rFonts w:ascii="Arial" w:hAnsi="Arial" w:cs="Arial"/>
          <w:bCs/>
          <w:sz w:val="22"/>
          <w:szCs w:val="22"/>
          <w:lang w:val="en-AU"/>
        </w:rPr>
        <w:t>Happily, this is not generally the case.</w:t>
      </w:r>
    </w:p>
    <w:p w14:paraId="709E86A7" w14:textId="77777777" w:rsidR="00CB2702" w:rsidRPr="0051052A" w:rsidRDefault="00CB2702" w:rsidP="00CB2702">
      <w:pPr>
        <w:outlineLvl w:val="0"/>
        <w:rPr>
          <w:rFonts w:ascii="Arial" w:hAnsi="Arial" w:cs="Arial"/>
          <w:bCs/>
          <w:sz w:val="22"/>
          <w:szCs w:val="22"/>
          <w:lang w:val="en-AU"/>
        </w:rPr>
      </w:pPr>
    </w:p>
    <w:p w14:paraId="0CA09687" w14:textId="77777777" w:rsidR="00CB2702" w:rsidRDefault="00CB2702" w:rsidP="00CB2702">
      <w:pPr>
        <w:outlineLvl w:val="0"/>
        <w:rPr>
          <w:rFonts w:ascii="Arial" w:hAnsi="Arial" w:cs="Arial"/>
          <w:bCs/>
          <w:sz w:val="22"/>
          <w:szCs w:val="22"/>
          <w:lang w:val="en-AU"/>
        </w:rPr>
      </w:pPr>
      <w:r>
        <w:rPr>
          <w:rFonts w:ascii="Arial" w:hAnsi="Arial" w:cs="Arial"/>
          <w:bCs/>
          <w:sz w:val="22"/>
          <w:szCs w:val="22"/>
          <w:lang w:val="en-AU"/>
        </w:rPr>
        <w:t>T</w:t>
      </w:r>
      <w:r w:rsidRPr="0051052A">
        <w:rPr>
          <w:rFonts w:ascii="Arial" w:hAnsi="Arial" w:cs="Arial"/>
          <w:bCs/>
          <w:sz w:val="22"/>
          <w:szCs w:val="22"/>
          <w:lang w:val="en-AU"/>
        </w:rPr>
        <w:t>ransport improvements may be coupled with land use policies that ease constraints to developing new hou</w:t>
      </w:r>
      <w:r>
        <w:rPr>
          <w:rFonts w:ascii="Arial" w:hAnsi="Arial" w:cs="Arial"/>
          <w:bCs/>
          <w:sz w:val="22"/>
          <w:szCs w:val="22"/>
          <w:lang w:val="en-AU"/>
        </w:rPr>
        <w:t xml:space="preserve">sing in newly accessible areas, such as rezoning of newly accessible areas for subdivision or higher-density redevelopment. </w:t>
      </w:r>
      <w:r w:rsidRPr="0051052A">
        <w:rPr>
          <w:rFonts w:ascii="Arial" w:hAnsi="Arial" w:cs="Arial"/>
          <w:bCs/>
          <w:sz w:val="22"/>
          <w:szCs w:val="22"/>
          <w:lang w:val="en-AU"/>
        </w:rPr>
        <w:t>The</w:t>
      </w:r>
      <w:r>
        <w:rPr>
          <w:rFonts w:ascii="Arial" w:hAnsi="Arial" w:cs="Arial"/>
          <w:bCs/>
          <w:sz w:val="22"/>
          <w:szCs w:val="22"/>
          <w:lang w:val="en-AU"/>
        </w:rPr>
        <w:t>se</w:t>
      </w:r>
      <w:r w:rsidRPr="0051052A">
        <w:rPr>
          <w:rFonts w:ascii="Arial" w:hAnsi="Arial" w:cs="Arial"/>
          <w:bCs/>
          <w:sz w:val="22"/>
          <w:szCs w:val="22"/>
          <w:lang w:val="en-AU"/>
        </w:rPr>
        <w:t xml:space="preserve"> decision</w:t>
      </w:r>
      <w:r>
        <w:rPr>
          <w:rFonts w:ascii="Arial" w:hAnsi="Arial" w:cs="Arial"/>
          <w:bCs/>
          <w:sz w:val="22"/>
          <w:szCs w:val="22"/>
          <w:lang w:val="en-AU"/>
        </w:rPr>
        <w:t>s</w:t>
      </w:r>
      <w:r w:rsidRPr="0051052A">
        <w:rPr>
          <w:rFonts w:ascii="Arial" w:hAnsi="Arial" w:cs="Arial"/>
          <w:bCs/>
          <w:sz w:val="22"/>
          <w:szCs w:val="22"/>
          <w:lang w:val="en-AU"/>
        </w:rPr>
        <w:t xml:space="preserve"> may be so closely linked that it is difficult to assess them separately. </w:t>
      </w:r>
      <w:r>
        <w:rPr>
          <w:rFonts w:ascii="Arial" w:hAnsi="Arial" w:cs="Arial"/>
          <w:bCs/>
          <w:sz w:val="22"/>
          <w:szCs w:val="22"/>
          <w:lang w:val="en-AU"/>
        </w:rPr>
        <w:t>However, where they are not tightly linked</w:t>
      </w:r>
      <w:r w:rsidRPr="0051052A">
        <w:rPr>
          <w:rFonts w:ascii="Arial" w:hAnsi="Arial" w:cs="Arial"/>
          <w:bCs/>
          <w:sz w:val="22"/>
          <w:szCs w:val="22"/>
          <w:lang w:val="en-AU"/>
        </w:rPr>
        <w:t xml:space="preserve"> impacts on housing development </w:t>
      </w:r>
      <w:r>
        <w:rPr>
          <w:rFonts w:ascii="Arial" w:hAnsi="Arial" w:cs="Arial"/>
          <w:bCs/>
          <w:sz w:val="22"/>
          <w:szCs w:val="22"/>
          <w:lang w:val="en-AU"/>
        </w:rPr>
        <w:t>can</w:t>
      </w:r>
      <w:r w:rsidRPr="0051052A">
        <w:rPr>
          <w:rFonts w:ascii="Arial" w:hAnsi="Arial" w:cs="Arial"/>
          <w:bCs/>
          <w:sz w:val="22"/>
          <w:szCs w:val="22"/>
          <w:lang w:val="en-AU"/>
        </w:rPr>
        <w:t>not be fully attributed</w:t>
      </w:r>
      <w:r>
        <w:rPr>
          <w:rFonts w:ascii="Arial" w:hAnsi="Arial" w:cs="Arial"/>
          <w:bCs/>
          <w:sz w:val="22"/>
          <w:szCs w:val="22"/>
          <w:lang w:val="en-AU"/>
        </w:rPr>
        <w:t xml:space="preserve"> to the transport improvements.</w:t>
      </w:r>
    </w:p>
    <w:p w14:paraId="07ECBBEB" w14:textId="77777777" w:rsidR="00CB2702" w:rsidRDefault="00CB2702" w:rsidP="00CB2702">
      <w:pPr>
        <w:outlineLvl w:val="0"/>
        <w:rPr>
          <w:rFonts w:ascii="Arial" w:hAnsi="Arial" w:cs="Arial"/>
          <w:bCs/>
          <w:sz w:val="22"/>
          <w:szCs w:val="22"/>
          <w:lang w:val="en-AU"/>
        </w:rPr>
      </w:pPr>
    </w:p>
    <w:p w14:paraId="2138B7ED" w14:textId="5DE4D243" w:rsidR="0051052A" w:rsidRPr="00623B92" w:rsidRDefault="00623B92" w:rsidP="0051052A">
      <w:pPr>
        <w:numPr>
          <w:ilvl w:val="1"/>
          <w:numId w:val="6"/>
        </w:numPr>
        <w:outlineLvl w:val="0"/>
        <w:rPr>
          <w:rFonts w:ascii="Arial" w:hAnsi="Arial" w:cs="Arial"/>
          <w:b/>
          <w:bCs/>
          <w:i/>
          <w:iCs/>
          <w:sz w:val="22"/>
          <w:szCs w:val="22"/>
          <w:lang w:val="en-AU"/>
        </w:rPr>
      </w:pPr>
      <w:r>
        <w:rPr>
          <w:rFonts w:ascii="Arial" w:hAnsi="Arial" w:cs="Arial"/>
          <w:b/>
          <w:bCs/>
          <w:i/>
          <w:iCs/>
          <w:sz w:val="22"/>
          <w:szCs w:val="22"/>
          <w:lang w:val="en-AU"/>
        </w:rPr>
        <w:t>City size may change as a result of improvements to housing supply</w:t>
      </w:r>
    </w:p>
    <w:p w14:paraId="53419C30" w14:textId="6730C944" w:rsidR="0051052A" w:rsidRPr="0051052A" w:rsidRDefault="00623B92" w:rsidP="006326C0">
      <w:pPr>
        <w:outlineLvl w:val="0"/>
        <w:rPr>
          <w:rFonts w:ascii="Arial" w:hAnsi="Arial" w:cs="Arial"/>
          <w:bCs/>
          <w:sz w:val="22"/>
          <w:szCs w:val="22"/>
          <w:lang w:val="en-AU"/>
        </w:rPr>
      </w:pPr>
      <w:r>
        <w:rPr>
          <w:rFonts w:ascii="Arial" w:hAnsi="Arial" w:cs="Arial"/>
          <w:bCs/>
          <w:sz w:val="22"/>
          <w:szCs w:val="22"/>
          <w:lang w:val="en-AU"/>
        </w:rPr>
        <w:t xml:space="preserve">All else equal, increasing the supply of housing and reducing its price will </w:t>
      </w:r>
      <w:r w:rsidR="0051052A" w:rsidRPr="0051052A">
        <w:rPr>
          <w:rFonts w:ascii="Arial" w:hAnsi="Arial" w:cs="Arial"/>
          <w:bCs/>
          <w:sz w:val="22"/>
          <w:szCs w:val="22"/>
          <w:lang w:val="en-AU"/>
        </w:rPr>
        <w:t>affect the spatial equilibrium of population distribution between urban and rural areas, between different cities, and potentially between New Zealand and other countries</w:t>
      </w:r>
      <w:r w:rsidR="006326C0">
        <w:rPr>
          <w:rFonts w:ascii="Arial" w:hAnsi="Arial" w:cs="Arial"/>
          <w:bCs/>
          <w:sz w:val="22"/>
          <w:szCs w:val="22"/>
          <w:lang w:val="en-AU"/>
        </w:rPr>
        <w:t xml:space="preserve"> (Glaeser, 2008)</w:t>
      </w:r>
      <w:r w:rsidR="0051052A" w:rsidRPr="0051052A">
        <w:rPr>
          <w:rFonts w:ascii="Arial" w:hAnsi="Arial" w:cs="Arial"/>
          <w:bCs/>
          <w:sz w:val="22"/>
          <w:szCs w:val="22"/>
          <w:lang w:val="en-AU"/>
        </w:rPr>
        <w:t>.</w:t>
      </w:r>
      <w:r w:rsidR="006326C0">
        <w:rPr>
          <w:rFonts w:ascii="Arial" w:hAnsi="Arial" w:cs="Arial"/>
          <w:bCs/>
          <w:sz w:val="22"/>
          <w:szCs w:val="22"/>
          <w:lang w:val="en-AU"/>
        </w:rPr>
        <w:t xml:space="preserve"> </w:t>
      </w:r>
    </w:p>
    <w:p w14:paraId="1711CCC9" w14:textId="2BBD01EB" w:rsidR="0051052A" w:rsidRPr="0051052A" w:rsidRDefault="00383B28" w:rsidP="00383B28">
      <w:pPr>
        <w:tabs>
          <w:tab w:val="left" w:pos="6569"/>
        </w:tabs>
        <w:outlineLvl w:val="0"/>
        <w:rPr>
          <w:rFonts w:ascii="Arial" w:hAnsi="Arial" w:cs="Arial"/>
          <w:bCs/>
          <w:sz w:val="22"/>
          <w:szCs w:val="22"/>
          <w:lang w:val="en-AU"/>
        </w:rPr>
      </w:pPr>
      <w:r>
        <w:rPr>
          <w:rFonts w:ascii="Arial" w:hAnsi="Arial" w:cs="Arial"/>
          <w:bCs/>
          <w:sz w:val="22"/>
          <w:szCs w:val="22"/>
          <w:lang w:val="en-AU"/>
        </w:rPr>
        <w:tab/>
      </w:r>
    </w:p>
    <w:p w14:paraId="381E029B" w14:textId="117980BD" w:rsidR="00623B92" w:rsidRDefault="0051052A" w:rsidP="00F90F29">
      <w:pPr>
        <w:outlineLvl w:val="0"/>
        <w:rPr>
          <w:rFonts w:ascii="Arial" w:hAnsi="Arial" w:cs="Arial"/>
          <w:bCs/>
          <w:sz w:val="22"/>
          <w:szCs w:val="22"/>
          <w:lang w:val="en-AU"/>
        </w:rPr>
      </w:pPr>
      <w:r w:rsidRPr="0051052A">
        <w:rPr>
          <w:rFonts w:ascii="Arial" w:hAnsi="Arial" w:cs="Arial"/>
          <w:bCs/>
          <w:sz w:val="22"/>
          <w:szCs w:val="22"/>
          <w:lang w:val="en-AU"/>
        </w:rPr>
        <w:t>A number of recent papers use spatial equilibrium models to simulate the impact of loosening restrictions on development, mainly in</w:t>
      </w:r>
      <w:r w:rsidR="000F3497">
        <w:rPr>
          <w:rFonts w:ascii="Arial" w:hAnsi="Arial" w:cs="Arial"/>
          <w:bCs/>
          <w:sz w:val="22"/>
          <w:szCs w:val="22"/>
          <w:lang w:val="en-AU"/>
        </w:rPr>
        <w:t xml:space="preserve"> the US (Hsieh and Moretti, 2019</w:t>
      </w:r>
      <w:r w:rsidRPr="0051052A">
        <w:rPr>
          <w:rFonts w:ascii="Arial" w:hAnsi="Arial" w:cs="Arial"/>
          <w:bCs/>
          <w:sz w:val="22"/>
          <w:szCs w:val="22"/>
          <w:lang w:val="en-AU"/>
        </w:rPr>
        <w:t>; Glaeser and Gyourko, 2018; Ganong and Shoag, 2017; de Groot, Marlet, Teulings, and Vermuelen, 2015). Nunns (2018) recently undertook a similar ex</w:t>
      </w:r>
      <w:r w:rsidR="006326C0">
        <w:rPr>
          <w:rFonts w:ascii="Arial" w:hAnsi="Arial" w:cs="Arial"/>
          <w:bCs/>
          <w:sz w:val="22"/>
          <w:szCs w:val="22"/>
          <w:lang w:val="en-AU"/>
        </w:rPr>
        <w:t>ercise for New Zealand regions.</w:t>
      </w:r>
    </w:p>
    <w:p w14:paraId="079C9491" w14:textId="77777777" w:rsidR="00623B92" w:rsidRDefault="00623B92" w:rsidP="00F90F29">
      <w:pPr>
        <w:outlineLvl w:val="0"/>
        <w:rPr>
          <w:rFonts w:ascii="Arial" w:hAnsi="Arial" w:cs="Arial"/>
          <w:bCs/>
          <w:sz w:val="22"/>
          <w:szCs w:val="22"/>
          <w:lang w:val="en-AU"/>
        </w:rPr>
      </w:pPr>
    </w:p>
    <w:p w14:paraId="20E9EB5A" w14:textId="0F805552" w:rsidR="0051052A" w:rsidRDefault="00801ED1" w:rsidP="00F90F29">
      <w:pPr>
        <w:outlineLvl w:val="0"/>
        <w:rPr>
          <w:rFonts w:ascii="Arial" w:hAnsi="Arial" w:cs="Arial"/>
          <w:bCs/>
          <w:sz w:val="22"/>
          <w:szCs w:val="22"/>
          <w:lang w:val="en-AU"/>
        </w:rPr>
      </w:pPr>
      <w:r>
        <w:rPr>
          <w:rFonts w:ascii="Arial" w:hAnsi="Arial" w:cs="Arial"/>
          <w:bCs/>
          <w:sz w:val="22"/>
          <w:szCs w:val="22"/>
          <w:lang w:val="en-AU"/>
        </w:rPr>
        <w:t>The</w:t>
      </w:r>
      <w:r w:rsidR="0051052A" w:rsidRPr="0051052A">
        <w:rPr>
          <w:rFonts w:ascii="Arial" w:hAnsi="Arial" w:cs="Arial"/>
          <w:bCs/>
          <w:sz w:val="22"/>
          <w:szCs w:val="22"/>
          <w:lang w:val="en-AU"/>
        </w:rPr>
        <w:t xml:space="preserve"> general finding </w:t>
      </w:r>
      <w:r>
        <w:rPr>
          <w:rFonts w:ascii="Arial" w:hAnsi="Arial" w:cs="Arial"/>
          <w:bCs/>
          <w:sz w:val="22"/>
          <w:szCs w:val="22"/>
          <w:lang w:val="en-AU"/>
        </w:rPr>
        <w:t>from this literature is that increasing housing supply will increase</w:t>
      </w:r>
      <w:r w:rsidR="0051052A" w:rsidRPr="0051052A">
        <w:rPr>
          <w:rFonts w:ascii="Arial" w:hAnsi="Arial" w:cs="Arial"/>
          <w:bCs/>
          <w:sz w:val="22"/>
          <w:szCs w:val="22"/>
          <w:lang w:val="en-AU"/>
        </w:rPr>
        <w:t xml:space="preserve"> economic output and </w:t>
      </w:r>
      <w:r w:rsidR="003B50F1">
        <w:rPr>
          <w:rFonts w:ascii="Arial" w:hAnsi="Arial" w:cs="Arial"/>
          <w:bCs/>
          <w:sz w:val="22"/>
          <w:szCs w:val="22"/>
          <w:lang w:val="en-AU"/>
        </w:rPr>
        <w:t>increase aggregate wellbeing</w:t>
      </w:r>
      <w:r w:rsidR="00623B92">
        <w:rPr>
          <w:rFonts w:ascii="Arial" w:hAnsi="Arial" w:cs="Arial"/>
          <w:bCs/>
          <w:sz w:val="22"/>
          <w:szCs w:val="22"/>
          <w:lang w:val="en-AU"/>
        </w:rPr>
        <w:t>. This reflects the fact that more people can access and take advantage of larger labour markets, which tend to be more productive and thus support higher incomes.</w:t>
      </w:r>
      <w:r w:rsidR="00623B92">
        <w:rPr>
          <w:rStyle w:val="FootnoteReference"/>
          <w:rFonts w:ascii="Arial" w:hAnsi="Arial" w:cs="Arial"/>
          <w:bCs/>
          <w:sz w:val="22"/>
          <w:szCs w:val="22"/>
          <w:lang w:val="en-AU"/>
        </w:rPr>
        <w:footnoteReference w:id="10"/>
      </w:r>
    </w:p>
    <w:p w14:paraId="0FFC7FF0" w14:textId="77777777" w:rsidR="00F90F29" w:rsidRDefault="00F90F29" w:rsidP="0051052A">
      <w:pPr>
        <w:outlineLvl w:val="0"/>
        <w:rPr>
          <w:rFonts w:ascii="Arial" w:hAnsi="Arial" w:cs="Arial"/>
          <w:bCs/>
          <w:sz w:val="22"/>
          <w:szCs w:val="22"/>
          <w:lang w:val="en-AU"/>
        </w:rPr>
      </w:pPr>
    </w:p>
    <w:p w14:paraId="17F8B78B" w14:textId="71FD4B41" w:rsidR="00726E62" w:rsidRPr="00474EE0" w:rsidRDefault="00726E62" w:rsidP="00726E62">
      <w:pPr>
        <w:numPr>
          <w:ilvl w:val="0"/>
          <w:numId w:val="6"/>
        </w:numPr>
        <w:outlineLvl w:val="0"/>
        <w:rPr>
          <w:rFonts w:ascii="Arial" w:hAnsi="Arial" w:cs="Arial"/>
          <w:b/>
          <w:bCs/>
          <w:sz w:val="28"/>
          <w:szCs w:val="28"/>
        </w:rPr>
      </w:pPr>
      <w:bookmarkStart w:id="3" w:name="_Ref32868436"/>
      <w:r>
        <w:rPr>
          <w:rFonts w:ascii="Arial" w:hAnsi="Arial" w:cs="Arial"/>
          <w:b/>
          <w:bCs/>
          <w:sz w:val="28"/>
          <w:szCs w:val="28"/>
        </w:rPr>
        <w:t>Housing development impacts as a WEB?</w:t>
      </w:r>
      <w:bookmarkEnd w:id="3"/>
    </w:p>
    <w:p w14:paraId="6BB04359" w14:textId="77777777" w:rsidR="0012619F" w:rsidRDefault="0012619F" w:rsidP="004F6514">
      <w:pPr>
        <w:outlineLvl w:val="0"/>
        <w:rPr>
          <w:rFonts w:ascii="Arial" w:hAnsi="Arial" w:cs="Arial"/>
          <w:bCs/>
          <w:sz w:val="22"/>
          <w:szCs w:val="22"/>
          <w:lang w:val="en-AU"/>
        </w:rPr>
      </w:pPr>
    </w:p>
    <w:p w14:paraId="127129D2" w14:textId="77777777" w:rsidR="004F6514" w:rsidRPr="0051052A" w:rsidRDefault="004F6514" w:rsidP="004F6514">
      <w:pPr>
        <w:outlineLvl w:val="0"/>
        <w:rPr>
          <w:rFonts w:ascii="Arial" w:hAnsi="Arial" w:cs="Arial"/>
          <w:bCs/>
          <w:sz w:val="22"/>
          <w:szCs w:val="22"/>
          <w:lang w:val="en-AU"/>
        </w:rPr>
      </w:pPr>
      <w:r w:rsidRPr="0051052A">
        <w:rPr>
          <w:rFonts w:ascii="Arial" w:hAnsi="Arial" w:cs="Arial"/>
          <w:bCs/>
          <w:sz w:val="22"/>
          <w:szCs w:val="22"/>
          <w:lang w:val="en-AU"/>
        </w:rPr>
        <w:t>Conventional transport appraisal focuses on assessing the impact of transport improvements on the user costs of transport, meaning the time, money, and inconvenience that people must incur to travel. Reducing transport user costs increases the consumer surplus that people enjoy from travelling, as they are able to achieve the benefit of reaching their destination at a lower cost.</w:t>
      </w:r>
      <w:r w:rsidRPr="0051052A">
        <w:rPr>
          <w:rFonts w:ascii="Arial" w:hAnsi="Arial" w:cs="Arial"/>
          <w:bCs/>
          <w:sz w:val="22"/>
          <w:szCs w:val="22"/>
          <w:vertAlign w:val="superscript"/>
          <w:lang w:val="en-AU"/>
        </w:rPr>
        <w:footnoteReference w:id="11"/>
      </w:r>
    </w:p>
    <w:p w14:paraId="1A5E1530" w14:textId="77777777" w:rsidR="004F6514" w:rsidRPr="0051052A" w:rsidRDefault="004F6514" w:rsidP="004F6514">
      <w:pPr>
        <w:outlineLvl w:val="0"/>
        <w:rPr>
          <w:rFonts w:ascii="Arial" w:hAnsi="Arial" w:cs="Arial"/>
          <w:bCs/>
          <w:sz w:val="22"/>
          <w:szCs w:val="22"/>
          <w:lang w:val="en-AU"/>
        </w:rPr>
      </w:pPr>
    </w:p>
    <w:p w14:paraId="265F993F" w14:textId="61814218" w:rsidR="004F6514" w:rsidRPr="0051052A" w:rsidRDefault="004F6514" w:rsidP="004F6514">
      <w:pPr>
        <w:outlineLvl w:val="0"/>
        <w:rPr>
          <w:rFonts w:ascii="Arial" w:hAnsi="Arial" w:cs="Arial"/>
          <w:bCs/>
          <w:sz w:val="22"/>
          <w:szCs w:val="22"/>
          <w:lang w:val="en-AU"/>
        </w:rPr>
      </w:pPr>
      <w:r w:rsidRPr="0051052A">
        <w:rPr>
          <w:rFonts w:ascii="Arial" w:hAnsi="Arial" w:cs="Arial"/>
          <w:bCs/>
          <w:sz w:val="22"/>
          <w:szCs w:val="22"/>
          <w:lang w:val="en-AU"/>
        </w:rPr>
        <w:t>If all related markets, such as labour markets that people access by commuting, are functioning efficiently, then transport user cost savings are equivalent to total social benefits (Boardman et al, 2011). However, transport markets and related markets are rife with externalities and other market imperfections, ranging from unpriced traffic congestion impacts to air quality impacts to taxes on labour income to agglomeration externalities in production. This creates the potential for additional (positive or negative) effects to arise from changes in transport behaviours.</w:t>
      </w:r>
      <w:r w:rsidR="006E4990">
        <w:rPr>
          <w:rFonts w:ascii="Arial" w:hAnsi="Arial" w:cs="Arial"/>
          <w:bCs/>
          <w:sz w:val="22"/>
          <w:szCs w:val="22"/>
          <w:lang w:val="en-AU"/>
        </w:rPr>
        <w:t xml:space="preserve"> In transport appraisal, these impacts are described as wider economic benefits, or WEBs.</w:t>
      </w:r>
    </w:p>
    <w:p w14:paraId="3C86D250" w14:textId="77777777" w:rsidR="004F6514" w:rsidRPr="0051052A" w:rsidRDefault="004F6514" w:rsidP="004F6514">
      <w:pPr>
        <w:outlineLvl w:val="0"/>
        <w:rPr>
          <w:rFonts w:ascii="Arial" w:hAnsi="Arial" w:cs="Arial"/>
          <w:bCs/>
          <w:sz w:val="22"/>
          <w:szCs w:val="22"/>
          <w:lang w:val="en-AU"/>
        </w:rPr>
      </w:pPr>
    </w:p>
    <w:p w14:paraId="1B3F2B65" w14:textId="1BDF7462" w:rsidR="004F6514" w:rsidRPr="0051052A" w:rsidRDefault="004F6514" w:rsidP="004F6514">
      <w:pPr>
        <w:outlineLvl w:val="0"/>
        <w:rPr>
          <w:rFonts w:ascii="Arial" w:hAnsi="Arial" w:cs="Arial"/>
          <w:bCs/>
          <w:sz w:val="22"/>
          <w:szCs w:val="22"/>
          <w:lang w:val="en-AU"/>
        </w:rPr>
      </w:pPr>
      <w:r w:rsidRPr="0051052A">
        <w:rPr>
          <w:rFonts w:ascii="Arial" w:hAnsi="Arial" w:cs="Arial"/>
          <w:bCs/>
          <w:sz w:val="22"/>
          <w:szCs w:val="22"/>
          <w:lang w:val="en-AU"/>
        </w:rPr>
        <w:t xml:space="preserve">New Zealand’s transport appraisal procedures </w:t>
      </w:r>
      <w:r>
        <w:rPr>
          <w:rFonts w:ascii="Arial" w:hAnsi="Arial" w:cs="Arial"/>
          <w:bCs/>
          <w:sz w:val="22"/>
          <w:szCs w:val="22"/>
          <w:lang w:val="en-AU"/>
        </w:rPr>
        <w:t>address</w:t>
      </w:r>
      <w:r w:rsidRPr="0051052A">
        <w:rPr>
          <w:rFonts w:ascii="Arial" w:hAnsi="Arial" w:cs="Arial"/>
          <w:bCs/>
          <w:sz w:val="22"/>
          <w:szCs w:val="22"/>
          <w:lang w:val="en-AU"/>
        </w:rPr>
        <w:t xml:space="preserve"> three </w:t>
      </w:r>
      <w:r w:rsidR="006E4990">
        <w:rPr>
          <w:rFonts w:ascii="Arial" w:hAnsi="Arial" w:cs="Arial"/>
          <w:bCs/>
          <w:sz w:val="22"/>
          <w:szCs w:val="22"/>
          <w:lang w:val="en-AU"/>
        </w:rPr>
        <w:t>WEBs</w:t>
      </w:r>
      <w:r w:rsidRPr="0051052A">
        <w:rPr>
          <w:rFonts w:ascii="Arial" w:hAnsi="Arial" w:cs="Arial"/>
          <w:bCs/>
          <w:sz w:val="22"/>
          <w:szCs w:val="22"/>
          <w:lang w:val="en-AU"/>
        </w:rPr>
        <w:t xml:space="preserve"> that arise in </w:t>
      </w:r>
      <w:r w:rsidR="00726E62">
        <w:rPr>
          <w:rFonts w:ascii="Arial" w:hAnsi="Arial" w:cs="Arial"/>
          <w:bCs/>
          <w:sz w:val="22"/>
          <w:szCs w:val="22"/>
          <w:lang w:val="en-AU"/>
        </w:rPr>
        <w:t xml:space="preserve">the labour </w:t>
      </w:r>
      <w:r w:rsidR="00726E62">
        <w:rPr>
          <w:rFonts w:ascii="Arial" w:hAnsi="Arial" w:cs="Arial"/>
          <w:bCs/>
          <w:sz w:val="22"/>
          <w:szCs w:val="22"/>
          <w:lang w:val="en-AU"/>
        </w:rPr>
        <w:lastRenderedPageBreak/>
        <w:t>market</w:t>
      </w:r>
      <w:r w:rsidRPr="0051052A">
        <w:rPr>
          <w:rFonts w:ascii="Arial" w:hAnsi="Arial" w:cs="Arial"/>
          <w:bCs/>
          <w:sz w:val="22"/>
          <w:szCs w:val="22"/>
          <w:lang w:val="en-AU"/>
        </w:rPr>
        <w:t>.</w:t>
      </w:r>
      <w:r w:rsidR="00726E62">
        <w:rPr>
          <w:rStyle w:val="FootnoteReference"/>
          <w:rFonts w:ascii="Arial" w:hAnsi="Arial" w:cs="Arial"/>
          <w:bCs/>
          <w:sz w:val="22"/>
          <w:szCs w:val="22"/>
          <w:lang w:val="en-AU"/>
        </w:rPr>
        <w:footnoteReference w:id="12"/>
      </w:r>
      <w:r w:rsidRPr="0051052A">
        <w:rPr>
          <w:rFonts w:ascii="Arial" w:hAnsi="Arial" w:cs="Arial"/>
          <w:bCs/>
          <w:sz w:val="22"/>
          <w:szCs w:val="22"/>
          <w:lang w:val="en-AU"/>
        </w:rPr>
        <w:t xml:space="preserve"> </w:t>
      </w:r>
      <w:r w:rsidR="00726E62">
        <w:rPr>
          <w:rFonts w:ascii="Arial" w:hAnsi="Arial" w:cs="Arial"/>
          <w:bCs/>
          <w:sz w:val="22"/>
          <w:szCs w:val="22"/>
          <w:lang w:val="en-AU"/>
        </w:rPr>
        <w:t xml:space="preserve">Following UK WebTAG guidance, </w:t>
      </w:r>
      <w:r w:rsidRPr="0051052A">
        <w:rPr>
          <w:rFonts w:ascii="Arial" w:hAnsi="Arial" w:cs="Arial"/>
          <w:bCs/>
          <w:sz w:val="22"/>
          <w:szCs w:val="22"/>
          <w:lang w:val="en-AU"/>
        </w:rPr>
        <w:t>Kernohan and Rognlien (2011) describe the theory and evidence underpinning these ben</w:t>
      </w:r>
      <w:r>
        <w:rPr>
          <w:rFonts w:ascii="Arial" w:hAnsi="Arial" w:cs="Arial"/>
          <w:bCs/>
          <w:sz w:val="22"/>
          <w:szCs w:val="22"/>
          <w:lang w:val="en-AU"/>
        </w:rPr>
        <w:t xml:space="preserve">efits. They also identify </w:t>
      </w:r>
      <w:r w:rsidRPr="0051052A">
        <w:rPr>
          <w:rFonts w:ascii="Arial" w:hAnsi="Arial" w:cs="Arial"/>
          <w:bCs/>
          <w:sz w:val="22"/>
          <w:szCs w:val="22"/>
          <w:lang w:val="en-AU"/>
        </w:rPr>
        <w:t>the potential for WEBs resulting from transport improvements that increase the level of competition in the economy:</w:t>
      </w:r>
    </w:p>
    <w:p w14:paraId="61707D7C" w14:textId="77777777" w:rsidR="004F6514" w:rsidRPr="0051052A" w:rsidRDefault="004F6514" w:rsidP="004F6514">
      <w:pPr>
        <w:outlineLvl w:val="0"/>
        <w:rPr>
          <w:rFonts w:ascii="Arial" w:hAnsi="Arial" w:cs="Arial"/>
          <w:bCs/>
          <w:sz w:val="22"/>
          <w:szCs w:val="22"/>
          <w:lang w:val="en-AU"/>
        </w:rPr>
      </w:pPr>
    </w:p>
    <w:p w14:paraId="338AD5F0" w14:textId="77777777" w:rsidR="004F6514" w:rsidRPr="0051052A" w:rsidRDefault="004F6514" w:rsidP="004F6514">
      <w:pPr>
        <w:ind w:left="720"/>
        <w:outlineLvl w:val="0"/>
        <w:rPr>
          <w:rFonts w:ascii="Arial" w:hAnsi="Arial" w:cs="Arial"/>
          <w:bCs/>
          <w:i/>
          <w:sz w:val="22"/>
          <w:szCs w:val="22"/>
          <w:lang w:val="en-AU"/>
        </w:rPr>
      </w:pPr>
      <w:r w:rsidRPr="0051052A">
        <w:rPr>
          <w:rFonts w:ascii="Arial" w:hAnsi="Arial" w:cs="Arial"/>
          <w:bCs/>
          <w:i/>
          <w:sz w:val="22"/>
          <w:szCs w:val="22"/>
          <w:lang w:val="en-AU"/>
        </w:rPr>
        <w:t>Increasing the levels of competition in an economy therefore produces an additional economic benefit by pushing the economy toward its optimum position and reducing the overall deadweight loss to society by increasing output and reducing price, and eroding market power from monopoly, oligopoly and other forms of market failure.</w:t>
      </w:r>
    </w:p>
    <w:p w14:paraId="703E347F" w14:textId="77777777" w:rsidR="004F6514" w:rsidRPr="0051052A" w:rsidRDefault="004F6514" w:rsidP="004F6514">
      <w:pPr>
        <w:ind w:left="720"/>
        <w:outlineLvl w:val="0"/>
        <w:rPr>
          <w:rFonts w:ascii="Arial" w:hAnsi="Arial" w:cs="Arial"/>
          <w:bCs/>
          <w:sz w:val="22"/>
          <w:szCs w:val="22"/>
          <w:lang w:val="en-AU"/>
        </w:rPr>
      </w:pPr>
      <w:r w:rsidRPr="0051052A">
        <w:rPr>
          <w:rFonts w:ascii="Arial" w:hAnsi="Arial" w:cs="Arial"/>
          <w:bCs/>
          <w:i/>
          <w:sz w:val="22"/>
          <w:szCs w:val="22"/>
          <w:lang w:val="en-AU"/>
        </w:rPr>
        <w:t>If a price cost margin exists […] there is also potential for a project to improve the level of competition in the economy by reducing the magnitude of the price cost margin and directly increase welfare.</w:t>
      </w:r>
    </w:p>
    <w:p w14:paraId="12FD737A" w14:textId="77777777" w:rsidR="00726E62" w:rsidRPr="0051052A" w:rsidRDefault="00726E62" w:rsidP="004F6514">
      <w:pPr>
        <w:outlineLvl w:val="0"/>
        <w:rPr>
          <w:rFonts w:ascii="Arial" w:hAnsi="Arial" w:cs="Arial"/>
          <w:bCs/>
          <w:sz w:val="22"/>
          <w:szCs w:val="22"/>
          <w:lang w:val="en-AU"/>
        </w:rPr>
      </w:pPr>
    </w:p>
    <w:p w14:paraId="5C67931E" w14:textId="66BE1FB0" w:rsidR="00726E62" w:rsidRDefault="004F6514" w:rsidP="00726E62">
      <w:pPr>
        <w:outlineLvl w:val="0"/>
        <w:rPr>
          <w:rFonts w:ascii="Arial" w:hAnsi="Arial" w:cs="Arial"/>
          <w:bCs/>
          <w:sz w:val="22"/>
          <w:szCs w:val="22"/>
          <w:lang w:val="en-AU"/>
        </w:rPr>
      </w:pPr>
      <w:r w:rsidRPr="0051052A">
        <w:rPr>
          <w:rFonts w:ascii="Arial" w:hAnsi="Arial" w:cs="Arial"/>
          <w:bCs/>
          <w:sz w:val="22"/>
          <w:szCs w:val="22"/>
          <w:lang w:val="en-AU"/>
        </w:rPr>
        <w:t xml:space="preserve">Kernohan and Rognlien </w:t>
      </w:r>
      <w:r w:rsidR="00726E62">
        <w:rPr>
          <w:rFonts w:ascii="Arial" w:hAnsi="Arial" w:cs="Arial"/>
          <w:bCs/>
          <w:sz w:val="22"/>
          <w:szCs w:val="22"/>
          <w:lang w:val="en-AU"/>
        </w:rPr>
        <w:t xml:space="preserve">do not recommend valuing </w:t>
      </w:r>
      <w:r>
        <w:rPr>
          <w:rFonts w:ascii="Arial" w:hAnsi="Arial" w:cs="Arial"/>
          <w:bCs/>
          <w:sz w:val="22"/>
          <w:szCs w:val="22"/>
          <w:lang w:val="en-AU"/>
        </w:rPr>
        <w:t xml:space="preserve">increased competition </w:t>
      </w:r>
      <w:r w:rsidR="00726E62">
        <w:rPr>
          <w:rFonts w:ascii="Arial" w:hAnsi="Arial" w:cs="Arial"/>
          <w:bCs/>
          <w:sz w:val="22"/>
          <w:szCs w:val="22"/>
          <w:lang w:val="en-AU"/>
        </w:rPr>
        <w:t xml:space="preserve">benefits due to the fact that price-cost markups are low in </w:t>
      </w:r>
      <w:r w:rsidR="00C0356B">
        <w:rPr>
          <w:rFonts w:ascii="Arial" w:hAnsi="Arial" w:cs="Arial"/>
          <w:bCs/>
          <w:sz w:val="22"/>
          <w:szCs w:val="22"/>
          <w:lang w:val="en-AU"/>
        </w:rPr>
        <w:t xml:space="preserve">New Zealand </w:t>
      </w:r>
      <w:r w:rsidR="00726E62">
        <w:rPr>
          <w:rFonts w:ascii="Arial" w:hAnsi="Arial" w:cs="Arial"/>
          <w:bCs/>
          <w:sz w:val="22"/>
          <w:szCs w:val="22"/>
          <w:lang w:val="en-AU"/>
        </w:rPr>
        <w:t>industries, indicating a reasonable level of competition (Stevens, 2011).</w:t>
      </w:r>
      <w:r w:rsidR="006E4990">
        <w:rPr>
          <w:rFonts w:ascii="Arial" w:hAnsi="Arial" w:cs="Arial"/>
          <w:bCs/>
          <w:sz w:val="22"/>
          <w:szCs w:val="22"/>
          <w:lang w:val="en-AU"/>
        </w:rPr>
        <w:t xml:space="preserve"> </w:t>
      </w:r>
      <w:r w:rsidR="00726E62">
        <w:rPr>
          <w:rFonts w:ascii="Arial" w:hAnsi="Arial" w:cs="Arial"/>
          <w:bCs/>
          <w:sz w:val="22"/>
          <w:szCs w:val="22"/>
          <w:lang w:val="en-AU"/>
        </w:rPr>
        <w:t>However, previous section</w:t>
      </w:r>
      <w:r w:rsidR="006E4990">
        <w:rPr>
          <w:rFonts w:ascii="Arial" w:hAnsi="Arial" w:cs="Arial"/>
          <w:bCs/>
          <w:sz w:val="22"/>
          <w:szCs w:val="22"/>
          <w:lang w:val="en-AU"/>
        </w:rPr>
        <w:t>s outline a case for valuing increased competition benefits in housing development markets. This is because:</w:t>
      </w:r>
    </w:p>
    <w:p w14:paraId="0C83CD6A" w14:textId="77777777" w:rsidR="00726E62" w:rsidRDefault="00726E62" w:rsidP="00726E62">
      <w:pPr>
        <w:outlineLvl w:val="0"/>
        <w:rPr>
          <w:rFonts w:ascii="Arial" w:hAnsi="Arial" w:cs="Arial"/>
          <w:bCs/>
          <w:sz w:val="22"/>
          <w:szCs w:val="22"/>
          <w:lang w:val="en-AU"/>
        </w:rPr>
      </w:pPr>
    </w:p>
    <w:p w14:paraId="4A08AE61" w14:textId="35A2591D" w:rsidR="00726E62" w:rsidRDefault="00726E62" w:rsidP="00726E62">
      <w:pPr>
        <w:numPr>
          <w:ilvl w:val="0"/>
          <w:numId w:val="14"/>
        </w:numPr>
        <w:outlineLvl w:val="0"/>
        <w:rPr>
          <w:rFonts w:ascii="Arial" w:hAnsi="Arial" w:cs="Arial"/>
          <w:bCs/>
          <w:sz w:val="22"/>
          <w:szCs w:val="22"/>
          <w:lang w:val="en-AU"/>
        </w:rPr>
      </w:pPr>
      <w:r>
        <w:rPr>
          <w:rFonts w:ascii="Arial" w:hAnsi="Arial" w:cs="Arial"/>
          <w:bCs/>
          <w:sz w:val="22"/>
          <w:szCs w:val="22"/>
          <w:lang w:val="en-AU"/>
        </w:rPr>
        <w:t>Housing development markets are imperfectly competitive, as shown by large price-cost markups for urban land and housing</w:t>
      </w:r>
      <w:r w:rsidR="003B50F1">
        <w:rPr>
          <w:rFonts w:ascii="Arial" w:hAnsi="Arial" w:cs="Arial"/>
          <w:bCs/>
          <w:sz w:val="22"/>
          <w:szCs w:val="22"/>
          <w:lang w:val="en-AU"/>
        </w:rPr>
        <w:t xml:space="preserve"> that indicate the presence of various barriers to development and redevelopment of land</w:t>
      </w:r>
      <w:r w:rsidR="006E4990">
        <w:rPr>
          <w:rFonts w:ascii="Arial" w:hAnsi="Arial" w:cs="Arial"/>
          <w:bCs/>
          <w:sz w:val="22"/>
          <w:szCs w:val="22"/>
          <w:lang w:val="en-AU"/>
        </w:rPr>
        <w:t>.</w:t>
      </w:r>
    </w:p>
    <w:p w14:paraId="032587DB" w14:textId="223726B1" w:rsidR="004F6514" w:rsidRPr="006E4990" w:rsidRDefault="00726E62" w:rsidP="00454559">
      <w:pPr>
        <w:numPr>
          <w:ilvl w:val="0"/>
          <w:numId w:val="14"/>
        </w:numPr>
        <w:outlineLvl w:val="0"/>
        <w:rPr>
          <w:rFonts w:ascii="Arial" w:hAnsi="Arial" w:cs="Arial"/>
          <w:bCs/>
          <w:sz w:val="22"/>
          <w:szCs w:val="22"/>
          <w:lang w:val="en-AU"/>
        </w:rPr>
      </w:pPr>
      <w:r w:rsidRPr="006E4990">
        <w:rPr>
          <w:rFonts w:ascii="Arial" w:hAnsi="Arial" w:cs="Arial"/>
          <w:bCs/>
          <w:sz w:val="22"/>
          <w:szCs w:val="22"/>
          <w:lang w:val="en-AU"/>
        </w:rPr>
        <w:t>Major transport investments c</w:t>
      </w:r>
      <w:r w:rsidR="006E4990" w:rsidRPr="006E4990">
        <w:rPr>
          <w:rFonts w:ascii="Arial" w:hAnsi="Arial" w:cs="Arial"/>
          <w:bCs/>
          <w:sz w:val="22"/>
          <w:szCs w:val="22"/>
          <w:lang w:val="en-AU"/>
        </w:rPr>
        <w:t>an in</w:t>
      </w:r>
      <w:r w:rsidR="006E4990">
        <w:rPr>
          <w:rFonts w:ascii="Arial" w:hAnsi="Arial" w:cs="Arial"/>
          <w:bCs/>
          <w:sz w:val="22"/>
          <w:szCs w:val="22"/>
          <w:lang w:val="en-AU"/>
        </w:rPr>
        <w:t xml:space="preserve">crease </w:t>
      </w:r>
      <w:r w:rsidR="004F6514" w:rsidRPr="006E4990">
        <w:rPr>
          <w:rFonts w:ascii="Arial" w:hAnsi="Arial" w:cs="Arial"/>
          <w:bCs/>
          <w:sz w:val="22"/>
          <w:szCs w:val="22"/>
          <w:lang w:val="en-AU"/>
        </w:rPr>
        <w:t>the substitutability between different locations. This can increase the competitive pressure facing individual landowners and help overcome localised constraints to developing more housing, ranging from existing subdivision patterns to restrictive land use regulations.</w:t>
      </w:r>
    </w:p>
    <w:p w14:paraId="167AFDB1" w14:textId="77777777" w:rsidR="004F6514" w:rsidRDefault="004F6514" w:rsidP="0051052A">
      <w:pPr>
        <w:outlineLvl w:val="0"/>
        <w:rPr>
          <w:rFonts w:ascii="Arial" w:hAnsi="Arial" w:cs="Arial"/>
          <w:bCs/>
          <w:sz w:val="22"/>
          <w:szCs w:val="22"/>
          <w:lang w:val="en-AU"/>
        </w:rPr>
      </w:pPr>
    </w:p>
    <w:p w14:paraId="2DEC3BC7" w14:textId="359EEAE6" w:rsidR="006E4990" w:rsidRDefault="00C0356B" w:rsidP="0051052A">
      <w:pPr>
        <w:outlineLvl w:val="0"/>
        <w:rPr>
          <w:rFonts w:ascii="Arial" w:hAnsi="Arial" w:cs="Arial"/>
          <w:bCs/>
          <w:sz w:val="22"/>
          <w:szCs w:val="22"/>
          <w:lang w:val="en-AU"/>
        </w:rPr>
      </w:pPr>
      <w:r>
        <w:rPr>
          <w:rFonts w:ascii="Arial" w:hAnsi="Arial" w:cs="Arial"/>
          <w:bCs/>
          <w:sz w:val="22"/>
          <w:szCs w:val="22"/>
          <w:lang w:val="en-AU"/>
        </w:rPr>
        <w:t>To value these impacts it is necessary to model the relationship between transport investment and housing development. The next section therefore reviews existing modelling practice.</w:t>
      </w:r>
    </w:p>
    <w:p w14:paraId="54B97D8F" w14:textId="77777777" w:rsidR="004F6514" w:rsidRDefault="004F6514" w:rsidP="0051052A">
      <w:pPr>
        <w:outlineLvl w:val="0"/>
        <w:rPr>
          <w:rFonts w:ascii="Arial" w:hAnsi="Arial" w:cs="Arial"/>
          <w:bCs/>
          <w:sz w:val="22"/>
          <w:szCs w:val="22"/>
          <w:lang w:val="en-AU"/>
        </w:rPr>
      </w:pPr>
    </w:p>
    <w:p w14:paraId="207C3766" w14:textId="6E5C2C89" w:rsidR="004F6514" w:rsidRPr="00474EE0" w:rsidRDefault="00683CB5" w:rsidP="00726E62">
      <w:pPr>
        <w:numPr>
          <w:ilvl w:val="0"/>
          <w:numId w:val="6"/>
        </w:numPr>
        <w:outlineLvl w:val="0"/>
        <w:rPr>
          <w:rFonts w:ascii="Arial" w:hAnsi="Arial" w:cs="Arial"/>
          <w:b/>
          <w:bCs/>
          <w:sz w:val="28"/>
          <w:szCs w:val="28"/>
        </w:rPr>
      </w:pPr>
      <w:bookmarkStart w:id="4" w:name="_Ref32868518"/>
      <w:r>
        <w:rPr>
          <w:rFonts w:ascii="Arial" w:hAnsi="Arial" w:cs="Arial"/>
          <w:b/>
          <w:bCs/>
          <w:sz w:val="28"/>
          <w:szCs w:val="28"/>
        </w:rPr>
        <w:t>R</w:t>
      </w:r>
      <w:r w:rsidR="004F6514">
        <w:rPr>
          <w:rFonts w:ascii="Arial" w:hAnsi="Arial" w:cs="Arial"/>
          <w:b/>
          <w:bCs/>
          <w:sz w:val="28"/>
          <w:szCs w:val="28"/>
        </w:rPr>
        <w:t>eview of existing land use-transport interaction models</w:t>
      </w:r>
      <w:bookmarkEnd w:id="4"/>
    </w:p>
    <w:p w14:paraId="6BEAB1BF" w14:textId="77777777" w:rsidR="0051052A" w:rsidRDefault="0051052A" w:rsidP="0051052A">
      <w:pPr>
        <w:outlineLvl w:val="0"/>
        <w:rPr>
          <w:rFonts w:ascii="Arial" w:hAnsi="Arial" w:cs="Arial"/>
          <w:bCs/>
          <w:sz w:val="22"/>
          <w:szCs w:val="22"/>
          <w:lang w:val="en-AU"/>
        </w:rPr>
      </w:pPr>
    </w:p>
    <w:p w14:paraId="5C83D2A7" w14:textId="2C2BD5D9" w:rsidR="00B211F4" w:rsidRDefault="006326C0" w:rsidP="00B211F4">
      <w:pPr>
        <w:outlineLvl w:val="0"/>
        <w:rPr>
          <w:rFonts w:ascii="Arial" w:hAnsi="Arial" w:cs="Arial"/>
          <w:bCs/>
          <w:sz w:val="22"/>
          <w:szCs w:val="22"/>
          <w:lang w:val="en-AU"/>
        </w:rPr>
      </w:pPr>
      <w:r>
        <w:rPr>
          <w:rFonts w:ascii="Arial" w:hAnsi="Arial" w:cs="Arial"/>
          <w:bCs/>
          <w:sz w:val="22"/>
          <w:szCs w:val="22"/>
          <w:lang w:val="en-AU"/>
        </w:rPr>
        <w:t>This review focuses on h</w:t>
      </w:r>
      <w:r w:rsidR="00B211F4" w:rsidRPr="00B211F4">
        <w:rPr>
          <w:rFonts w:ascii="Arial" w:hAnsi="Arial" w:cs="Arial"/>
          <w:bCs/>
          <w:sz w:val="22"/>
          <w:szCs w:val="22"/>
          <w:lang w:val="en-AU"/>
        </w:rPr>
        <w:t xml:space="preserve">ow these models address </w:t>
      </w:r>
      <w:r w:rsidR="00106A2C">
        <w:rPr>
          <w:rFonts w:ascii="Arial" w:hAnsi="Arial" w:cs="Arial"/>
          <w:bCs/>
          <w:sz w:val="22"/>
          <w:szCs w:val="22"/>
          <w:lang w:val="en-AU"/>
        </w:rPr>
        <w:t xml:space="preserve">competitive dynamics in </w:t>
      </w:r>
      <w:r w:rsidR="00B211F4" w:rsidRPr="00B211F4">
        <w:rPr>
          <w:rFonts w:ascii="Arial" w:hAnsi="Arial" w:cs="Arial"/>
          <w:bCs/>
          <w:sz w:val="22"/>
          <w:szCs w:val="22"/>
          <w:lang w:val="en-AU"/>
        </w:rPr>
        <w:t>housing development</w:t>
      </w:r>
      <w:r w:rsidR="00106A2C">
        <w:rPr>
          <w:rFonts w:ascii="Arial" w:hAnsi="Arial" w:cs="Arial"/>
          <w:bCs/>
          <w:sz w:val="22"/>
          <w:szCs w:val="22"/>
          <w:lang w:val="en-AU"/>
        </w:rPr>
        <w:t xml:space="preserve"> and land markets, and how </w:t>
      </w:r>
      <w:r w:rsidR="00B211F4">
        <w:rPr>
          <w:rFonts w:ascii="Arial" w:hAnsi="Arial" w:cs="Arial"/>
          <w:bCs/>
          <w:sz w:val="22"/>
          <w:szCs w:val="22"/>
          <w:lang w:val="en-AU"/>
        </w:rPr>
        <w:t>they</w:t>
      </w:r>
      <w:r w:rsidR="00B211F4" w:rsidRPr="00B211F4">
        <w:rPr>
          <w:rFonts w:ascii="Arial" w:hAnsi="Arial" w:cs="Arial"/>
          <w:bCs/>
          <w:sz w:val="22"/>
          <w:szCs w:val="22"/>
          <w:lang w:val="en-AU"/>
        </w:rPr>
        <w:t xml:space="preserve"> address redistribution of growth between cities/regions as well as within them.</w:t>
      </w:r>
      <w:r w:rsidR="00106A2C">
        <w:rPr>
          <w:rFonts w:ascii="Arial" w:hAnsi="Arial" w:cs="Arial"/>
          <w:bCs/>
          <w:sz w:val="22"/>
          <w:szCs w:val="22"/>
          <w:lang w:val="en-AU"/>
        </w:rPr>
        <w:t xml:space="preserve"> </w:t>
      </w:r>
      <w:r w:rsidR="00C0356B">
        <w:rPr>
          <w:rFonts w:ascii="Arial" w:hAnsi="Arial" w:cs="Arial"/>
          <w:bCs/>
          <w:sz w:val="22"/>
          <w:szCs w:val="22"/>
          <w:lang w:val="en-AU"/>
        </w:rPr>
        <w:t>It considers</w:t>
      </w:r>
      <w:r w:rsidR="00B211F4" w:rsidRPr="00B211F4">
        <w:rPr>
          <w:rFonts w:ascii="Arial" w:hAnsi="Arial" w:cs="Arial"/>
          <w:bCs/>
          <w:sz w:val="22"/>
          <w:szCs w:val="22"/>
          <w:lang w:val="en-AU"/>
        </w:rPr>
        <w:t xml:space="preserve"> </w:t>
      </w:r>
      <w:r w:rsidR="00B211F4">
        <w:rPr>
          <w:rFonts w:ascii="Arial" w:hAnsi="Arial" w:cs="Arial"/>
          <w:bCs/>
          <w:sz w:val="22"/>
          <w:szCs w:val="22"/>
          <w:lang w:val="en-AU"/>
        </w:rPr>
        <w:t>four broad categories of models: u</w:t>
      </w:r>
      <w:r w:rsidR="00B211F4" w:rsidRPr="00B211F4">
        <w:rPr>
          <w:rFonts w:ascii="Arial" w:hAnsi="Arial" w:cs="Arial"/>
          <w:bCs/>
          <w:sz w:val="22"/>
          <w:szCs w:val="22"/>
          <w:lang w:val="en-AU"/>
        </w:rPr>
        <w:t>rban economics models</w:t>
      </w:r>
      <w:r w:rsidR="00B211F4">
        <w:rPr>
          <w:rFonts w:ascii="Arial" w:hAnsi="Arial" w:cs="Arial"/>
          <w:bCs/>
          <w:sz w:val="22"/>
          <w:szCs w:val="22"/>
          <w:lang w:val="en-AU"/>
        </w:rPr>
        <w:t>, s</w:t>
      </w:r>
      <w:r w:rsidR="00B211F4" w:rsidRPr="00B211F4">
        <w:rPr>
          <w:rFonts w:ascii="Arial" w:hAnsi="Arial" w:cs="Arial"/>
          <w:bCs/>
          <w:sz w:val="22"/>
          <w:szCs w:val="22"/>
          <w:lang w:val="en-AU"/>
        </w:rPr>
        <w:t>patial equilibrium models</w:t>
      </w:r>
      <w:r w:rsidR="00B211F4">
        <w:rPr>
          <w:rFonts w:ascii="Arial" w:hAnsi="Arial" w:cs="Arial"/>
          <w:bCs/>
          <w:sz w:val="22"/>
          <w:szCs w:val="22"/>
          <w:lang w:val="en-AU"/>
        </w:rPr>
        <w:t xml:space="preserve">, </w:t>
      </w:r>
      <w:r w:rsidR="00B211F4" w:rsidRPr="00B211F4">
        <w:rPr>
          <w:rFonts w:ascii="Arial" w:hAnsi="Arial" w:cs="Arial"/>
          <w:bCs/>
          <w:sz w:val="22"/>
          <w:szCs w:val="22"/>
          <w:lang w:val="en-AU"/>
        </w:rPr>
        <w:t>LUTI models built on four-step transport models</w:t>
      </w:r>
      <w:r w:rsidR="00B211F4">
        <w:rPr>
          <w:rFonts w:ascii="Arial" w:hAnsi="Arial" w:cs="Arial"/>
          <w:bCs/>
          <w:sz w:val="22"/>
          <w:szCs w:val="22"/>
          <w:lang w:val="en-AU"/>
        </w:rPr>
        <w:t>, and s</w:t>
      </w:r>
      <w:r w:rsidR="00B211F4" w:rsidRPr="00B211F4">
        <w:rPr>
          <w:rFonts w:ascii="Arial" w:hAnsi="Arial" w:cs="Arial"/>
          <w:bCs/>
          <w:sz w:val="22"/>
          <w:szCs w:val="22"/>
          <w:lang w:val="en-AU"/>
        </w:rPr>
        <w:t>patial computable general equilibrium models</w:t>
      </w:r>
      <w:r w:rsidR="00B211F4">
        <w:rPr>
          <w:rFonts w:ascii="Arial" w:hAnsi="Arial" w:cs="Arial"/>
          <w:bCs/>
          <w:sz w:val="22"/>
          <w:szCs w:val="22"/>
          <w:lang w:val="en-AU"/>
        </w:rPr>
        <w:t>.</w:t>
      </w:r>
    </w:p>
    <w:p w14:paraId="6B278541" w14:textId="77777777" w:rsidR="00B211F4" w:rsidRDefault="00B211F4" w:rsidP="00B211F4">
      <w:pPr>
        <w:outlineLvl w:val="0"/>
        <w:rPr>
          <w:rFonts w:ascii="Arial" w:hAnsi="Arial" w:cs="Arial"/>
          <w:bCs/>
          <w:sz w:val="22"/>
          <w:szCs w:val="22"/>
          <w:lang w:val="en-AU"/>
        </w:rPr>
      </w:pPr>
    </w:p>
    <w:p w14:paraId="767B8888" w14:textId="7FB9EAF2" w:rsidR="00B211F4" w:rsidRPr="00683CB5" w:rsidRDefault="00B211F4" w:rsidP="00B211F4">
      <w:pPr>
        <w:numPr>
          <w:ilvl w:val="1"/>
          <w:numId w:val="6"/>
        </w:numPr>
        <w:outlineLvl w:val="0"/>
        <w:rPr>
          <w:rFonts w:ascii="Arial" w:hAnsi="Arial" w:cs="Arial"/>
          <w:b/>
          <w:bCs/>
          <w:i/>
          <w:iCs/>
          <w:sz w:val="22"/>
          <w:szCs w:val="22"/>
          <w:lang w:val="en-AU"/>
        </w:rPr>
      </w:pPr>
      <w:r w:rsidRPr="00C0356B">
        <w:rPr>
          <w:rFonts w:ascii="Arial" w:hAnsi="Arial" w:cs="Arial"/>
          <w:b/>
          <w:bCs/>
          <w:i/>
          <w:iCs/>
          <w:sz w:val="22"/>
          <w:szCs w:val="22"/>
          <w:lang w:val="en-AU"/>
        </w:rPr>
        <w:t>Urban economics models</w:t>
      </w:r>
    </w:p>
    <w:p w14:paraId="5A9BE9CD" w14:textId="7EBE0E63" w:rsidR="00B211F4" w:rsidRDefault="00B211F4" w:rsidP="00B211F4">
      <w:pPr>
        <w:outlineLvl w:val="0"/>
        <w:rPr>
          <w:rFonts w:ascii="Arial" w:hAnsi="Arial" w:cs="Arial"/>
          <w:bCs/>
          <w:sz w:val="22"/>
          <w:szCs w:val="22"/>
          <w:lang w:val="en-AU"/>
        </w:rPr>
      </w:pPr>
      <w:r>
        <w:rPr>
          <w:rFonts w:ascii="Arial" w:hAnsi="Arial" w:cs="Arial"/>
          <w:bCs/>
          <w:sz w:val="22"/>
          <w:szCs w:val="22"/>
          <w:lang w:val="en-AU"/>
        </w:rPr>
        <w:t>The</w:t>
      </w:r>
      <w:r w:rsidRPr="00B211F4">
        <w:rPr>
          <w:rFonts w:ascii="Arial" w:hAnsi="Arial" w:cs="Arial"/>
          <w:bCs/>
          <w:sz w:val="22"/>
          <w:szCs w:val="22"/>
          <w:lang w:val="en-AU"/>
        </w:rPr>
        <w:t xml:space="preserve"> Alonso-Muth-Mills (A</w:t>
      </w:r>
      <w:r>
        <w:rPr>
          <w:rFonts w:ascii="Arial" w:hAnsi="Arial" w:cs="Arial"/>
          <w:bCs/>
          <w:sz w:val="22"/>
          <w:szCs w:val="22"/>
          <w:lang w:val="en-AU"/>
        </w:rPr>
        <w:t>MM) model is</w:t>
      </w:r>
      <w:r w:rsidRPr="00B211F4">
        <w:rPr>
          <w:rFonts w:ascii="Arial" w:hAnsi="Arial" w:cs="Arial"/>
          <w:bCs/>
          <w:sz w:val="22"/>
          <w:szCs w:val="22"/>
          <w:lang w:val="en-AU"/>
        </w:rPr>
        <w:t xml:space="preserve"> a standard urban economics model </w:t>
      </w:r>
      <w:r w:rsidR="00C0356B">
        <w:rPr>
          <w:rFonts w:ascii="Arial" w:hAnsi="Arial" w:cs="Arial"/>
          <w:bCs/>
          <w:sz w:val="22"/>
          <w:szCs w:val="22"/>
          <w:lang w:val="en-AU"/>
        </w:rPr>
        <w:t>that describes</w:t>
      </w:r>
      <w:r w:rsidRPr="00B211F4">
        <w:rPr>
          <w:rFonts w:ascii="Arial" w:hAnsi="Arial" w:cs="Arial"/>
          <w:bCs/>
          <w:sz w:val="22"/>
          <w:szCs w:val="22"/>
          <w:lang w:val="en-AU"/>
        </w:rPr>
        <w:t xml:space="preserve"> equilibrium location of households within a city. </w:t>
      </w:r>
      <w:r w:rsidR="00C0356B">
        <w:rPr>
          <w:rFonts w:ascii="Arial" w:hAnsi="Arial" w:cs="Arial"/>
          <w:bCs/>
          <w:sz w:val="22"/>
          <w:szCs w:val="22"/>
          <w:lang w:val="en-AU"/>
        </w:rPr>
        <w:t>It</w:t>
      </w:r>
      <w:r w:rsidRPr="00B211F4">
        <w:rPr>
          <w:rFonts w:ascii="Arial" w:hAnsi="Arial" w:cs="Arial"/>
          <w:bCs/>
          <w:sz w:val="22"/>
          <w:szCs w:val="22"/>
          <w:lang w:val="en-AU"/>
        </w:rPr>
        <w:t xml:space="preserve"> </w:t>
      </w:r>
      <w:r w:rsidR="009F0F03">
        <w:rPr>
          <w:rFonts w:ascii="Arial" w:hAnsi="Arial" w:cs="Arial"/>
          <w:bCs/>
          <w:sz w:val="22"/>
          <w:szCs w:val="22"/>
          <w:lang w:val="en-AU"/>
        </w:rPr>
        <w:t>shows</w:t>
      </w:r>
      <w:r w:rsidRPr="00B211F4">
        <w:rPr>
          <w:rFonts w:ascii="Arial" w:hAnsi="Arial" w:cs="Arial"/>
          <w:bCs/>
          <w:sz w:val="22"/>
          <w:szCs w:val="22"/>
          <w:lang w:val="en-AU"/>
        </w:rPr>
        <w:t xml:space="preserve"> that the house price gradient can be described as a function </w:t>
      </w:r>
      <w:r w:rsidR="00C0356B">
        <w:rPr>
          <w:rFonts w:ascii="Arial" w:hAnsi="Arial" w:cs="Arial"/>
          <w:bCs/>
          <w:sz w:val="22"/>
          <w:szCs w:val="22"/>
          <w:lang w:val="en-AU"/>
        </w:rPr>
        <w:t xml:space="preserve">of transport costs to jobs (and/or </w:t>
      </w:r>
      <w:r w:rsidRPr="00B211F4">
        <w:rPr>
          <w:rFonts w:ascii="Arial" w:hAnsi="Arial" w:cs="Arial"/>
          <w:bCs/>
          <w:sz w:val="22"/>
          <w:szCs w:val="22"/>
          <w:lang w:val="en-AU"/>
        </w:rPr>
        <w:t xml:space="preserve">consumption </w:t>
      </w:r>
      <w:r w:rsidR="009F0F03">
        <w:rPr>
          <w:rFonts w:ascii="Arial" w:hAnsi="Arial" w:cs="Arial"/>
          <w:bCs/>
          <w:sz w:val="22"/>
          <w:szCs w:val="22"/>
          <w:lang w:val="en-AU"/>
        </w:rPr>
        <w:t>amenities</w:t>
      </w:r>
      <w:r w:rsidRPr="00B211F4">
        <w:rPr>
          <w:rFonts w:ascii="Arial" w:hAnsi="Arial" w:cs="Arial"/>
          <w:bCs/>
          <w:sz w:val="22"/>
          <w:szCs w:val="22"/>
          <w:lang w:val="en-AU"/>
        </w:rPr>
        <w:t xml:space="preserve">). </w:t>
      </w:r>
      <w:r w:rsidR="00C0356B">
        <w:rPr>
          <w:rFonts w:ascii="Arial" w:hAnsi="Arial" w:cs="Arial"/>
          <w:bCs/>
          <w:sz w:val="22"/>
          <w:szCs w:val="22"/>
          <w:lang w:val="en-AU"/>
        </w:rPr>
        <w:t>Reduced</w:t>
      </w:r>
      <w:r w:rsidRPr="00B211F4">
        <w:rPr>
          <w:rFonts w:ascii="Arial" w:hAnsi="Arial" w:cs="Arial"/>
          <w:bCs/>
          <w:sz w:val="22"/>
          <w:szCs w:val="22"/>
          <w:lang w:val="en-AU"/>
        </w:rPr>
        <w:t xml:space="preserve"> transport costs </w:t>
      </w:r>
      <w:r w:rsidR="00C0356B">
        <w:rPr>
          <w:rFonts w:ascii="Arial" w:hAnsi="Arial" w:cs="Arial"/>
          <w:bCs/>
          <w:sz w:val="22"/>
          <w:szCs w:val="22"/>
          <w:lang w:val="en-AU"/>
        </w:rPr>
        <w:t>therefore</w:t>
      </w:r>
      <w:r w:rsidRPr="00B211F4">
        <w:rPr>
          <w:rFonts w:ascii="Arial" w:hAnsi="Arial" w:cs="Arial"/>
          <w:bCs/>
          <w:sz w:val="22"/>
          <w:szCs w:val="22"/>
          <w:lang w:val="en-AU"/>
        </w:rPr>
        <w:t xml:space="preserve"> affect average housing costs and </w:t>
      </w:r>
      <w:r w:rsidR="00C0356B">
        <w:rPr>
          <w:rFonts w:ascii="Arial" w:hAnsi="Arial" w:cs="Arial"/>
          <w:bCs/>
          <w:sz w:val="22"/>
          <w:szCs w:val="22"/>
          <w:lang w:val="en-AU"/>
        </w:rPr>
        <w:t>the location of residents.</w:t>
      </w:r>
    </w:p>
    <w:p w14:paraId="07DF8B8C" w14:textId="77777777" w:rsidR="00B211F4" w:rsidRDefault="00B211F4" w:rsidP="00B211F4">
      <w:pPr>
        <w:outlineLvl w:val="0"/>
        <w:rPr>
          <w:rFonts w:ascii="Arial" w:hAnsi="Arial" w:cs="Arial"/>
          <w:bCs/>
          <w:sz w:val="22"/>
          <w:szCs w:val="22"/>
          <w:lang w:val="en-AU"/>
        </w:rPr>
      </w:pPr>
    </w:p>
    <w:p w14:paraId="29228721" w14:textId="281D72CF"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 xml:space="preserve">Glaeser (2008) describes the basic AMM model and several permutations. In its simplest version, the city is assumed to consist of a population of </w:t>
      </w:r>
      <w:r w:rsidR="00801ED1">
        <w:rPr>
          <w:rFonts w:ascii="Arial" w:hAnsi="Arial" w:cs="Arial"/>
          <w:bCs/>
          <w:sz w:val="22"/>
          <w:szCs w:val="22"/>
          <w:lang w:val="en-AU"/>
        </w:rPr>
        <w:t xml:space="preserve">homogenous </w:t>
      </w:r>
      <w:r w:rsidRPr="00B211F4">
        <w:rPr>
          <w:rFonts w:ascii="Arial" w:hAnsi="Arial" w:cs="Arial"/>
          <w:bCs/>
          <w:sz w:val="22"/>
          <w:szCs w:val="22"/>
          <w:lang w:val="en-AU"/>
        </w:rPr>
        <w:t xml:space="preserve">workers that all commute to a single central business district (CBD) and earn wage W. Commuting costs t(d) are an increasing function of distance d to the CBD (ie </w:t>
      </w:r>
      <w:r w:rsidRPr="00B211F4">
        <w:rPr>
          <w:rFonts w:ascii="Arial" w:hAnsi="Arial" w:cs="Arial"/>
          <w:bCs/>
          <w:sz w:val="22"/>
          <w:szCs w:val="22"/>
          <w:lang w:val="en-AU"/>
        </w:rPr>
        <w:fldChar w:fldCharType="begin"/>
      </w:r>
      <w:r w:rsidRPr="00B211F4">
        <w:rPr>
          <w:rFonts w:ascii="Arial" w:hAnsi="Arial" w:cs="Arial"/>
          <w:bCs/>
          <w:sz w:val="22"/>
          <w:szCs w:val="22"/>
          <w:lang w:val="en-AU"/>
        </w:rPr>
        <w:instrText xml:space="preserve"> QUOTE </w:instrText>
      </w:r>
      <w:r w:rsidR="0058651C">
        <w:rPr>
          <w:rFonts w:ascii="Arial" w:hAnsi="Arial" w:cs="Arial"/>
          <w:bCs/>
          <w:sz w:val="22"/>
          <w:szCs w:val="22"/>
        </w:rPr>
        <w:pict w14:anchorId="0EA0047B">
          <v:shape id="_x0000_i1027" type="#_x0000_t75" style="width:39.3pt;height:1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E5C83&quot;/&gt;&lt;wsp:rsid wsp:val=&quot;001024B0&quot;/&gt;&lt;wsp:rsid wsp:val=&quot;00102CE0&quot;/&gt;&lt;wsp:rsid wsp:val=&quot;00134C6E&quot;/&gt;&lt;wsp:rsid wsp:val=&quot;001847E9&quot;/&gt;&lt;wsp:rsid wsp:val=&quot;00197422&quot;/&gt;&lt;wsp:rsid wsp:val=&quot;001C2BE3&quot;/&gt;&lt;wsp:rsid wsp:val=&quot;001E6A82&quot;/&gt;&lt;wsp:rsid wsp:val=&quot;001F4884&quot;/&gt;&lt;wsp:rsid wsp:val=&quot;002057A2&quot;/&gt;&lt;wsp:rsid wsp:val=&quot;00217D5F&quot;/&gt;&lt;wsp:rsid wsp:val=&quot;00251885&quot;/&gt;&lt;wsp:rsid wsp:val=&quot;00251D2E&quot;/&gt;&lt;wsp:rsid wsp:val=&quot;002670DB&quot;/&gt;&lt;wsp:rsid wsp:val=&quot;00271505&quot;/&gt;&lt;wsp:rsid wsp:val=&quot;002D6A98&quot;/&gt;&lt;wsp:rsid wsp:val=&quot;002E3D4B&quot;/&gt;&lt;wsp:rsid wsp:val=&quot;002E523F&quot;/&gt;&lt;wsp:rsid wsp:val=&quot;00331756&quot;/&gt;&lt;wsp:rsid wsp:val=&quot;00352508&quot;/&gt;&lt;wsp:rsid wsp:val=&quot;00393B8E&quot;/&gt;&lt;wsp:rsid wsp:val=&quot;003B7A8E&quot;/&gt;&lt;wsp:rsid wsp:val=&quot;00403697&quot;/&gt;&lt;wsp:rsid wsp:val=&quot;00405E3D&quot;/&gt;&lt;wsp:rsid wsp:val=&quot;00443505&quot;/&gt;&lt;wsp:rsid wsp:val=&quot;00455D4F&quot;/&gt;&lt;wsp:rsid wsp:val=&quot;00467137&quot;/&gt;&lt;wsp:rsid wsp:val=&quot;0047239D&quot;/&gt;&lt;wsp:rsid wsp:val=&quot;00472C6F&quot;/&gt;&lt;wsp:rsid wsp:val=&quot;00474EE0&quot;/&gt;&lt;wsp:rsid wsp:val=&quot;004B0D3E&quot;/&gt;&lt;wsp:rsid wsp:val=&quot;004F1202&quot;/&gt;&lt;wsp:rsid wsp:val=&quot;004F5498&quot;/&gt;&lt;wsp:rsid wsp:val=&quot;004F77C0&quot;/&gt;&lt;wsp:rsid wsp:val=&quot;0050300C&quot;/&gt;&lt;wsp:rsid wsp:val=&quot;0051052A&quot;/&gt;&lt;wsp:rsid wsp:val=&quot;00513DAC&quot;/&gt;&lt;wsp:rsid wsp:val=&quot;00563F29&quot;/&gt;&lt;wsp:rsid wsp:val=&quot;005774B7&quot;/&gt;&lt;wsp:rsid wsp:val=&quot;00595A0F&quot;/&gt;&lt;wsp:rsid wsp:val=&quot;005B4422&quot;/&gt;&lt;wsp:rsid wsp:val=&quot;005F4FCF&quot;/&gt;&lt;wsp:rsid wsp:val=&quot;005F745D&quot;/&gt;&lt;wsp:rsid wsp:val=&quot;00605AB5&quot;/&gt;&lt;wsp:rsid wsp:val=&quot;006216A8&quot;/&gt;&lt;wsp:rsid wsp:val=&quot;00682046&quot;/&gt;&lt;wsp:rsid wsp:val=&quot;0069683F&quot;/&gt;&lt;wsp:rsid wsp:val=&quot;006E43D1&quot;/&gt;&lt;wsp:rsid wsp:val=&quot;006E4C68&quot;/&gt;&lt;wsp:rsid wsp:val=&quot;00704538&quot;/&gt;&lt;wsp:rsid wsp:val=&quot;007421F2&quot;/&gt;&lt;wsp:rsid wsp:val=&quot;00753A65&quot;/&gt;&lt;wsp:rsid wsp:val=&quot;007B331C&quot;/&gt;&lt;wsp:rsid wsp:val=&quot;007D6A41&quot;/&gt;&lt;wsp:rsid wsp:val=&quot;008021FA&quot;/&gt;&lt;wsp:rsid wsp:val=&quot;008119A9&quot;/&gt;&lt;wsp:rsid wsp:val=&quot;0081394B&quot;/&gt;&lt;wsp:rsid wsp:val=&quot;008249BB&quot;/&gt;&lt;wsp:rsid wsp:val=&quot;00832321&quot;/&gt;&lt;wsp:rsid wsp:val=&quot;0085419A&quot;/&gt;&lt;wsp:rsid wsp:val=&quot;008918FD&quot;/&gt;&lt;wsp:rsid wsp:val=&quot;008A169A&quot;/&gt;&lt;wsp:rsid wsp:val=&quot;008C107E&quot;/&gt;&lt;wsp:rsid wsp:val=&quot;008E04EC&quot;/&gt;&lt;wsp:rsid wsp:val=&quot;008E57F8&quot;/&gt;&lt;wsp:rsid wsp:val=&quot;008F19F2&quot;/&gt;&lt;wsp:rsid wsp:val=&quot;0091071A&quot;/&gt;&lt;wsp:rsid wsp:val=&quot;00964287&quot;/&gt;&lt;wsp:rsid wsp:val=&quot;009777B4&quot;/&gt;&lt;wsp:rsid wsp:val=&quot;009B34D8&quot;/&gt;&lt;wsp:rsid wsp:val=&quot;009B69CA&quot;/&gt;&lt;wsp:rsid wsp:val=&quot;009C501E&quot;/&gt;&lt;wsp:rsid wsp:val=&quot;009C6776&quot;/&gt;&lt;wsp:rsid wsp:val=&quot;009F7CD0&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A17F8&quot;/&gt;&lt;wsp:rsid wsp:val=&quot;00BB7E88&quot;/&gt;&lt;wsp:rsid wsp:val=&quot;00BD2FF1&quot;/&gt;&lt;wsp:rsid wsp:val=&quot;00BF1F15&quot;/&gt;&lt;wsp:rsid wsp:val=&quot;00C052B6&quot;/&gt;&lt;wsp:rsid wsp:val=&quot;00C07EB6&quot;/&gt;&lt;wsp:rsid wsp:val=&quot;00C24A4E&quot;/&gt;&lt;wsp:rsid wsp:val=&quot;00C420A7&quot;/&gt;&lt;wsp:rsid wsp:val=&quot;00C9570A&quot;/&gt;&lt;wsp:rsid wsp:val=&quot;00CB5456&quot;/&gt;&lt;wsp:rsid wsp:val=&quot;00CD3A35&quot;/&gt;&lt;wsp:rsid wsp:val=&quot;00CE7D1D&quot;/&gt;&lt;wsp:rsid wsp:val=&quot;00CF6962&quot;/&gt;&lt;wsp:rsid wsp:val=&quot;00D2666B&quot;/&gt;&lt;wsp:rsid wsp:val=&quot;00D272F0&quot;/&gt;&lt;wsp:rsid wsp:val=&quot;00D65862&quot;/&gt;&lt;wsp:rsid wsp:val=&quot;00D6711E&quot;/&gt;&lt;wsp:rsid wsp:val=&quot;00D75901&quot;/&gt;&lt;wsp:rsid wsp:val=&quot;00D81211&quot;/&gt;&lt;wsp:rsid wsp:val=&quot;00D83529&quot;/&gt;&lt;wsp:rsid wsp:val=&quot;00DC6934&quot;/&gt;&lt;wsp:rsid wsp:val=&quot;00DE1393&quot;/&gt;&lt;wsp:rsid wsp:val=&quot;00DF749E&quot;/&gt;&lt;wsp:rsid wsp:val=&quot;00E360C7&quot;/&gt;&lt;wsp:rsid wsp:val=&quot;00E56F5C&quot;/&gt;&lt;wsp:rsid wsp:val=&quot;00E605C2&quot;/&gt;&lt;wsp:rsid wsp:val=&quot;00E61A85&quot;/&gt;&lt;wsp:rsid wsp:val=&quot;00E80B42&quot;/&gt;&lt;wsp:rsid wsp:val=&quot;00E9567A&quot;/&gt;&lt;wsp:rsid wsp:val=&quot;00EB5B9A&quot;/&gt;&lt;wsp:rsid wsp:val=&quot;00EF19A0&quot;/&gt;&lt;wsp:rsid wsp:val=&quot;00EF66EC&quot;/&gt;&lt;wsp:rsid wsp:val=&quot;00F20053&quot;/&gt;&lt;wsp:rsid wsp:val=&quot;00F4091B&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5774B7&quot; wsp:rsidP=&quot;005774B7&quot;&gt;&lt;m:oMathPara&gt;&lt;m:oMath&gt;&lt;m:r&gt;&lt;w:rPr&gt;&lt;w:rFonts w:ascii=&quot;Cambria Math&quot; w:fareast=&quot;MS PGothic&quot; w:h-ansi=&quot;Cambria Math&quot;/&gt;&lt;wx:font wx:val=&quot;Cambria Math&quot;/&gt;&lt;w:i/&gt;&lt;w:sz w:val=&quot;20&quot;/&gt;&lt;w:lang w:val=&quot;EN-AU&quot; w:fareast=&quot;JA&quot;/&gt;&lt;/w:rPr&gt;&lt;m:t&gt;t'(d)&amp;gt;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Pr="00B211F4">
        <w:rPr>
          <w:rFonts w:ascii="Arial" w:hAnsi="Arial" w:cs="Arial"/>
          <w:bCs/>
          <w:sz w:val="22"/>
          <w:szCs w:val="22"/>
          <w:lang w:val="en-AU"/>
        </w:rPr>
        <w:instrText xml:space="preserve"> </w:instrText>
      </w:r>
      <w:r w:rsidRPr="00B211F4">
        <w:rPr>
          <w:rFonts w:ascii="Arial" w:hAnsi="Arial" w:cs="Arial"/>
          <w:bCs/>
          <w:sz w:val="22"/>
          <w:szCs w:val="22"/>
          <w:lang w:val="en-AU"/>
        </w:rPr>
        <w:fldChar w:fldCharType="separate"/>
      </w:r>
      <w:r w:rsidR="0058651C">
        <w:rPr>
          <w:rFonts w:ascii="Arial" w:hAnsi="Arial" w:cs="Arial"/>
          <w:bCs/>
          <w:sz w:val="22"/>
          <w:szCs w:val="22"/>
        </w:rPr>
        <w:pict w14:anchorId="6D36912F">
          <v:shape id="_x0000_i1028" type="#_x0000_t75" style="width:39.3pt;height:1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E5C83&quot;/&gt;&lt;wsp:rsid wsp:val=&quot;001024B0&quot;/&gt;&lt;wsp:rsid wsp:val=&quot;00102CE0&quot;/&gt;&lt;wsp:rsid wsp:val=&quot;00134C6E&quot;/&gt;&lt;wsp:rsid wsp:val=&quot;001847E9&quot;/&gt;&lt;wsp:rsid wsp:val=&quot;00197422&quot;/&gt;&lt;wsp:rsid wsp:val=&quot;001C2BE3&quot;/&gt;&lt;wsp:rsid wsp:val=&quot;001E6A82&quot;/&gt;&lt;wsp:rsid wsp:val=&quot;001F4884&quot;/&gt;&lt;wsp:rsid wsp:val=&quot;002057A2&quot;/&gt;&lt;wsp:rsid wsp:val=&quot;00217D5F&quot;/&gt;&lt;wsp:rsid wsp:val=&quot;00251885&quot;/&gt;&lt;wsp:rsid wsp:val=&quot;00251D2E&quot;/&gt;&lt;wsp:rsid wsp:val=&quot;002670DB&quot;/&gt;&lt;wsp:rsid wsp:val=&quot;00271505&quot;/&gt;&lt;wsp:rsid wsp:val=&quot;002D6A98&quot;/&gt;&lt;wsp:rsid wsp:val=&quot;002E3D4B&quot;/&gt;&lt;wsp:rsid wsp:val=&quot;002E523F&quot;/&gt;&lt;wsp:rsid wsp:val=&quot;00331756&quot;/&gt;&lt;wsp:rsid wsp:val=&quot;00352508&quot;/&gt;&lt;wsp:rsid wsp:val=&quot;00393B8E&quot;/&gt;&lt;wsp:rsid wsp:val=&quot;003B7A8E&quot;/&gt;&lt;wsp:rsid wsp:val=&quot;00403697&quot;/&gt;&lt;wsp:rsid wsp:val=&quot;00405E3D&quot;/&gt;&lt;wsp:rsid wsp:val=&quot;00443505&quot;/&gt;&lt;wsp:rsid wsp:val=&quot;00455D4F&quot;/&gt;&lt;wsp:rsid wsp:val=&quot;00467137&quot;/&gt;&lt;wsp:rsid wsp:val=&quot;0047239D&quot;/&gt;&lt;wsp:rsid wsp:val=&quot;00472C6F&quot;/&gt;&lt;wsp:rsid wsp:val=&quot;00474EE0&quot;/&gt;&lt;wsp:rsid wsp:val=&quot;004B0D3E&quot;/&gt;&lt;wsp:rsid wsp:val=&quot;004F1202&quot;/&gt;&lt;wsp:rsid wsp:val=&quot;004F5498&quot;/&gt;&lt;wsp:rsid wsp:val=&quot;004F77C0&quot;/&gt;&lt;wsp:rsid wsp:val=&quot;0050300C&quot;/&gt;&lt;wsp:rsid wsp:val=&quot;0051052A&quot;/&gt;&lt;wsp:rsid wsp:val=&quot;00513DAC&quot;/&gt;&lt;wsp:rsid wsp:val=&quot;00563F29&quot;/&gt;&lt;wsp:rsid wsp:val=&quot;005774B7&quot;/&gt;&lt;wsp:rsid wsp:val=&quot;00595A0F&quot;/&gt;&lt;wsp:rsid wsp:val=&quot;005B4422&quot;/&gt;&lt;wsp:rsid wsp:val=&quot;005F4FCF&quot;/&gt;&lt;wsp:rsid wsp:val=&quot;005F745D&quot;/&gt;&lt;wsp:rsid wsp:val=&quot;00605AB5&quot;/&gt;&lt;wsp:rsid wsp:val=&quot;006216A8&quot;/&gt;&lt;wsp:rsid wsp:val=&quot;00682046&quot;/&gt;&lt;wsp:rsid wsp:val=&quot;0069683F&quot;/&gt;&lt;wsp:rsid wsp:val=&quot;006E43D1&quot;/&gt;&lt;wsp:rsid wsp:val=&quot;006E4C68&quot;/&gt;&lt;wsp:rsid wsp:val=&quot;00704538&quot;/&gt;&lt;wsp:rsid wsp:val=&quot;007421F2&quot;/&gt;&lt;wsp:rsid wsp:val=&quot;00753A65&quot;/&gt;&lt;wsp:rsid wsp:val=&quot;007B331C&quot;/&gt;&lt;wsp:rsid wsp:val=&quot;007D6A41&quot;/&gt;&lt;wsp:rsid wsp:val=&quot;008021FA&quot;/&gt;&lt;wsp:rsid wsp:val=&quot;008119A9&quot;/&gt;&lt;wsp:rsid wsp:val=&quot;0081394B&quot;/&gt;&lt;wsp:rsid wsp:val=&quot;008249BB&quot;/&gt;&lt;wsp:rsid wsp:val=&quot;00832321&quot;/&gt;&lt;wsp:rsid wsp:val=&quot;0085419A&quot;/&gt;&lt;wsp:rsid wsp:val=&quot;008918FD&quot;/&gt;&lt;wsp:rsid wsp:val=&quot;008A169A&quot;/&gt;&lt;wsp:rsid wsp:val=&quot;008C107E&quot;/&gt;&lt;wsp:rsid wsp:val=&quot;008E04EC&quot;/&gt;&lt;wsp:rsid wsp:val=&quot;008E57F8&quot;/&gt;&lt;wsp:rsid wsp:val=&quot;008F19F2&quot;/&gt;&lt;wsp:rsid wsp:val=&quot;0091071A&quot;/&gt;&lt;wsp:rsid wsp:val=&quot;00964287&quot;/&gt;&lt;wsp:rsid wsp:val=&quot;009777B4&quot;/&gt;&lt;wsp:rsid wsp:val=&quot;009B34D8&quot;/&gt;&lt;wsp:rsid wsp:val=&quot;009B69CA&quot;/&gt;&lt;wsp:rsid wsp:val=&quot;009C501E&quot;/&gt;&lt;wsp:rsid wsp:val=&quot;009C6776&quot;/&gt;&lt;wsp:rsid wsp:val=&quot;009F7CD0&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A17F8&quot;/&gt;&lt;wsp:rsid wsp:val=&quot;00BB7E88&quot;/&gt;&lt;wsp:rsid wsp:val=&quot;00BD2FF1&quot;/&gt;&lt;wsp:rsid wsp:val=&quot;00BF1F15&quot;/&gt;&lt;wsp:rsid wsp:val=&quot;00C052B6&quot;/&gt;&lt;wsp:rsid wsp:val=&quot;00C07EB6&quot;/&gt;&lt;wsp:rsid wsp:val=&quot;00C24A4E&quot;/&gt;&lt;wsp:rsid wsp:val=&quot;00C420A7&quot;/&gt;&lt;wsp:rsid wsp:val=&quot;00C9570A&quot;/&gt;&lt;wsp:rsid wsp:val=&quot;00CB5456&quot;/&gt;&lt;wsp:rsid wsp:val=&quot;00CD3A35&quot;/&gt;&lt;wsp:rsid wsp:val=&quot;00CE7D1D&quot;/&gt;&lt;wsp:rsid wsp:val=&quot;00CF6962&quot;/&gt;&lt;wsp:rsid wsp:val=&quot;00D2666B&quot;/&gt;&lt;wsp:rsid wsp:val=&quot;00D272F0&quot;/&gt;&lt;wsp:rsid wsp:val=&quot;00D65862&quot;/&gt;&lt;wsp:rsid wsp:val=&quot;00D6711E&quot;/&gt;&lt;wsp:rsid wsp:val=&quot;00D75901&quot;/&gt;&lt;wsp:rsid wsp:val=&quot;00D81211&quot;/&gt;&lt;wsp:rsid wsp:val=&quot;00D83529&quot;/&gt;&lt;wsp:rsid wsp:val=&quot;00DC6934&quot;/&gt;&lt;wsp:rsid wsp:val=&quot;00DE1393&quot;/&gt;&lt;wsp:rsid wsp:val=&quot;00DF749E&quot;/&gt;&lt;wsp:rsid wsp:val=&quot;00E360C7&quot;/&gt;&lt;wsp:rsid wsp:val=&quot;00E56F5C&quot;/&gt;&lt;wsp:rsid wsp:val=&quot;00E605C2&quot;/&gt;&lt;wsp:rsid wsp:val=&quot;00E61A85&quot;/&gt;&lt;wsp:rsid wsp:val=&quot;00E80B42&quot;/&gt;&lt;wsp:rsid wsp:val=&quot;00E9567A&quot;/&gt;&lt;wsp:rsid wsp:val=&quot;00EB5B9A&quot;/&gt;&lt;wsp:rsid wsp:val=&quot;00EF19A0&quot;/&gt;&lt;wsp:rsid wsp:val=&quot;00EF66EC&quot;/&gt;&lt;wsp:rsid wsp:val=&quot;00F20053&quot;/&gt;&lt;wsp:rsid wsp:val=&quot;00F4091B&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5774B7&quot; wsp:rsidP=&quot;005774B7&quot;&gt;&lt;m:oMathPara&gt;&lt;m:oMath&gt;&lt;m:r&gt;&lt;w:rPr&gt;&lt;w:rFonts w:ascii=&quot;Cambria Math&quot; w:fareast=&quot;MS PGothic&quot; w:h-ansi=&quot;Cambria Math&quot;/&gt;&lt;wx:font wx:val=&quot;Cambria Math&quot;/&gt;&lt;w:i/&gt;&lt;w:sz w:val=&quot;20&quot;/&gt;&lt;w:lang w:val=&quot;EN-AU&quot; w:fareast=&quot;JA&quot;/&gt;&lt;/w:rPr&gt;&lt;m:t&gt;t'(d)&amp;gt;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Pr="00B211F4">
        <w:rPr>
          <w:rFonts w:ascii="Arial" w:hAnsi="Arial" w:cs="Arial"/>
          <w:bCs/>
          <w:sz w:val="22"/>
          <w:szCs w:val="22"/>
          <w:lang w:val="en-AU"/>
        </w:rPr>
        <w:fldChar w:fldCharType="end"/>
      </w:r>
      <w:r w:rsidRPr="00B211F4">
        <w:rPr>
          <w:rFonts w:ascii="Arial" w:hAnsi="Arial" w:cs="Arial"/>
          <w:bCs/>
          <w:sz w:val="22"/>
          <w:szCs w:val="22"/>
          <w:lang w:val="en-AU"/>
        </w:rPr>
        <w:t>). Workers rent L units of land from an absentee landlord, paying rents r(d) that vary by distance to the CBD. Workers choose a location d that maximises the utility that they derive from consuming land L and other consumption goods, ie U(W-t(d)-r(d)L, L).</w:t>
      </w:r>
    </w:p>
    <w:p w14:paraId="2CA6BBC8" w14:textId="77777777" w:rsidR="00B211F4" w:rsidRPr="00B211F4" w:rsidRDefault="00B211F4" w:rsidP="00B211F4">
      <w:pPr>
        <w:outlineLvl w:val="0"/>
        <w:rPr>
          <w:rFonts w:ascii="Arial" w:hAnsi="Arial" w:cs="Arial"/>
          <w:bCs/>
          <w:sz w:val="22"/>
          <w:szCs w:val="22"/>
          <w:lang w:val="en-AU"/>
        </w:rPr>
      </w:pPr>
    </w:p>
    <w:p w14:paraId="6763F48A" w14:textId="64E75A97"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 xml:space="preserve">In equilibrium, all workers must be indifferent between staying in their current location and moving to another location instead. Rents adjust to satisfy this condition. The first order condition for utility maximisation is therefore that the rent gradient is a function of the transport cost gradient, ie </w:t>
      </w:r>
      <w:r w:rsidRPr="00B211F4">
        <w:rPr>
          <w:rFonts w:ascii="Arial" w:hAnsi="Arial" w:cs="Arial"/>
          <w:bCs/>
          <w:sz w:val="22"/>
          <w:szCs w:val="22"/>
          <w:lang w:val="en-AU"/>
        </w:rPr>
        <w:fldChar w:fldCharType="begin"/>
      </w:r>
      <w:r w:rsidRPr="00B211F4">
        <w:rPr>
          <w:rFonts w:ascii="Arial" w:hAnsi="Arial" w:cs="Arial"/>
          <w:bCs/>
          <w:sz w:val="22"/>
          <w:szCs w:val="22"/>
          <w:lang w:val="en-AU"/>
        </w:rPr>
        <w:instrText xml:space="preserve"> QUOTE </w:instrText>
      </w:r>
      <w:r w:rsidR="0058651C">
        <w:rPr>
          <w:rFonts w:ascii="Arial" w:hAnsi="Arial" w:cs="Arial"/>
          <w:bCs/>
          <w:sz w:val="22"/>
          <w:szCs w:val="22"/>
        </w:rPr>
        <w:pict w14:anchorId="6B0BDB50">
          <v:shape id="_x0000_i1029" type="#_x0000_t75" style="width:68.7pt;height:1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E5C83&quot;/&gt;&lt;wsp:rsid wsp:val=&quot;001024B0&quot;/&gt;&lt;wsp:rsid wsp:val=&quot;00102CE0&quot;/&gt;&lt;wsp:rsid wsp:val=&quot;00134C6E&quot;/&gt;&lt;wsp:rsid wsp:val=&quot;001847E9&quot;/&gt;&lt;wsp:rsid wsp:val=&quot;00197422&quot;/&gt;&lt;wsp:rsid wsp:val=&quot;001C2BE3&quot;/&gt;&lt;wsp:rsid wsp:val=&quot;001E6A82&quot;/&gt;&lt;wsp:rsid wsp:val=&quot;001F4884&quot;/&gt;&lt;wsp:rsid wsp:val=&quot;002057A2&quot;/&gt;&lt;wsp:rsid wsp:val=&quot;00217D5F&quot;/&gt;&lt;wsp:rsid wsp:val=&quot;00251885&quot;/&gt;&lt;wsp:rsid wsp:val=&quot;00251D2E&quot;/&gt;&lt;wsp:rsid wsp:val=&quot;002670DB&quot;/&gt;&lt;wsp:rsid wsp:val=&quot;00271505&quot;/&gt;&lt;wsp:rsid wsp:val=&quot;002D6A98&quot;/&gt;&lt;wsp:rsid wsp:val=&quot;002E3D4B&quot;/&gt;&lt;wsp:rsid wsp:val=&quot;002E523F&quot;/&gt;&lt;wsp:rsid wsp:val=&quot;00331756&quot;/&gt;&lt;wsp:rsid wsp:val=&quot;00352508&quot;/&gt;&lt;wsp:rsid wsp:val=&quot;00393B8E&quot;/&gt;&lt;wsp:rsid wsp:val=&quot;003B7A8E&quot;/&gt;&lt;wsp:rsid wsp:val=&quot;00403697&quot;/&gt;&lt;wsp:rsid wsp:val=&quot;00405E3D&quot;/&gt;&lt;wsp:rsid wsp:val=&quot;00443505&quot;/&gt;&lt;wsp:rsid wsp:val=&quot;00455D4F&quot;/&gt;&lt;wsp:rsid wsp:val=&quot;00467137&quot;/&gt;&lt;wsp:rsid wsp:val=&quot;0047239D&quot;/&gt;&lt;wsp:rsid wsp:val=&quot;00472C6F&quot;/&gt;&lt;wsp:rsid wsp:val=&quot;00474EE0&quot;/&gt;&lt;wsp:rsid wsp:val=&quot;004B0D3E&quot;/&gt;&lt;wsp:rsid wsp:val=&quot;004F1202&quot;/&gt;&lt;wsp:rsid wsp:val=&quot;004F5498&quot;/&gt;&lt;wsp:rsid wsp:val=&quot;004F77C0&quot;/&gt;&lt;wsp:rsid wsp:val=&quot;0050300C&quot;/&gt;&lt;wsp:rsid wsp:val=&quot;0051052A&quot;/&gt;&lt;wsp:rsid wsp:val=&quot;00513DAC&quot;/&gt;&lt;wsp:rsid wsp:val=&quot;0051561A&quot;/&gt;&lt;wsp:rsid wsp:val=&quot;00563F29&quot;/&gt;&lt;wsp:rsid wsp:val=&quot;00595A0F&quot;/&gt;&lt;wsp:rsid wsp:val=&quot;005B4422&quot;/&gt;&lt;wsp:rsid wsp:val=&quot;005F4FCF&quot;/&gt;&lt;wsp:rsid wsp:val=&quot;005F745D&quot;/&gt;&lt;wsp:rsid wsp:val=&quot;00605AB5&quot;/&gt;&lt;wsp:rsid wsp:val=&quot;006216A8&quot;/&gt;&lt;wsp:rsid wsp:val=&quot;00682046&quot;/&gt;&lt;wsp:rsid wsp:val=&quot;0069683F&quot;/&gt;&lt;wsp:rsid wsp:val=&quot;006E43D1&quot;/&gt;&lt;wsp:rsid wsp:val=&quot;006E4C68&quot;/&gt;&lt;wsp:rsid wsp:val=&quot;00704538&quot;/&gt;&lt;wsp:rsid wsp:val=&quot;007421F2&quot;/&gt;&lt;wsp:rsid wsp:val=&quot;00753A65&quot;/&gt;&lt;wsp:rsid wsp:val=&quot;007B331C&quot;/&gt;&lt;wsp:rsid wsp:val=&quot;007D6A41&quot;/&gt;&lt;wsp:rsid wsp:val=&quot;008021FA&quot;/&gt;&lt;wsp:rsid wsp:val=&quot;008119A9&quot;/&gt;&lt;wsp:rsid wsp:val=&quot;0081394B&quot;/&gt;&lt;wsp:rsid wsp:val=&quot;008249BB&quot;/&gt;&lt;wsp:rsid wsp:val=&quot;00832321&quot;/&gt;&lt;wsp:rsid wsp:val=&quot;0085419A&quot;/&gt;&lt;wsp:rsid wsp:val=&quot;008918FD&quot;/&gt;&lt;wsp:rsid wsp:val=&quot;008A169A&quot;/&gt;&lt;wsp:rsid wsp:val=&quot;008C107E&quot;/&gt;&lt;wsp:rsid wsp:val=&quot;008E04EC&quot;/&gt;&lt;wsp:rsid wsp:val=&quot;008E57F8&quot;/&gt;&lt;wsp:rsid wsp:val=&quot;008F19F2&quot;/&gt;&lt;wsp:rsid wsp:val=&quot;0091071A&quot;/&gt;&lt;wsp:rsid wsp:val=&quot;00964287&quot;/&gt;&lt;wsp:rsid wsp:val=&quot;009777B4&quot;/&gt;&lt;wsp:rsid wsp:val=&quot;009B34D8&quot;/&gt;&lt;wsp:rsid wsp:val=&quot;009B69CA&quot;/&gt;&lt;wsp:rsid wsp:val=&quot;009C501E&quot;/&gt;&lt;wsp:rsid wsp:val=&quot;009C6776&quot;/&gt;&lt;wsp:rsid wsp:val=&quot;009F7CD0&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A17F8&quot;/&gt;&lt;wsp:rsid wsp:val=&quot;00BB7E88&quot;/&gt;&lt;wsp:rsid wsp:val=&quot;00BD2FF1&quot;/&gt;&lt;wsp:rsid wsp:val=&quot;00BF1F15&quot;/&gt;&lt;wsp:rsid wsp:val=&quot;00C052B6&quot;/&gt;&lt;wsp:rsid wsp:val=&quot;00C07EB6&quot;/&gt;&lt;wsp:rsid wsp:val=&quot;00C24A4E&quot;/&gt;&lt;wsp:rsid wsp:val=&quot;00C420A7&quot;/&gt;&lt;wsp:rsid wsp:val=&quot;00C9570A&quot;/&gt;&lt;wsp:rsid wsp:val=&quot;00CB5456&quot;/&gt;&lt;wsp:rsid wsp:val=&quot;00CD3A35&quot;/&gt;&lt;wsp:rsid wsp:val=&quot;00CE7D1D&quot;/&gt;&lt;wsp:rsid wsp:val=&quot;00CF6962&quot;/&gt;&lt;wsp:rsid wsp:val=&quot;00D2666B&quot;/&gt;&lt;wsp:rsid wsp:val=&quot;00D272F0&quot;/&gt;&lt;wsp:rsid wsp:val=&quot;00D65862&quot;/&gt;&lt;wsp:rsid wsp:val=&quot;00D6711E&quot;/&gt;&lt;wsp:rsid wsp:val=&quot;00D75901&quot;/&gt;&lt;wsp:rsid wsp:val=&quot;00D81211&quot;/&gt;&lt;wsp:rsid wsp:val=&quot;00D83529&quot;/&gt;&lt;wsp:rsid wsp:val=&quot;00DC6934&quot;/&gt;&lt;wsp:rsid wsp:val=&quot;00DE1393&quot;/&gt;&lt;wsp:rsid wsp:val=&quot;00DF749E&quot;/&gt;&lt;wsp:rsid wsp:val=&quot;00E360C7&quot;/&gt;&lt;wsp:rsid wsp:val=&quot;00E56F5C&quot;/&gt;&lt;wsp:rsid wsp:val=&quot;00E605C2&quot;/&gt;&lt;wsp:rsid wsp:val=&quot;00E61A85&quot;/&gt;&lt;wsp:rsid wsp:val=&quot;00E80B42&quot;/&gt;&lt;wsp:rsid wsp:val=&quot;00E9567A&quot;/&gt;&lt;wsp:rsid wsp:val=&quot;00EB5B9A&quot;/&gt;&lt;wsp:rsid wsp:val=&quot;00EF19A0&quot;/&gt;&lt;wsp:rsid wsp:val=&quot;00EF66EC&quot;/&gt;&lt;wsp:rsid wsp:val=&quot;00F20053&quot;/&gt;&lt;wsp:rsid wsp:val=&quot;00F4091B&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51561A&quot; wsp:rsidP=&quot;0051561A&quot;&gt;&lt;m:oMathPara&gt;&lt;m:oMath&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r&lt;/m:t&gt;&lt;/m:r&gt;&lt;/m:e&gt;&lt;m:sup&gt;&lt;m:r&gt;&lt;w:rPr&gt;&lt;w:rFonts w:ascii=&quot;Cambria Math&quot; w:fareast=&quot;MS PGothic&quot; w:h-ansi=&quot;Cambria Math&quot;/&gt;&lt;wx:font wx:val=&quot;Cambria Math&quot;/&gt;&lt;w:i/&gt;&lt;w:sz w:val=&quot;20&quot;/&gt;&lt;w:lang w:val=&quot;EN-AU&quot; w:fareast=&quot;JA&quot;/&gt;&lt;/w:rPr&gt;&lt;m:t&gt;'&lt;/m:t&gt;&lt;/m:r&gt;&lt;/m:sup&gt;&lt;/m:sSup&gt;&lt;m:d&gt;&lt;m:dPr&gt;&lt;m:ctrlPr&gt;&lt;w:rPr&gt;&lt;w:rFonts w:ascii=&quot;Cambria Math&quot; w:fareast=&quot;MS PGothic&quot; w:h-ansi=&quot;Cambria Math&quot;/&gt;&lt;wx:font wx:val=&quot;Cambria Math&quot;/&gt;&lt;w:i/&gt;&lt;w:sz w:val=&quot;20&quot;/&gt;&lt;w:lang w:val=&quot;EN-AU&quot; w:fareast=&quot;JA&quot;/&gt;&lt;/w:rPr&gt;&lt;/m:ctrlPr&gt;&lt;/m:dPr&gt;&lt;m:e&gt;&lt;m:r&gt;&lt;w:rPr&gt;&lt;w:rFonts w:ascii=&quot;Cambria Math&quot; w:fareast=&quot;MS PGothic&quot; w:h-ansi=&quot;Cambria Math&quot;/&gt;&lt;wx:font wx:val=&quot;Cambria Math&quot;/&gt;&lt;w:i/&gt;&lt;w:sz w:val=&quot;20&quot;/&gt;&lt;w:lang w:val=&quot;EN-AU&quot; w:fareast=&quot;JA&quot;/&gt;&lt;/w:rPr&gt;&lt;m:t&gt;d&lt;/m:t&gt;&lt;/m:r&gt;&lt;/m:e&gt;&lt;/m:d&gt;&lt;m:r&gt;&lt;w:rPr&gt;&lt;w:rFonts w:ascii=&quot;Cambria Math&quot; w:fareast=&quot;MS PGothic&quot; w:h-ansi=&quot;Cambria Math&quot;/&gt;&lt;wx:font wx:val=&quot;Cambria Math&quot;/&gt;&lt;w:i/&gt;&lt;w:sz w:val=&quot;20&quot;/&gt;&lt;w:lang w:val=&quot;EN-AU&quot; w:fareast=&quot;JA&quot;/&gt;&lt;/w:rPr&gt;&lt;m:t&gt;=-t'(d)/L&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211F4">
        <w:rPr>
          <w:rFonts w:ascii="Arial" w:hAnsi="Arial" w:cs="Arial"/>
          <w:bCs/>
          <w:sz w:val="22"/>
          <w:szCs w:val="22"/>
          <w:lang w:val="en-AU"/>
        </w:rPr>
        <w:instrText xml:space="preserve"> </w:instrText>
      </w:r>
      <w:r w:rsidRPr="00B211F4">
        <w:rPr>
          <w:rFonts w:ascii="Arial" w:hAnsi="Arial" w:cs="Arial"/>
          <w:bCs/>
          <w:sz w:val="22"/>
          <w:szCs w:val="22"/>
          <w:lang w:val="en-AU"/>
        </w:rPr>
        <w:fldChar w:fldCharType="separate"/>
      </w:r>
      <w:r w:rsidR="0058651C">
        <w:rPr>
          <w:rFonts w:ascii="Arial" w:hAnsi="Arial" w:cs="Arial"/>
          <w:bCs/>
          <w:sz w:val="22"/>
          <w:szCs w:val="22"/>
        </w:rPr>
        <w:pict w14:anchorId="1E9C3EF2">
          <v:shape id="_x0000_i1030" type="#_x0000_t75" style="width:68.7pt;height:1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E5C83&quot;/&gt;&lt;wsp:rsid wsp:val=&quot;001024B0&quot;/&gt;&lt;wsp:rsid wsp:val=&quot;00102CE0&quot;/&gt;&lt;wsp:rsid wsp:val=&quot;00134C6E&quot;/&gt;&lt;wsp:rsid wsp:val=&quot;001847E9&quot;/&gt;&lt;wsp:rsid wsp:val=&quot;00197422&quot;/&gt;&lt;wsp:rsid wsp:val=&quot;001C2BE3&quot;/&gt;&lt;wsp:rsid wsp:val=&quot;001E6A82&quot;/&gt;&lt;wsp:rsid wsp:val=&quot;001F4884&quot;/&gt;&lt;wsp:rsid wsp:val=&quot;002057A2&quot;/&gt;&lt;wsp:rsid wsp:val=&quot;00217D5F&quot;/&gt;&lt;wsp:rsid wsp:val=&quot;00251885&quot;/&gt;&lt;wsp:rsid wsp:val=&quot;00251D2E&quot;/&gt;&lt;wsp:rsid wsp:val=&quot;002670DB&quot;/&gt;&lt;wsp:rsid wsp:val=&quot;00271505&quot;/&gt;&lt;wsp:rsid wsp:val=&quot;002D6A98&quot;/&gt;&lt;wsp:rsid wsp:val=&quot;002E3D4B&quot;/&gt;&lt;wsp:rsid wsp:val=&quot;002E523F&quot;/&gt;&lt;wsp:rsid wsp:val=&quot;00331756&quot;/&gt;&lt;wsp:rsid wsp:val=&quot;00352508&quot;/&gt;&lt;wsp:rsid wsp:val=&quot;00393B8E&quot;/&gt;&lt;wsp:rsid wsp:val=&quot;003B7A8E&quot;/&gt;&lt;wsp:rsid wsp:val=&quot;00403697&quot;/&gt;&lt;wsp:rsid wsp:val=&quot;00405E3D&quot;/&gt;&lt;wsp:rsid wsp:val=&quot;00443505&quot;/&gt;&lt;wsp:rsid wsp:val=&quot;00455D4F&quot;/&gt;&lt;wsp:rsid wsp:val=&quot;00467137&quot;/&gt;&lt;wsp:rsid wsp:val=&quot;0047239D&quot;/&gt;&lt;wsp:rsid wsp:val=&quot;00472C6F&quot;/&gt;&lt;wsp:rsid wsp:val=&quot;00474EE0&quot;/&gt;&lt;wsp:rsid wsp:val=&quot;004B0D3E&quot;/&gt;&lt;wsp:rsid wsp:val=&quot;004F1202&quot;/&gt;&lt;wsp:rsid wsp:val=&quot;004F5498&quot;/&gt;&lt;wsp:rsid wsp:val=&quot;004F77C0&quot;/&gt;&lt;wsp:rsid wsp:val=&quot;0050300C&quot;/&gt;&lt;wsp:rsid wsp:val=&quot;0051052A&quot;/&gt;&lt;wsp:rsid wsp:val=&quot;00513DAC&quot;/&gt;&lt;wsp:rsid wsp:val=&quot;0051561A&quot;/&gt;&lt;wsp:rsid wsp:val=&quot;00563F29&quot;/&gt;&lt;wsp:rsid wsp:val=&quot;00595A0F&quot;/&gt;&lt;wsp:rsid wsp:val=&quot;005B4422&quot;/&gt;&lt;wsp:rsid wsp:val=&quot;005F4FCF&quot;/&gt;&lt;wsp:rsid wsp:val=&quot;005F745D&quot;/&gt;&lt;wsp:rsid wsp:val=&quot;00605AB5&quot;/&gt;&lt;wsp:rsid wsp:val=&quot;006216A8&quot;/&gt;&lt;wsp:rsid wsp:val=&quot;00682046&quot;/&gt;&lt;wsp:rsid wsp:val=&quot;0069683F&quot;/&gt;&lt;wsp:rsid wsp:val=&quot;006E43D1&quot;/&gt;&lt;wsp:rsid wsp:val=&quot;006E4C68&quot;/&gt;&lt;wsp:rsid wsp:val=&quot;00704538&quot;/&gt;&lt;wsp:rsid wsp:val=&quot;007421F2&quot;/&gt;&lt;wsp:rsid wsp:val=&quot;00753A65&quot;/&gt;&lt;wsp:rsid wsp:val=&quot;007B331C&quot;/&gt;&lt;wsp:rsid wsp:val=&quot;007D6A41&quot;/&gt;&lt;wsp:rsid wsp:val=&quot;008021FA&quot;/&gt;&lt;wsp:rsid wsp:val=&quot;008119A9&quot;/&gt;&lt;wsp:rsid wsp:val=&quot;0081394B&quot;/&gt;&lt;wsp:rsid wsp:val=&quot;008249BB&quot;/&gt;&lt;wsp:rsid wsp:val=&quot;00832321&quot;/&gt;&lt;wsp:rsid wsp:val=&quot;0085419A&quot;/&gt;&lt;wsp:rsid wsp:val=&quot;008918FD&quot;/&gt;&lt;wsp:rsid wsp:val=&quot;008A169A&quot;/&gt;&lt;wsp:rsid wsp:val=&quot;008C107E&quot;/&gt;&lt;wsp:rsid wsp:val=&quot;008E04EC&quot;/&gt;&lt;wsp:rsid wsp:val=&quot;008E57F8&quot;/&gt;&lt;wsp:rsid wsp:val=&quot;008F19F2&quot;/&gt;&lt;wsp:rsid wsp:val=&quot;0091071A&quot;/&gt;&lt;wsp:rsid wsp:val=&quot;00964287&quot;/&gt;&lt;wsp:rsid wsp:val=&quot;009777B4&quot;/&gt;&lt;wsp:rsid wsp:val=&quot;009B34D8&quot;/&gt;&lt;wsp:rsid wsp:val=&quot;009B69CA&quot;/&gt;&lt;wsp:rsid wsp:val=&quot;009C501E&quot;/&gt;&lt;wsp:rsid wsp:val=&quot;009C6776&quot;/&gt;&lt;wsp:rsid wsp:val=&quot;009F7CD0&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A17F8&quot;/&gt;&lt;wsp:rsid wsp:val=&quot;00BB7E88&quot;/&gt;&lt;wsp:rsid wsp:val=&quot;00BD2FF1&quot;/&gt;&lt;wsp:rsid wsp:val=&quot;00BF1F15&quot;/&gt;&lt;wsp:rsid wsp:val=&quot;00C052B6&quot;/&gt;&lt;wsp:rsid wsp:val=&quot;00C07EB6&quot;/&gt;&lt;wsp:rsid wsp:val=&quot;00C24A4E&quot;/&gt;&lt;wsp:rsid wsp:val=&quot;00C420A7&quot;/&gt;&lt;wsp:rsid wsp:val=&quot;00C9570A&quot;/&gt;&lt;wsp:rsid wsp:val=&quot;00CB5456&quot;/&gt;&lt;wsp:rsid wsp:val=&quot;00CD3A35&quot;/&gt;&lt;wsp:rsid wsp:val=&quot;00CE7D1D&quot;/&gt;&lt;wsp:rsid wsp:val=&quot;00CF6962&quot;/&gt;&lt;wsp:rsid wsp:val=&quot;00D2666B&quot;/&gt;&lt;wsp:rsid wsp:val=&quot;00D272F0&quot;/&gt;&lt;wsp:rsid wsp:val=&quot;00D65862&quot;/&gt;&lt;wsp:rsid wsp:val=&quot;00D6711E&quot;/&gt;&lt;wsp:rsid wsp:val=&quot;00D75901&quot;/&gt;&lt;wsp:rsid wsp:val=&quot;00D81211&quot;/&gt;&lt;wsp:rsid wsp:val=&quot;00D83529&quot;/&gt;&lt;wsp:rsid wsp:val=&quot;00DC6934&quot;/&gt;&lt;wsp:rsid wsp:val=&quot;00DE1393&quot;/&gt;&lt;wsp:rsid wsp:val=&quot;00DF749E&quot;/&gt;&lt;wsp:rsid wsp:val=&quot;00E360C7&quot;/&gt;&lt;wsp:rsid wsp:val=&quot;00E56F5C&quot;/&gt;&lt;wsp:rsid wsp:val=&quot;00E605C2&quot;/&gt;&lt;wsp:rsid wsp:val=&quot;00E61A85&quot;/&gt;&lt;wsp:rsid wsp:val=&quot;00E80B42&quot;/&gt;&lt;wsp:rsid wsp:val=&quot;00E9567A&quot;/&gt;&lt;wsp:rsid wsp:val=&quot;00EB5B9A&quot;/&gt;&lt;wsp:rsid wsp:val=&quot;00EF19A0&quot;/&gt;&lt;wsp:rsid wsp:val=&quot;00EF66EC&quot;/&gt;&lt;wsp:rsid wsp:val=&quot;00F20053&quot;/&gt;&lt;wsp:rsid wsp:val=&quot;00F4091B&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51561A&quot; wsp:rsidP=&quot;0051561A&quot;&gt;&lt;m:oMathPara&gt;&lt;m:oMath&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r&lt;/m:t&gt;&lt;/m:r&gt;&lt;/m:e&gt;&lt;m:sup&gt;&lt;m:r&gt;&lt;w:rPr&gt;&lt;w:rFonts w:ascii=&quot;Cambria Math&quot; w:fareast=&quot;MS PGothic&quot; w:h-ansi=&quot;Cambria Math&quot;/&gt;&lt;wx:font wx:val=&quot;Cambria Math&quot;/&gt;&lt;w:i/&gt;&lt;w:sz w:val=&quot;20&quot;/&gt;&lt;w:lang w:val=&quot;EN-AU&quot; w:fareast=&quot;JA&quot;/&gt;&lt;/w:rPr&gt;&lt;m:t&gt;'&lt;/m:t&gt;&lt;/m:r&gt;&lt;/m:sup&gt;&lt;/m:sSup&gt;&lt;m:d&gt;&lt;m:dPr&gt;&lt;m:ctrlPr&gt;&lt;w:rPr&gt;&lt;w:rFonts w:ascii=&quot;Cambria Math&quot; w:fareast=&quot;MS PGothic&quot; w:h-ansi=&quot;Cambria Math&quot;/&gt;&lt;wx:font wx:val=&quot;Cambria Math&quot;/&gt;&lt;w:i/&gt;&lt;w:sz w:val=&quot;20&quot;/&gt;&lt;w:lang w:val=&quot;EN-AU&quot; w:fareast=&quot;JA&quot;/&gt;&lt;/w:rPr&gt;&lt;/m:ctrlPr&gt;&lt;/m:dPr&gt;&lt;m:e&gt;&lt;m:r&gt;&lt;w:rPr&gt;&lt;w:rFonts w:ascii=&quot;Cambria Math&quot; w:fareast=&quot;MS PGothic&quot; w:h-ansi=&quot;Cambria Math&quot;/&gt;&lt;wx:font wx:val=&quot;Cambria Math&quot;/&gt;&lt;w:i/&gt;&lt;w:sz w:val=&quot;20&quot;/&gt;&lt;w:lang w:val=&quot;EN-AU&quot; w:fareast=&quot;JA&quot;/&gt;&lt;/w:rPr&gt;&lt;m:t&gt;d&lt;/m:t&gt;&lt;/m:r&gt;&lt;/m:e&gt;&lt;/m:d&gt;&lt;m:r&gt;&lt;w:rPr&gt;&lt;w:rFonts w:ascii=&quot;Cambria Math&quot; w:fareast=&quot;MS PGothic&quot; w:h-ansi=&quot;Cambria Math&quot;/&gt;&lt;wx:font wx:val=&quot;Cambria Math&quot;/&gt;&lt;w:i/&gt;&lt;w:sz w:val=&quot;20&quot;/&gt;&lt;w:lang w:val=&quot;EN-AU&quot; w:fareast=&quot;JA&quot;/&gt;&lt;/w:rPr&gt;&lt;m:t&gt;=-t'(d)/L&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211F4">
        <w:rPr>
          <w:rFonts w:ascii="Arial" w:hAnsi="Arial" w:cs="Arial"/>
          <w:bCs/>
          <w:sz w:val="22"/>
          <w:szCs w:val="22"/>
          <w:lang w:val="en-AU"/>
        </w:rPr>
        <w:fldChar w:fldCharType="end"/>
      </w:r>
      <w:r w:rsidRPr="00B211F4">
        <w:rPr>
          <w:rFonts w:ascii="Arial" w:hAnsi="Arial" w:cs="Arial"/>
          <w:bCs/>
          <w:sz w:val="22"/>
          <w:szCs w:val="22"/>
          <w:lang w:val="en-AU"/>
        </w:rPr>
        <w:t>. This implies in turn that rents fall with distance to the CBD. A corollary is that a reduction in transport costs will reduce the rate at which rents fall with distance.</w:t>
      </w:r>
      <w:r w:rsidR="007F702A">
        <w:rPr>
          <w:rFonts w:ascii="Arial" w:hAnsi="Arial" w:cs="Arial"/>
          <w:bCs/>
          <w:sz w:val="22"/>
          <w:szCs w:val="22"/>
          <w:lang w:val="en-AU"/>
        </w:rPr>
        <w:t xml:space="preserve"> </w:t>
      </w:r>
      <w:r w:rsidRPr="00B211F4">
        <w:rPr>
          <w:rFonts w:ascii="Arial" w:hAnsi="Arial" w:cs="Arial"/>
          <w:bCs/>
          <w:sz w:val="22"/>
          <w:szCs w:val="22"/>
          <w:lang w:val="en-AU"/>
        </w:rPr>
        <w:t xml:space="preserve">The spatial extent </w:t>
      </w:r>
      <w:r w:rsidRPr="00B211F4">
        <w:rPr>
          <w:rFonts w:ascii="Arial" w:hAnsi="Arial" w:cs="Arial"/>
          <w:bCs/>
          <w:sz w:val="22"/>
          <w:szCs w:val="22"/>
          <w:lang w:val="en-AU"/>
        </w:rPr>
        <w:lastRenderedPageBreak/>
        <w:t>of the city is determined by the point at which r(d) is equal to agricultural land rents r</w:t>
      </w:r>
      <w:r w:rsidRPr="00B211F4">
        <w:rPr>
          <w:rFonts w:ascii="Arial" w:hAnsi="Arial" w:cs="Arial"/>
          <w:bCs/>
          <w:sz w:val="22"/>
          <w:szCs w:val="22"/>
          <w:vertAlign w:val="subscript"/>
          <w:lang w:val="en-AU"/>
        </w:rPr>
        <w:t>a</w:t>
      </w:r>
      <w:r w:rsidRPr="00B211F4">
        <w:rPr>
          <w:rFonts w:ascii="Arial" w:hAnsi="Arial" w:cs="Arial"/>
          <w:bCs/>
          <w:sz w:val="22"/>
          <w:szCs w:val="22"/>
          <w:lang w:val="en-AU"/>
        </w:rPr>
        <w:t>. This also means that a reduction in transport costs will increase the spatial extent of the city.</w:t>
      </w:r>
    </w:p>
    <w:p w14:paraId="00A949A6" w14:textId="77777777" w:rsidR="00B211F4" w:rsidRPr="00B211F4" w:rsidRDefault="00B211F4" w:rsidP="00B211F4">
      <w:pPr>
        <w:outlineLvl w:val="0"/>
        <w:rPr>
          <w:rFonts w:ascii="Arial" w:hAnsi="Arial" w:cs="Arial"/>
          <w:bCs/>
          <w:sz w:val="22"/>
          <w:szCs w:val="22"/>
          <w:lang w:val="en-AU"/>
        </w:rPr>
      </w:pPr>
    </w:p>
    <w:p w14:paraId="797B0DEA" w14:textId="4C2684CD" w:rsidR="00B211F4" w:rsidRPr="00B211F4" w:rsidRDefault="007F702A" w:rsidP="00B211F4">
      <w:pPr>
        <w:outlineLvl w:val="0"/>
        <w:rPr>
          <w:rFonts w:ascii="Arial" w:hAnsi="Arial" w:cs="Arial"/>
          <w:bCs/>
          <w:sz w:val="22"/>
          <w:szCs w:val="22"/>
          <w:lang w:val="en-AU"/>
        </w:rPr>
      </w:pPr>
      <w:r>
        <w:rPr>
          <w:rFonts w:ascii="Arial" w:hAnsi="Arial" w:cs="Arial"/>
          <w:bCs/>
          <w:sz w:val="22"/>
          <w:szCs w:val="22"/>
          <w:lang w:val="en-AU"/>
        </w:rPr>
        <w:t>Two</w:t>
      </w:r>
      <w:r w:rsidR="00B211F4" w:rsidRPr="00B211F4">
        <w:rPr>
          <w:rFonts w:ascii="Arial" w:hAnsi="Arial" w:cs="Arial"/>
          <w:bCs/>
          <w:sz w:val="22"/>
          <w:szCs w:val="22"/>
          <w:lang w:val="en-AU"/>
        </w:rPr>
        <w:t xml:space="preserve"> variants of this model address interactions with the rest of the world </w:t>
      </w:r>
      <w:r>
        <w:rPr>
          <w:rFonts w:ascii="Arial" w:hAnsi="Arial" w:cs="Arial"/>
          <w:bCs/>
          <w:sz w:val="22"/>
          <w:szCs w:val="22"/>
          <w:lang w:val="en-AU"/>
        </w:rPr>
        <w:t>differently</w:t>
      </w:r>
      <w:r w:rsidR="00B211F4" w:rsidRPr="00B211F4">
        <w:rPr>
          <w:rFonts w:ascii="Arial" w:hAnsi="Arial" w:cs="Arial"/>
          <w:bCs/>
          <w:sz w:val="22"/>
          <w:szCs w:val="22"/>
          <w:lang w:val="en-AU"/>
        </w:rPr>
        <w:t>. In the ‘closed city’ variant, city size is fixed, meaning that reduced transport costs flow through into lower housing costs and higher levels of utility for city population. In the ‘open city’ variant, city size is not fixed, and reduced transport costs attract more people to live in the city, which in turn increases rents and leaves utility levels unchanged.</w:t>
      </w:r>
    </w:p>
    <w:p w14:paraId="00D1B516" w14:textId="77777777" w:rsidR="00B211F4" w:rsidRPr="00B211F4" w:rsidRDefault="00B211F4" w:rsidP="00B211F4">
      <w:pPr>
        <w:outlineLvl w:val="0"/>
        <w:rPr>
          <w:rFonts w:ascii="Arial" w:hAnsi="Arial" w:cs="Arial"/>
          <w:bCs/>
          <w:sz w:val="22"/>
          <w:szCs w:val="22"/>
          <w:lang w:val="en-AU"/>
        </w:rPr>
      </w:pPr>
    </w:p>
    <w:p w14:paraId="15542E08" w14:textId="4445941C"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 xml:space="preserve">The basic AMM model can be </w:t>
      </w:r>
      <w:r w:rsidR="007F702A">
        <w:rPr>
          <w:rFonts w:ascii="Arial" w:hAnsi="Arial" w:cs="Arial"/>
          <w:bCs/>
          <w:sz w:val="22"/>
          <w:szCs w:val="22"/>
          <w:lang w:val="en-AU"/>
        </w:rPr>
        <w:t>extended</w:t>
      </w:r>
      <w:r w:rsidRPr="00B211F4">
        <w:rPr>
          <w:rFonts w:ascii="Arial" w:hAnsi="Arial" w:cs="Arial"/>
          <w:bCs/>
          <w:sz w:val="22"/>
          <w:szCs w:val="22"/>
          <w:lang w:val="en-AU"/>
        </w:rPr>
        <w:t xml:space="preserve"> in various ways. Glaeser (2008) include</w:t>
      </w:r>
      <w:r w:rsidR="007F702A">
        <w:rPr>
          <w:rFonts w:ascii="Arial" w:hAnsi="Arial" w:cs="Arial"/>
          <w:bCs/>
          <w:sz w:val="22"/>
          <w:szCs w:val="22"/>
          <w:lang w:val="en-AU"/>
        </w:rPr>
        <w:t>s</w:t>
      </w:r>
      <w:r w:rsidRPr="00B211F4">
        <w:rPr>
          <w:rFonts w:ascii="Arial" w:hAnsi="Arial" w:cs="Arial"/>
          <w:bCs/>
          <w:sz w:val="22"/>
          <w:szCs w:val="22"/>
          <w:lang w:val="en-AU"/>
        </w:rPr>
        <w:t xml:space="preserve"> a housing development sector into the model, which allows population density to vary between locations. Kulish, Richards, and </w:t>
      </w:r>
      <w:r w:rsidR="00401E1B">
        <w:rPr>
          <w:rFonts w:ascii="Arial" w:hAnsi="Arial" w:cs="Arial"/>
          <w:bCs/>
          <w:sz w:val="22"/>
          <w:szCs w:val="22"/>
          <w:lang w:val="en-AU"/>
        </w:rPr>
        <w:t>Gillitzer (2011) and Lees (2014</w:t>
      </w:r>
      <w:r w:rsidRPr="00B211F4">
        <w:rPr>
          <w:rFonts w:ascii="Arial" w:hAnsi="Arial" w:cs="Arial"/>
          <w:bCs/>
          <w:sz w:val="22"/>
          <w:szCs w:val="22"/>
          <w:lang w:val="en-AU"/>
        </w:rPr>
        <w:t>) use this model to assess the impact of different planning policies, such as restrictions on building height or urban growth b</w:t>
      </w:r>
      <w:r w:rsidR="007F702A">
        <w:rPr>
          <w:rFonts w:ascii="Arial" w:hAnsi="Arial" w:cs="Arial"/>
          <w:bCs/>
          <w:sz w:val="22"/>
          <w:szCs w:val="22"/>
          <w:lang w:val="en-AU"/>
        </w:rPr>
        <w:t xml:space="preserve">oundaries that limit city size. </w:t>
      </w:r>
      <w:r w:rsidRPr="00B211F4">
        <w:rPr>
          <w:rFonts w:ascii="Arial" w:hAnsi="Arial" w:cs="Arial"/>
          <w:bCs/>
          <w:sz w:val="22"/>
          <w:szCs w:val="22"/>
          <w:lang w:val="en-AU"/>
        </w:rPr>
        <w:t>Venables (2017) expands the AMM model to account for trade between multiple cities and local production sectors that enjoy local agglomeration economies and which can specialise in specific tasks. He uses this model to understand potential wider economic benefits of transport improvements that reduce commuting costs within cities or reduce transport costs between cities. Haz</w:t>
      </w:r>
      <w:r w:rsidR="00651EF7">
        <w:rPr>
          <w:rFonts w:ascii="Arial" w:hAnsi="Arial" w:cs="Arial"/>
          <w:bCs/>
          <w:sz w:val="22"/>
          <w:szCs w:val="22"/>
          <w:lang w:val="en-AU"/>
        </w:rPr>
        <w:t xml:space="preserve">ledine, Donovan and Mak </w:t>
      </w:r>
      <w:r w:rsidRPr="00B211F4">
        <w:rPr>
          <w:rFonts w:ascii="Arial" w:hAnsi="Arial" w:cs="Arial"/>
          <w:bCs/>
          <w:sz w:val="22"/>
          <w:szCs w:val="22"/>
          <w:lang w:val="en-AU"/>
        </w:rPr>
        <w:t>(201</w:t>
      </w:r>
      <w:r w:rsidR="00651EF7">
        <w:rPr>
          <w:rFonts w:ascii="Arial" w:hAnsi="Arial" w:cs="Arial"/>
          <w:bCs/>
          <w:sz w:val="22"/>
          <w:szCs w:val="22"/>
          <w:lang w:val="en-AU"/>
        </w:rPr>
        <w:t>7</w:t>
      </w:r>
      <w:r w:rsidRPr="00B211F4">
        <w:rPr>
          <w:rFonts w:ascii="Arial" w:hAnsi="Arial" w:cs="Arial"/>
          <w:bCs/>
          <w:sz w:val="22"/>
          <w:szCs w:val="22"/>
          <w:lang w:val="en-AU"/>
        </w:rPr>
        <w:t xml:space="preserve">) use a variant of </w:t>
      </w:r>
      <w:r w:rsidR="00C0356B">
        <w:rPr>
          <w:rFonts w:ascii="Arial" w:hAnsi="Arial" w:cs="Arial"/>
          <w:bCs/>
          <w:sz w:val="22"/>
          <w:szCs w:val="22"/>
          <w:lang w:val="en-AU"/>
        </w:rPr>
        <w:t>Venables’</w:t>
      </w:r>
      <w:r w:rsidRPr="00B211F4">
        <w:rPr>
          <w:rFonts w:ascii="Arial" w:hAnsi="Arial" w:cs="Arial"/>
          <w:bCs/>
          <w:sz w:val="22"/>
          <w:szCs w:val="22"/>
          <w:lang w:val="en-AU"/>
        </w:rPr>
        <w:t xml:space="preserve"> approach to analyse wider economic benefits from reductions in commuting costs to central business districts. </w:t>
      </w:r>
    </w:p>
    <w:p w14:paraId="5976AC57" w14:textId="77777777" w:rsidR="00B211F4" w:rsidRPr="00B211F4" w:rsidRDefault="00B211F4" w:rsidP="00B211F4">
      <w:pPr>
        <w:outlineLvl w:val="0"/>
        <w:rPr>
          <w:rFonts w:ascii="Arial" w:hAnsi="Arial" w:cs="Arial"/>
          <w:bCs/>
          <w:sz w:val="22"/>
          <w:szCs w:val="22"/>
          <w:lang w:val="en-AU"/>
        </w:rPr>
      </w:pPr>
    </w:p>
    <w:p w14:paraId="7AEF94B3" w14:textId="13A8BC0F"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Anas and Xu (1999) and Lucas and Rossi-Hansberg (2002) generalise the AMM model to account for the fact that jobs can locate outside of the CBD. They make different assumptions about the production sector and household utility. Anas and Xu assume that firms located in different places each produce a unique good, and that consumers live in one location and travel to all other locations a non-zero number of times to sample the goods in all locations. Consumers have idiosyncratic tastes, meaning that different people will exhibit different travel patterns. By contrast, Lucas and Rossi-Hansberg model a production sector that produces a single undifferentiated product but which enjoys agglomeration economies, ie firms are more productive when they locate near larger concentrations of other firms.</w:t>
      </w:r>
    </w:p>
    <w:p w14:paraId="6196435A" w14:textId="77777777" w:rsidR="00B211F4" w:rsidRPr="00B211F4" w:rsidRDefault="00B211F4" w:rsidP="00B211F4">
      <w:pPr>
        <w:outlineLvl w:val="0"/>
        <w:rPr>
          <w:rFonts w:ascii="Arial" w:hAnsi="Arial" w:cs="Arial"/>
          <w:bCs/>
          <w:sz w:val="22"/>
          <w:szCs w:val="22"/>
          <w:lang w:val="en-AU"/>
        </w:rPr>
      </w:pPr>
    </w:p>
    <w:p w14:paraId="69C83CD7" w14:textId="7E911A72" w:rsidR="00B211F4" w:rsidRPr="00683CB5" w:rsidRDefault="00B211F4" w:rsidP="00B211F4">
      <w:pPr>
        <w:numPr>
          <w:ilvl w:val="1"/>
          <w:numId w:val="6"/>
        </w:numPr>
        <w:outlineLvl w:val="0"/>
        <w:rPr>
          <w:rFonts w:ascii="Arial" w:hAnsi="Arial" w:cs="Arial"/>
          <w:b/>
          <w:bCs/>
          <w:i/>
          <w:iCs/>
          <w:sz w:val="22"/>
          <w:szCs w:val="22"/>
          <w:lang w:val="en-AU"/>
        </w:rPr>
      </w:pPr>
      <w:r w:rsidRPr="00C0356B">
        <w:rPr>
          <w:rFonts w:ascii="Arial" w:hAnsi="Arial" w:cs="Arial"/>
          <w:b/>
          <w:bCs/>
          <w:i/>
          <w:iCs/>
          <w:sz w:val="22"/>
          <w:szCs w:val="22"/>
          <w:lang w:val="en-AU"/>
        </w:rPr>
        <w:t>Spatial equilibrium models</w:t>
      </w:r>
    </w:p>
    <w:p w14:paraId="41D3062E" w14:textId="72ED7FFF"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 xml:space="preserve">Spatial equilibrium models are calibrated off observed data on people’s choice of home and work location, in particular commuting flow data. </w:t>
      </w:r>
      <w:r w:rsidR="007F702A">
        <w:rPr>
          <w:rFonts w:ascii="Arial" w:hAnsi="Arial" w:cs="Arial"/>
          <w:bCs/>
          <w:sz w:val="22"/>
          <w:szCs w:val="22"/>
          <w:lang w:val="en-AU"/>
        </w:rPr>
        <w:t>P</w:t>
      </w:r>
      <w:r w:rsidRPr="00B211F4">
        <w:rPr>
          <w:rFonts w:ascii="Arial" w:hAnsi="Arial" w:cs="Arial"/>
          <w:bCs/>
          <w:sz w:val="22"/>
          <w:szCs w:val="22"/>
          <w:lang w:val="en-AU"/>
        </w:rPr>
        <w:t>eople are assumed to choose home and work locations to maximise their utility, taking into account job opportunities (and other amenities) available at destinations, housing options (and other amenities) at home locations, and the cost of travelling between these locations. Observed commuting flows are assumed to represent a spatial equilibrium outcome, in which everybody has chosen the location that works best for them.</w:t>
      </w:r>
    </w:p>
    <w:p w14:paraId="57A0F923" w14:textId="77777777" w:rsidR="00B211F4" w:rsidRPr="00B211F4" w:rsidRDefault="00B211F4" w:rsidP="00B211F4">
      <w:pPr>
        <w:outlineLvl w:val="0"/>
        <w:rPr>
          <w:rFonts w:ascii="Arial" w:hAnsi="Arial" w:cs="Arial"/>
          <w:bCs/>
          <w:sz w:val="22"/>
          <w:szCs w:val="22"/>
          <w:lang w:val="en-AU"/>
        </w:rPr>
      </w:pPr>
    </w:p>
    <w:p w14:paraId="5582992B" w14:textId="0D19ECF6"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 xml:space="preserve">These models can be used to analyse how changes to transport costs or the availability of transport infrastructure can affect the equilibrium distribution of population and employment. They can also be used to estimate the net welfare impacts of transport improvements, taking into account the potential for land use changes. However, </w:t>
      </w:r>
      <w:r w:rsidR="00C0356B">
        <w:rPr>
          <w:rFonts w:ascii="Arial" w:hAnsi="Arial" w:cs="Arial"/>
          <w:bCs/>
          <w:sz w:val="22"/>
          <w:szCs w:val="22"/>
          <w:lang w:val="en-AU"/>
        </w:rPr>
        <w:t>it is necessary to run them iteratively with transport models to</w:t>
      </w:r>
      <w:r w:rsidRPr="00B211F4">
        <w:rPr>
          <w:rFonts w:ascii="Arial" w:hAnsi="Arial" w:cs="Arial"/>
          <w:bCs/>
          <w:sz w:val="22"/>
          <w:szCs w:val="22"/>
          <w:lang w:val="en-AU"/>
        </w:rPr>
        <w:t xml:space="preserve"> capture feedback </w:t>
      </w:r>
      <w:r w:rsidR="00C0356B">
        <w:rPr>
          <w:rFonts w:ascii="Arial" w:hAnsi="Arial" w:cs="Arial"/>
          <w:bCs/>
          <w:sz w:val="22"/>
          <w:szCs w:val="22"/>
          <w:lang w:val="en-AU"/>
        </w:rPr>
        <w:t>between increased</w:t>
      </w:r>
      <w:r w:rsidRPr="00B211F4">
        <w:rPr>
          <w:rFonts w:ascii="Arial" w:hAnsi="Arial" w:cs="Arial"/>
          <w:bCs/>
          <w:sz w:val="22"/>
          <w:szCs w:val="22"/>
          <w:lang w:val="en-AU"/>
        </w:rPr>
        <w:t xml:space="preserve"> commuting flows </w:t>
      </w:r>
      <w:r w:rsidR="00C0356B">
        <w:rPr>
          <w:rFonts w:ascii="Arial" w:hAnsi="Arial" w:cs="Arial"/>
          <w:bCs/>
          <w:sz w:val="22"/>
          <w:szCs w:val="22"/>
          <w:lang w:val="en-AU"/>
        </w:rPr>
        <w:t>and</w:t>
      </w:r>
      <w:r w:rsidRPr="00B211F4">
        <w:rPr>
          <w:rFonts w:ascii="Arial" w:hAnsi="Arial" w:cs="Arial"/>
          <w:bCs/>
          <w:sz w:val="22"/>
          <w:szCs w:val="22"/>
          <w:lang w:val="en-AU"/>
        </w:rPr>
        <w:t xml:space="preserve"> traffic congestion.</w:t>
      </w:r>
    </w:p>
    <w:p w14:paraId="0E3ADE37" w14:textId="77777777" w:rsidR="00B211F4" w:rsidRPr="00B211F4" w:rsidRDefault="00B211F4" w:rsidP="00B211F4">
      <w:pPr>
        <w:outlineLvl w:val="0"/>
        <w:rPr>
          <w:rFonts w:ascii="Arial" w:hAnsi="Arial" w:cs="Arial"/>
          <w:bCs/>
          <w:sz w:val="22"/>
          <w:szCs w:val="22"/>
          <w:lang w:val="en-AU"/>
        </w:rPr>
      </w:pPr>
    </w:p>
    <w:p w14:paraId="430067D2" w14:textId="794CF993"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Several recent papers illustrate the estimation and application of spatial equilibrium models.</w:t>
      </w:r>
      <w:r w:rsidR="007F702A">
        <w:rPr>
          <w:rFonts w:ascii="Arial" w:hAnsi="Arial" w:cs="Arial"/>
          <w:bCs/>
          <w:sz w:val="22"/>
          <w:szCs w:val="22"/>
          <w:lang w:val="en-AU"/>
        </w:rPr>
        <w:t xml:space="preserve"> </w:t>
      </w:r>
      <w:r w:rsidRPr="00B211F4">
        <w:rPr>
          <w:rFonts w:ascii="Arial" w:hAnsi="Arial" w:cs="Arial"/>
          <w:bCs/>
          <w:sz w:val="22"/>
          <w:szCs w:val="22"/>
          <w:lang w:val="en-AU"/>
        </w:rPr>
        <w:t xml:space="preserve">Mulalic, Pilegaard and Rouwendal (2015) estimate a discrete choice model of working households’ choice of residential location and car ownership using Danish administrative data. This model accounts for the impact of access to jobs by car and public transport on </w:t>
      </w:r>
      <w:r w:rsidR="007F702A">
        <w:rPr>
          <w:rFonts w:ascii="Arial" w:hAnsi="Arial" w:cs="Arial"/>
          <w:bCs/>
          <w:sz w:val="22"/>
          <w:szCs w:val="22"/>
          <w:lang w:val="en-AU"/>
        </w:rPr>
        <w:t xml:space="preserve">households’ choice of residential </w:t>
      </w:r>
      <w:r w:rsidRPr="00B211F4">
        <w:rPr>
          <w:rFonts w:ascii="Arial" w:hAnsi="Arial" w:cs="Arial"/>
          <w:bCs/>
          <w:sz w:val="22"/>
          <w:szCs w:val="22"/>
          <w:lang w:val="en-AU"/>
        </w:rPr>
        <w:t>location and car ownership. They use it to estimate the impact of the Copenhagen metro expansion on land use and car ownership outcomes</w:t>
      </w:r>
      <w:r w:rsidR="007F702A">
        <w:rPr>
          <w:rFonts w:ascii="Arial" w:hAnsi="Arial" w:cs="Arial"/>
          <w:bCs/>
          <w:sz w:val="22"/>
          <w:szCs w:val="22"/>
          <w:lang w:val="en-AU"/>
        </w:rPr>
        <w:t>.</w:t>
      </w:r>
    </w:p>
    <w:p w14:paraId="019BCBF8" w14:textId="77777777" w:rsidR="00B211F4" w:rsidRPr="00B211F4" w:rsidRDefault="00B211F4" w:rsidP="00B211F4">
      <w:pPr>
        <w:outlineLvl w:val="0"/>
        <w:rPr>
          <w:rFonts w:ascii="Arial" w:hAnsi="Arial" w:cs="Arial"/>
          <w:bCs/>
          <w:sz w:val="22"/>
          <w:szCs w:val="22"/>
          <w:lang w:val="en-AU"/>
        </w:rPr>
      </w:pPr>
    </w:p>
    <w:p w14:paraId="50EC930E" w14:textId="77777777"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Mulalic et al observe that the net outcomes for residential population changes depend upon the elasticity of housing supply, and model two alternative scenarios. In the first, an arbitrarily large quantity of new housing can be supplied at the same cost as existing housing, and hence everyone can relocate freely. In the second, housing supply is totally inelastic, and hence relative house prices must adjust to fully offset any increases in the attractiveness of some areas. They find that welfare gains tend to be lower in the latter scenario.</w:t>
      </w:r>
    </w:p>
    <w:p w14:paraId="1ED24F24" w14:textId="77777777" w:rsidR="00B211F4" w:rsidRPr="00B211F4" w:rsidRDefault="00B211F4" w:rsidP="00B211F4">
      <w:pPr>
        <w:outlineLvl w:val="0"/>
        <w:rPr>
          <w:rFonts w:ascii="Arial" w:hAnsi="Arial" w:cs="Arial"/>
          <w:bCs/>
          <w:sz w:val="22"/>
          <w:szCs w:val="22"/>
          <w:lang w:val="en-AU"/>
        </w:rPr>
      </w:pPr>
    </w:p>
    <w:p w14:paraId="0532C8DC" w14:textId="48209F16"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 xml:space="preserve">Brinkman (2016) calibrates a spatial equilibrium model of Columbus, Ohio using land price data </w:t>
      </w:r>
      <w:r w:rsidR="007F702A">
        <w:rPr>
          <w:rFonts w:ascii="Arial" w:hAnsi="Arial" w:cs="Arial"/>
          <w:bCs/>
          <w:sz w:val="22"/>
          <w:szCs w:val="22"/>
          <w:lang w:val="en-AU"/>
        </w:rPr>
        <w:t>and</w:t>
      </w:r>
      <w:r w:rsidRPr="00B211F4">
        <w:rPr>
          <w:rFonts w:ascii="Arial" w:hAnsi="Arial" w:cs="Arial"/>
          <w:bCs/>
          <w:sz w:val="22"/>
          <w:szCs w:val="22"/>
          <w:lang w:val="en-AU"/>
        </w:rPr>
        <w:t xml:space="preserve"> Census employment, population and commuting data. This model is closely related </w:t>
      </w:r>
      <w:r w:rsidR="007F702A">
        <w:rPr>
          <w:rFonts w:ascii="Arial" w:hAnsi="Arial" w:cs="Arial"/>
          <w:bCs/>
          <w:sz w:val="22"/>
          <w:szCs w:val="22"/>
          <w:lang w:val="en-AU"/>
        </w:rPr>
        <w:t>to</w:t>
      </w:r>
      <w:r w:rsidRPr="00B211F4">
        <w:rPr>
          <w:rFonts w:ascii="Arial" w:hAnsi="Arial" w:cs="Arial"/>
          <w:bCs/>
          <w:sz w:val="22"/>
          <w:szCs w:val="22"/>
          <w:lang w:val="en-AU"/>
        </w:rPr>
        <w:t xml:space="preserve"> Lucas and Rossi-Hansberg (2002), </w:t>
      </w:r>
      <w:r w:rsidR="007F702A">
        <w:rPr>
          <w:rFonts w:ascii="Arial" w:hAnsi="Arial" w:cs="Arial"/>
          <w:bCs/>
          <w:sz w:val="22"/>
          <w:szCs w:val="22"/>
          <w:lang w:val="en-AU"/>
        </w:rPr>
        <w:t>but</w:t>
      </w:r>
      <w:r w:rsidRPr="00B211F4">
        <w:rPr>
          <w:rFonts w:ascii="Arial" w:hAnsi="Arial" w:cs="Arial"/>
          <w:bCs/>
          <w:sz w:val="22"/>
          <w:szCs w:val="22"/>
          <w:lang w:val="en-AU"/>
        </w:rPr>
        <w:t xml:space="preserve"> includes both congestion and agglomeration externalities. Brinkman </w:t>
      </w:r>
      <w:r w:rsidR="007F702A">
        <w:rPr>
          <w:rFonts w:ascii="Arial" w:hAnsi="Arial" w:cs="Arial"/>
          <w:bCs/>
          <w:sz w:val="22"/>
          <w:szCs w:val="22"/>
          <w:lang w:val="en-AU"/>
        </w:rPr>
        <w:t>simulates</w:t>
      </w:r>
      <w:r w:rsidRPr="00B211F4">
        <w:rPr>
          <w:rFonts w:ascii="Arial" w:hAnsi="Arial" w:cs="Arial"/>
          <w:bCs/>
          <w:sz w:val="22"/>
          <w:szCs w:val="22"/>
          <w:lang w:val="en-AU"/>
        </w:rPr>
        <w:t xml:space="preserve"> the impact of a congestion toll on equilibrium land use, land prices, and net economic outcomes, finding that </w:t>
      </w:r>
      <w:r w:rsidR="007F702A">
        <w:rPr>
          <w:rFonts w:ascii="Arial" w:hAnsi="Arial" w:cs="Arial"/>
          <w:bCs/>
          <w:sz w:val="22"/>
          <w:szCs w:val="22"/>
          <w:lang w:val="en-AU"/>
        </w:rPr>
        <w:t>foregone</w:t>
      </w:r>
      <w:r w:rsidRPr="00B211F4">
        <w:rPr>
          <w:rFonts w:ascii="Arial" w:hAnsi="Arial" w:cs="Arial"/>
          <w:bCs/>
          <w:sz w:val="22"/>
          <w:szCs w:val="22"/>
          <w:lang w:val="en-AU"/>
        </w:rPr>
        <w:t xml:space="preserve"> agglomeration benefits offsets </w:t>
      </w:r>
      <w:r w:rsidR="007F702A">
        <w:rPr>
          <w:rFonts w:ascii="Arial" w:hAnsi="Arial" w:cs="Arial"/>
          <w:bCs/>
          <w:sz w:val="22"/>
          <w:szCs w:val="22"/>
          <w:lang w:val="en-AU"/>
        </w:rPr>
        <w:t>decongestion benefits</w:t>
      </w:r>
      <w:r w:rsidRPr="00B211F4">
        <w:rPr>
          <w:rFonts w:ascii="Arial" w:hAnsi="Arial" w:cs="Arial"/>
          <w:bCs/>
          <w:sz w:val="22"/>
          <w:szCs w:val="22"/>
          <w:lang w:val="en-AU"/>
        </w:rPr>
        <w:t>.</w:t>
      </w:r>
    </w:p>
    <w:p w14:paraId="08505CEB" w14:textId="77777777" w:rsidR="00B211F4" w:rsidRPr="00B211F4" w:rsidRDefault="00B211F4" w:rsidP="00B211F4">
      <w:pPr>
        <w:outlineLvl w:val="0"/>
        <w:rPr>
          <w:rFonts w:ascii="Arial" w:hAnsi="Arial" w:cs="Arial"/>
          <w:bCs/>
          <w:sz w:val="22"/>
          <w:szCs w:val="22"/>
          <w:lang w:val="en-AU"/>
        </w:rPr>
      </w:pPr>
    </w:p>
    <w:p w14:paraId="68D45657" w14:textId="7693E16B"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 xml:space="preserve">Donovan (2017) estimates a spatial equilibrium model using commuting flow data between suburbs in Brisbane, Australia, focusing on the impact of walking and cycling time on people’s location choices. He finds that a one-minute saving on a 15-minute journey causes a 3-6 percent increase in commuting flows between affected locations. Nunns (2019) undertakes a similar analysis using commuting flow data for Auckland and Wellington, focusing on the impact of public transport journey times. </w:t>
      </w:r>
      <w:r w:rsidR="007F702A">
        <w:rPr>
          <w:rFonts w:ascii="Arial" w:hAnsi="Arial" w:cs="Arial"/>
          <w:bCs/>
          <w:sz w:val="22"/>
          <w:szCs w:val="22"/>
          <w:lang w:val="en-AU"/>
        </w:rPr>
        <w:t xml:space="preserve">Both </w:t>
      </w:r>
      <w:r w:rsidRPr="00B211F4">
        <w:rPr>
          <w:rFonts w:ascii="Arial" w:hAnsi="Arial" w:cs="Arial"/>
          <w:bCs/>
          <w:sz w:val="22"/>
          <w:szCs w:val="22"/>
          <w:lang w:val="en-AU"/>
        </w:rPr>
        <w:t>papers account for amenities at home and work locations using suburb- or area-specific fixed effects that capture the impact of local amenities, wages, and house prices and which do not change if people’s location choices change. This is equivalent to the assumption, stated explicitly by Mulalic et al (2015), that housing supply is infinitely elastic.</w:t>
      </w:r>
    </w:p>
    <w:p w14:paraId="350146D6" w14:textId="77777777" w:rsidR="00B211F4" w:rsidRPr="00B211F4" w:rsidRDefault="00B211F4" w:rsidP="00B211F4">
      <w:pPr>
        <w:outlineLvl w:val="0"/>
        <w:rPr>
          <w:rFonts w:ascii="Arial" w:hAnsi="Arial" w:cs="Arial"/>
          <w:bCs/>
          <w:sz w:val="22"/>
          <w:szCs w:val="22"/>
          <w:lang w:val="en-AU"/>
        </w:rPr>
      </w:pPr>
    </w:p>
    <w:p w14:paraId="0D07438E" w14:textId="369271FD"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 xml:space="preserve">Teulings, Ossokina and de Groot (2018) estimate a system of equations that defines equilibrium outcomes residential and work location and commuting mode, using household travel survey data, worker microdata, and house sales data for Amsterdam, Netherlands. They use </w:t>
      </w:r>
      <w:r w:rsidR="007F702A">
        <w:rPr>
          <w:rFonts w:ascii="Arial" w:hAnsi="Arial" w:cs="Arial"/>
          <w:bCs/>
          <w:sz w:val="22"/>
          <w:szCs w:val="22"/>
          <w:lang w:val="en-AU"/>
        </w:rPr>
        <w:t>the</w:t>
      </w:r>
      <w:r w:rsidRPr="00B211F4">
        <w:rPr>
          <w:rFonts w:ascii="Arial" w:hAnsi="Arial" w:cs="Arial"/>
          <w:bCs/>
          <w:sz w:val="22"/>
          <w:szCs w:val="22"/>
          <w:lang w:val="en-AU"/>
        </w:rPr>
        <w:t xml:space="preserve"> model to estimate the impact of rail tunnels that connect Amsterdam </w:t>
      </w:r>
      <w:r w:rsidR="003402A4">
        <w:rPr>
          <w:rFonts w:ascii="Arial" w:hAnsi="Arial" w:cs="Arial"/>
          <w:bCs/>
          <w:sz w:val="22"/>
          <w:szCs w:val="22"/>
          <w:lang w:val="en-AU"/>
        </w:rPr>
        <w:t>and its northern suburbs</w:t>
      </w:r>
      <w:r w:rsidRPr="00B211F4">
        <w:rPr>
          <w:rFonts w:ascii="Arial" w:hAnsi="Arial" w:cs="Arial"/>
          <w:bCs/>
          <w:sz w:val="22"/>
          <w:szCs w:val="22"/>
          <w:lang w:val="en-AU"/>
        </w:rPr>
        <w:t xml:space="preserve"> on location choices and welfare for workers with different education levels. They find that the rail tunnels have the largest benefits for high skilled individuals, as they have the highest preference for commuting by train and the most to gain from being able to commute to jobs in central Amsterdam.</w:t>
      </w:r>
    </w:p>
    <w:p w14:paraId="6AB760D2" w14:textId="77777777" w:rsidR="00B211F4" w:rsidRPr="00B211F4" w:rsidRDefault="00B211F4" w:rsidP="00B211F4">
      <w:pPr>
        <w:outlineLvl w:val="0"/>
        <w:rPr>
          <w:rFonts w:ascii="Arial" w:hAnsi="Arial" w:cs="Arial"/>
          <w:bCs/>
          <w:sz w:val="22"/>
          <w:szCs w:val="22"/>
          <w:lang w:val="en-AU"/>
        </w:rPr>
      </w:pPr>
    </w:p>
    <w:p w14:paraId="180A4803" w14:textId="2B2BD0FA" w:rsidR="00B211F4" w:rsidRPr="00B211F4" w:rsidRDefault="00B211F4" w:rsidP="00B211F4">
      <w:pPr>
        <w:outlineLvl w:val="0"/>
        <w:rPr>
          <w:rFonts w:ascii="Arial" w:hAnsi="Arial" w:cs="Arial"/>
          <w:bCs/>
          <w:i/>
          <w:sz w:val="22"/>
          <w:szCs w:val="22"/>
          <w:lang w:val="en-AU"/>
        </w:rPr>
      </w:pPr>
      <w:r w:rsidRPr="00B211F4">
        <w:rPr>
          <w:rFonts w:ascii="Arial" w:hAnsi="Arial" w:cs="Arial"/>
          <w:bCs/>
          <w:sz w:val="22"/>
          <w:szCs w:val="22"/>
          <w:lang w:val="en-AU"/>
        </w:rPr>
        <w:t xml:space="preserve">Land rents and housing supply also adjust. There is a fixed supply of land in each location, but it can be (re)developed flexibly at any density to meet demand. Housing developers are perfectly competitive and can build additional housing under constant returns to scale, while competition among landowners results in a price that equates demand for land in each location with the available supply. </w:t>
      </w:r>
      <w:r w:rsidR="007F702A">
        <w:rPr>
          <w:rFonts w:ascii="Arial" w:hAnsi="Arial" w:cs="Arial"/>
          <w:bCs/>
          <w:sz w:val="22"/>
          <w:szCs w:val="22"/>
          <w:lang w:val="en-AU"/>
        </w:rPr>
        <w:t>The</w:t>
      </w:r>
      <w:r w:rsidRPr="00B211F4">
        <w:rPr>
          <w:rFonts w:ascii="Arial" w:hAnsi="Arial" w:cs="Arial"/>
          <w:bCs/>
          <w:sz w:val="22"/>
          <w:szCs w:val="22"/>
          <w:lang w:val="en-AU"/>
        </w:rPr>
        <w:t xml:space="preserve"> result is that the price of housing is equal to the cost of production.</w:t>
      </w:r>
    </w:p>
    <w:p w14:paraId="5D7947E5" w14:textId="77777777" w:rsidR="00B211F4" w:rsidRPr="00B211F4" w:rsidRDefault="00B211F4" w:rsidP="00B211F4">
      <w:pPr>
        <w:outlineLvl w:val="0"/>
        <w:rPr>
          <w:rFonts w:ascii="Arial" w:hAnsi="Arial" w:cs="Arial"/>
          <w:bCs/>
          <w:sz w:val="22"/>
          <w:szCs w:val="22"/>
          <w:lang w:val="en-AU"/>
        </w:rPr>
      </w:pPr>
    </w:p>
    <w:p w14:paraId="10C80DDC" w14:textId="7A1E1FF3"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 xml:space="preserve">Severn (2019) estimates a spatial equilibrium model of residential and employment location using 1990 and 2000 commuting flow data between Census tracts for Los Angeles, California. He </w:t>
      </w:r>
      <w:r w:rsidR="007F702A">
        <w:rPr>
          <w:rFonts w:ascii="Arial" w:hAnsi="Arial" w:cs="Arial"/>
          <w:bCs/>
          <w:sz w:val="22"/>
          <w:szCs w:val="22"/>
          <w:lang w:val="en-AU"/>
        </w:rPr>
        <w:t>then calculates</w:t>
      </w:r>
      <w:r w:rsidRPr="00B211F4">
        <w:rPr>
          <w:rFonts w:ascii="Arial" w:hAnsi="Arial" w:cs="Arial"/>
          <w:bCs/>
          <w:sz w:val="22"/>
          <w:szCs w:val="22"/>
          <w:lang w:val="en-AU"/>
        </w:rPr>
        <w:t xml:space="preserve"> the annual consumer welfare benefits of the Los Angeles</w:t>
      </w:r>
      <w:r w:rsidR="007F702A">
        <w:rPr>
          <w:rFonts w:ascii="Arial" w:hAnsi="Arial" w:cs="Arial"/>
          <w:bCs/>
          <w:sz w:val="22"/>
          <w:szCs w:val="22"/>
          <w:lang w:val="en-AU"/>
        </w:rPr>
        <w:t xml:space="preserve"> Metro, taking into account </w:t>
      </w:r>
      <w:r w:rsidRPr="00B211F4">
        <w:rPr>
          <w:rFonts w:ascii="Arial" w:hAnsi="Arial" w:cs="Arial"/>
          <w:bCs/>
          <w:sz w:val="22"/>
          <w:szCs w:val="22"/>
          <w:lang w:val="en-AU"/>
        </w:rPr>
        <w:t xml:space="preserve">changes </w:t>
      </w:r>
      <w:r w:rsidR="007F702A">
        <w:rPr>
          <w:rFonts w:ascii="Arial" w:hAnsi="Arial" w:cs="Arial"/>
          <w:bCs/>
          <w:sz w:val="22"/>
          <w:szCs w:val="22"/>
          <w:lang w:val="en-AU"/>
        </w:rPr>
        <w:t>in</w:t>
      </w:r>
      <w:r w:rsidRPr="00B211F4">
        <w:rPr>
          <w:rFonts w:ascii="Arial" w:hAnsi="Arial" w:cs="Arial"/>
          <w:bCs/>
          <w:sz w:val="22"/>
          <w:szCs w:val="22"/>
          <w:lang w:val="en-AU"/>
        </w:rPr>
        <w:t xml:space="preserve"> location choices. He estimates welfare impacts under either a ‘closed city’ or ‘open city’ assumption, as in the Alonso-Muth-Mills model. In the former scenario, Los Angeles residents’ welfare increases, and in the latter, utility levels are equalised but city population increases. </w:t>
      </w:r>
    </w:p>
    <w:p w14:paraId="65C87973" w14:textId="77777777" w:rsidR="00B211F4" w:rsidRPr="00B211F4" w:rsidRDefault="00B211F4" w:rsidP="00B211F4">
      <w:pPr>
        <w:outlineLvl w:val="0"/>
        <w:rPr>
          <w:rFonts w:ascii="Arial" w:hAnsi="Arial" w:cs="Arial"/>
          <w:bCs/>
          <w:sz w:val="22"/>
          <w:szCs w:val="22"/>
          <w:lang w:val="en-AU"/>
        </w:rPr>
      </w:pPr>
    </w:p>
    <w:p w14:paraId="56E82A63" w14:textId="719D700E" w:rsidR="00B211F4" w:rsidRPr="00B211F4" w:rsidRDefault="00B211F4" w:rsidP="00B211F4">
      <w:pPr>
        <w:outlineLvl w:val="0"/>
        <w:rPr>
          <w:rFonts w:ascii="Arial" w:hAnsi="Arial" w:cs="Arial"/>
          <w:bCs/>
          <w:sz w:val="22"/>
          <w:szCs w:val="22"/>
          <w:lang w:val="en-AU"/>
        </w:rPr>
      </w:pPr>
      <w:r w:rsidRPr="00B211F4">
        <w:rPr>
          <w:rFonts w:ascii="Arial" w:hAnsi="Arial" w:cs="Arial"/>
          <w:bCs/>
          <w:sz w:val="22"/>
          <w:szCs w:val="22"/>
          <w:lang w:val="en-AU"/>
        </w:rPr>
        <w:t>In Severn’s model, housing develo</w:t>
      </w:r>
      <w:r w:rsidR="003402A4">
        <w:rPr>
          <w:rFonts w:ascii="Arial" w:hAnsi="Arial" w:cs="Arial"/>
          <w:bCs/>
          <w:sz w:val="22"/>
          <w:szCs w:val="22"/>
          <w:lang w:val="en-AU"/>
        </w:rPr>
        <w:t xml:space="preserve">pers are perfectly competitive, </w:t>
      </w:r>
      <w:r w:rsidRPr="00B211F4">
        <w:rPr>
          <w:rFonts w:ascii="Arial" w:hAnsi="Arial" w:cs="Arial"/>
          <w:bCs/>
          <w:sz w:val="22"/>
          <w:szCs w:val="22"/>
          <w:lang w:val="en-AU"/>
        </w:rPr>
        <w:t>ie selli</w:t>
      </w:r>
      <w:r w:rsidR="003402A4">
        <w:rPr>
          <w:rFonts w:ascii="Arial" w:hAnsi="Arial" w:cs="Arial"/>
          <w:bCs/>
          <w:sz w:val="22"/>
          <w:szCs w:val="22"/>
          <w:lang w:val="en-AU"/>
        </w:rPr>
        <w:t>ng new housing at marginal cost, but the price of land at each location is affected by</w:t>
      </w:r>
      <w:r w:rsidRPr="00B211F4">
        <w:rPr>
          <w:rFonts w:ascii="Arial" w:hAnsi="Arial" w:cs="Arial"/>
          <w:bCs/>
          <w:sz w:val="22"/>
          <w:szCs w:val="22"/>
          <w:lang w:val="en-AU"/>
        </w:rPr>
        <w:t xml:space="preserve"> frictions due to topography an</w:t>
      </w:r>
      <w:r w:rsidR="003402A4">
        <w:rPr>
          <w:rFonts w:ascii="Arial" w:hAnsi="Arial" w:cs="Arial"/>
          <w:bCs/>
          <w:sz w:val="22"/>
          <w:szCs w:val="22"/>
          <w:lang w:val="en-AU"/>
        </w:rPr>
        <w:t>d regulation that push up costs</w:t>
      </w:r>
      <w:r w:rsidRPr="00B211F4">
        <w:rPr>
          <w:rFonts w:ascii="Arial" w:hAnsi="Arial" w:cs="Arial"/>
          <w:bCs/>
          <w:sz w:val="22"/>
          <w:szCs w:val="22"/>
          <w:lang w:val="en-AU"/>
        </w:rPr>
        <w:t>. This</w:t>
      </w:r>
      <w:r w:rsidR="003402A4">
        <w:rPr>
          <w:rFonts w:ascii="Arial" w:hAnsi="Arial" w:cs="Arial"/>
          <w:bCs/>
          <w:sz w:val="22"/>
          <w:szCs w:val="22"/>
          <w:lang w:val="en-AU"/>
        </w:rPr>
        <w:t xml:space="preserve"> results in increased prices in response to increased demand, which in turn dissuades some people from moving into those areas</w:t>
      </w:r>
      <w:r w:rsidRPr="00B211F4">
        <w:rPr>
          <w:rFonts w:ascii="Arial" w:hAnsi="Arial" w:cs="Arial"/>
          <w:bCs/>
          <w:sz w:val="22"/>
          <w:szCs w:val="22"/>
          <w:lang w:val="en-AU"/>
        </w:rPr>
        <w:t>.</w:t>
      </w:r>
      <w:r w:rsidR="003B50F1">
        <w:rPr>
          <w:rFonts w:ascii="Arial" w:hAnsi="Arial" w:cs="Arial"/>
          <w:bCs/>
          <w:sz w:val="22"/>
          <w:szCs w:val="22"/>
          <w:lang w:val="en-AU"/>
        </w:rPr>
        <w:t xml:space="preserve"> However, transport improvements do not influence local housing supply conditions.</w:t>
      </w:r>
    </w:p>
    <w:p w14:paraId="23AEEA3D" w14:textId="77777777" w:rsidR="00B211F4" w:rsidRDefault="00B211F4" w:rsidP="00B211F4">
      <w:pPr>
        <w:outlineLvl w:val="0"/>
        <w:rPr>
          <w:rFonts w:ascii="Arial" w:hAnsi="Arial" w:cs="Arial"/>
          <w:bCs/>
          <w:sz w:val="22"/>
          <w:szCs w:val="22"/>
          <w:lang w:val="en-AU"/>
        </w:rPr>
      </w:pPr>
    </w:p>
    <w:p w14:paraId="5E57E08C" w14:textId="36B44A54" w:rsidR="009F0F03" w:rsidRPr="00683CB5" w:rsidRDefault="009F0F03" w:rsidP="00B211F4">
      <w:pPr>
        <w:numPr>
          <w:ilvl w:val="1"/>
          <w:numId w:val="6"/>
        </w:numPr>
        <w:outlineLvl w:val="0"/>
        <w:rPr>
          <w:rFonts w:ascii="Arial" w:hAnsi="Arial" w:cs="Arial"/>
          <w:b/>
          <w:bCs/>
          <w:i/>
          <w:iCs/>
          <w:sz w:val="22"/>
          <w:szCs w:val="22"/>
          <w:lang w:val="en-AU"/>
        </w:rPr>
      </w:pPr>
      <w:r w:rsidRPr="00C0356B">
        <w:rPr>
          <w:rFonts w:ascii="Arial" w:hAnsi="Arial" w:cs="Arial"/>
          <w:b/>
          <w:bCs/>
          <w:i/>
          <w:iCs/>
          <w:sz w:val="22"/>
          <w:szCs w:val="22"/>
          <w:lang w:val="en-AU"/>
        </w:rPr>
        <w:t>Land use-transport interaction models</w:t>
      </w:r>
    </w:p>
    <w:p w14:paraId="267FEB81" w14:textId="0F1234F1" w:rsidR="00400ABA" w:rsidRDefault="009F0F03" w:rsidP="00B211F4">
      <w:pPr>
        <w:outlineLvl w:val="0"/>
        <w:rPr>
          <w:rFonts w:ascii="Arial" w:hAnsi="Arial" w:cs="Arial"/>
          <w:bCs/>
          <w:sz w:val="22"/>
          <w:szCs w:val="22"/>
          <w:lang w:val="en-AU"/>
        </w:rPr>
      </w:pPr>
      <w:r>
        <w:rPr>
          <w:rFonts w:ascii="Arial" w:hAnsi="Arial" w:cs="Arial"/>
          <w:bCs/>
          <w:sz w:val="22"/>
          <w:szCs w:val="22"/>
          <w:lang w:val="en-AU"/>
        </w:rPr>
        <w:t xml:space="preserve">Land use-transport interaction (LUTI) models typically </w:t>
      </w:r>
      <w:r w:rsidR="007F702A">
        <w:rPr>
          <w:rFonts w:ascii="Arial" w:hAnsi="Arial" w:cs="Arial"/>
          <w:bCs/>
          <w:sz w:val="22"/>
          <w:szCs w:val="22"/>
          <w:lang w:val="en-AU"/>
        </w:rPr>
        <w:t>extend</w:t>
      </w:r>
      <w:r>
        <w:rPr>
          <w:rFonts w:ascii="Arial" w:hAnsi="Arial" w:cs="Arial"/>
          <w:bCs/>
          <w:sz w:val="22"/>
          <w:szCs w:val="22"/>
          <w:lang w:val="en-AU"/>
        </w:rPr>
        <w:t xml:space="preserve"> existing strategic transport forecasting models. </w:t>
      </w:r>
      <w:r w:rsidR="007F702A">
        <w:rPr>
          <w:rFonts w:ascii="Arial" w:hAnsi="Arial" w:cs="Arial"/>
          <w:bCs/>
          <w:sz w:val="22"/>
          <w:szCs w:val="22"/>
          <w:lang w:val="en-AU"/>
        </w:rPr>
        <w:t>Strategic transport models</w:t>
      </w:r>
      <w:r w:rsidR="00EE203F">
        <w:rPr>
          <w:rFonts w:ascii="Arial" w:hAnsi="Arial" w:cs="Arial"/>
          <w:bCs/>
          <w:sz w:val="22"/>
          <w:szCs w:val="22"/>
          <w:lang w:val="en-AU"/>
        </w:rPr>
        <w:t xml:space="preserve"> involve four iterative steps (trip generation, distribution, mode choice, route choice) that </w:t>
      </w:r>
      <w:r w:rsidR="007F702A">
        <w:rPr>
          <w:rFonts w:ascii="Arial" w:hAnsi="Arial" w:cs="Arial"/>
          <w:bCs/>
          <w:sz w:val="22"/>
          <w:szCs w:val="22"/>
          <w:lang w:val="en-AU"/>
        </w:rPr>
        <w:t xml:space="preserve">sequentially </w:t>
      </w:r>
      <w:r w:rsidR="00EE203F">
        <w:rPr>
          <w:rFonts w:ascii="Arial" w:hAnsi="Arial" w:cs="Arial"/>
          <w:bCs/>
          <w:sz w:val="22"/>
          <w:szCs w:val="22"/>
          <w:lang w:val="en-AU"/>
        </w:rPr>
        <w:t>converge to equilibrium.</w:t>
      </w:r>
      <w:r w:rsidR="00400ABA">
        <w:rPr>
          <w:rFonts w:ascii="Arial" w:hAnsi="Arial" w:cs="Arial"/>
          <w:bCs/>
          <w:sz w:val="22"/>
          <w:szCs w:val="22"/>
          <w:lang w:val="en-AU"/>
        </w:rPr>
        <w:t xml:space="preserve"> </w:t>
      </w:r>
      <w:r w:rsidR="00EE203F">
        <w:rPr>
          <w:rFonts w:ascii="Arial" w:hAnsi="Arial" w:cs="Arial"/>
          <w:bCs/>
          <w:sz w:val="22"/>
          <w:szCs w:val="22"/>
          <w:lang w:val="en-AU"/>
        </w:rPr>
        <w:t xml:space="preserve">The future location of residential population and employment within the city is treated as exogenous. LUTI models extend this by </w:t>
      </w:r>
      <w:r w:rsidR="00400ABA">
        <w:rPr>
          <w:rFonts w:ascii="Arial" w:hAnsi="Arial" w:cs="Arial"/>
          <w:bCs/>
          <w:sz w:val="22"/>
          <w:szCs w:val="22"/>
          <w:lang w:val="en-AU"/>
        </w:rPr>
        <w:t xml:space="preserve">iteratively </w:t>
      </w:r>
      <w:r w:rsidR="00EE203F">
        <w:rPr>
          <w:rFonts w:ascii="Arial" w:hAnsi="Arial" w:cs="Arial"/>
          <w:bCs/>
          <w:sz w:val="22"/>
          <w:szCs w:val="22"/>
          <w:lang w:val="en-AU"/>
        </w:rPr>
        <w:t>allowing population and employment to respond to changing transport access</w:t>
      </w:r>
      <w:r w:rsidR="00400ABA">
        <w:rPr>
          <w:rFonts w:ascii="Arial" w:hAnsi="Arial" w:cs="Arial"/>
          <w:bCs/>
          <w:sz w:val="22"/>
          <w:szCs w:val="22"/>
          <w:lang w:val="en-AU"/>
        </w:rPr>
        <w:t xml:space="preserve"> and then re-running the transport model</w:t>
      </w:r>
      <w:r w:rsidR="005411F5">
        <w:rPr>
          <w:rFonts w:ascii="Arial" w:hAnsi="Arial" w:cs="Arial"/>
          <w:bCs/>
          <w:sz w:val="22"/>
          <w:szCs w:val="22"/>
          <w:lang w:val="en-AU"/>
        </w:rPr>
        <w:t xml:space="preserve"> (Department for Transport, 2014)</w:t>
      </w:r>
      <w:r w:rsidR="00EE203F">
        <w:rPr>
          <w:rFonts w:ascii="Arial" w:hAnsi="Arial" w:cs="Arial"/>
          <w:bCs/>
          <w:sz w:val="22"/>
          <w:szCs w:val="22"/>
          <w:lang w:val="en-AU"/>
        </w:rPr>
        <w:t>.</w:t>
      </w:r>
    </w:p>
    <w:p w14:paraId="1F7527F3" w14:textId="77777777" w:rsidR="00275061" w:rsidRDefault="00275061" w:rsidP="00B211F4">
      <w:pPr>
        <w:outlineLvl w:val="0"/>
        <w:rPr>
          <w:rFonts w:ascii="Arial" w:hAnsi="Arial" w:cs="Arial"/>
          <w:bCs/>
          <w:sz w:val="22"/>
          <w:szCs w:val="22"/>
          <w:lang w:val="en-AU"/>
        </w:rPr>
      </w:pPr>
    </w:p>
    <w:p w14:paraId="39EE66A4" w14:textId="118B5202" w:rsidR="002A5EE3" w:rsidRDefault="00275061" w:rsidP="002A5EE3">
      <w:pPr>
        <w:outlineLvl w:val="0"/>
        <w:rPr>
          <w:rFonts w:ascii="Arial" w:hAnsi="Arial" w:cs="Arial"/>
          <w:bCs/>
          <w:sz w:val="22"/>
          <w:szCs w:val="22"/>
          <w:lang w:val="en-AU"/>
        </w:rPr>
      </w:pPr>
      <w:r>
        <w:rPr>
          <w:rFonts w:ascii="Arial" w:hAnsi="Arial" w:cs="Arial"/>
          <w:bCs/>
          <w:sz w:val="22"/>
          <w:szCs w:val="22"/>
          <w:lang w:val="en-AU"/>
        </w:rPr>
        <w:t xml:space="preserve">Lopes et al (2018) </w:t>
      </w:r>
      <w:r w:rsidR="008A7C8F">
        <w:rPr>
          <w:rFonts w:ascii="Arial" w:hAnsi="Arial" w:cs="Arial"/>
          <w:bCs/>
          <w:sz w:val="22"/>
          <w:szCs w:val="22"/>
          <w:lang w:val="en-AU"/>
        </w:rPr>
        <w:t>review the workings of eight LUTI models.</w:t>
      </w:r>
      <w:r w:rsidR="003402A4">
        <w:rPr>
          <w:rStyle w:val="FootnoteReference"/>
          <w:rFonts w:ascii="Arial" w:hAnsi="Arial" w:cs="Arial"/>
          <w:bCs/>
          <w:sz w:val="22"/>
          <w:szCs w:val="22"/>
          <w:lang w:val="en-AU"/>
        </w:rPr>
        <w:footnoteReference w:id="13"/>
      </w:r>
      <w:r w:rsidR="003402A4">
        <w:rPr>
          <w:rFonts w:ascii="Arial" w:hAnsi="Arial" w:cs="Arial"/>
          <w:bCs/>
          <w:sz w:val="22"/>
          <w:szCs w:val="22"/>
          <w:lang w:val="en-AU"/>
        </w:rPr>
        <w:t xml:space="preserve"> </w:t>
      </w:r>
      <w:r w:rsidR="002A5EE3">
        <w:rPr>
          <w:rFonts w:ascii="Arial" w:hAnsi="Arial" w:cs="Arial"/>
          <w:bCs/>
          <w:sz w:val="22"/>
          <w:szCs w:val="22"/>
          <w:lang w:val="en-AU"/>
        </w:rPr>
        <w:t>They observe that although models often</w:t>
      </w:r>
      <w:r w:rsidRPr="00275061">
        <w:rPr>
          <w:rFonts w:ascii="Arial" w:hAnsi="Arial" w:cs="Arial"/>
          <w:bCs/>
          <w:sz w:val="22"/>
          <w:szCs w:val="22"/>
          <w:lang w:val="en-AU"/>
        </w:rPr>
        <w:t xml:space="preserve"> represent land use as one single system</w:t>
      </w:r>
      <w:r w:rsidR="002A5EE3">
        <w:rPr>
          <w:rFonts w:ascii="Arial" w:hAnsi="Arial" w:cs="Arial"/>
          <w:bCs/>
          <w:sz w:val="22"/>
          <w:szCs w:val="22"/>
          <w:lang w:val="en-AU"/>
        </w:rPr>
        <w:t>, land use actually</w:t>
      </w:r>
      <w:r w:rsidRPr="00275061">
        <w:rPr>
          <w:rFonts w:ascii="Arial" w:hAnsi="Arial" w:cs="Arial"/>
          <w:bCs/>
          <w:sz w:val="22"/>
          <w:szCs w:val="22"/>
          <w:lang w:val="en-AU"/>
        </w:rPr>
        <w:t xml:space="preserve"> covers two distinct aspects: location choices of households, firms, and other actors</w:t>
      </w:r>
      <w:r w:rsidR="003402A4">
        <w:rPr>
          <w:rFonts w:ascii="Arial" w:hAnsi="Arial" w:cs="Arial"/>
          <w:bCs/>
          <w:sz w:val="22"/>
          <w:szCs w:val="22"/>
          <w:lang w:val="en-AU"/>
        </w:rPr>
        <w:t xml:space="preserve"> (ie how local housing demand is affected by </w:t>
      </w:r>
      <w:r w:rsidR="003402A4">
        <w:rPr>
          <w:rFonts w:ascii="Arial" w:hAnsi="Arial" w:cs="Arial"/>
          <w:bCs/>
          <w:sz w:val="22"/>
          <w:szCs w:val="22"/>
          <w:lang w:val="en-AU"/>
        </w:rPr>
        <w:lastRenderedPageBreak/>
        <w:t>improved access) and changing</w:t>
      </w:r>
      <w:r w:rsidR="003402A4" w:rsidRPr="00275061">
        <w:rPr>
          <w:rFonts w:ascii="Arial" w:hAnsi="Arial" w:cs="Arial"/>
          <w:bCs/>
          <w:sz w:val="22"/>
          <w:szCs w:val="22"/>
          <w:lang w:val="en-AU"/>
        </w:rPr>
        <w:t xml:space="preserve"> intensity of </w:t>
      </w:r>
      <w:r w:rsidR="003402A4">
        <w:rPr>
          <w:rFonts w:ascii="Arial" w:hAnsi="Arial" w:cs="Arial"/>
          <w:bCs/>
          <w:sz w:val="22"/>
          <w:szCs w:val="22"/>
          <w:lang w:val="en-AU"/>
        </w:rPr>
        <w:t>development in different places (ie housing supply)</w:t>
      </w:r>
      <w:r w:rsidRPr="00275061">
        <w:rPr>
          <w:rFonts w:ascii="Arial" w:hAnsi="Arial" w:cs="Arial"/>
          <w:bCs/>
          <w:sz w:val="22"/>
          <w:szCs w:val="22"/>
          <w:lang w:val="en-AU"/>
        </w:rPr>
        <w:t>.</w:t>
      </w:r>
    </w:p>
    <w:p w14:paraId="1C4B95F6" w14:textId="77777777" w:rsidR="002A5EE3" w:rsidRDefault="002A5EE3" w:rsidP="002A5EE3">
      <w:pPr>
        <w:outlineLvl w:val="0"/>
        <w:rPr>
          <w:rFonts w:ascii="Arial" w:hAnsi="Arial" w:cs="Arial"/>
          <w:bCs/>
          <w:sz w:val="22"/>
          <w:szCs w:val="22"/>
          <w:lang w:val="en-AU"/>
        </w:rPr>
      </w:pPr>
    </w:p>
    <w:p w14:paraId="05B7D231" w14:textId="33B672B8" w:rsidR="002A5EE3" w:rsidRDefault="002A5EE3" w:rsidP="002A5EE3">
      <w:pPr>
        <w:outlineLvl w:val="0"/>
        <w:rPr>
          <w:rFonts w:ascii="Arial" w:hAnsi="Arial" w:cs="Arial"/>
          <w:bCs/>
          <w:sz w:val="22"/>
          <w:szCs w:val="22"/>
          <w:lang w:val="en-AU"/>
        </w:rPr>
      </w:pPr>
      <w:r>
        <w:rPr>
          <w:rFonts w:ascii="Arial" w:hAnsi="Arial" w:cs="Arial"/>
          <w:bCs/>
          <w:sz w:val="22"/>
          <w:szCs w:val="22"/>
          <w:lang w:val="en-AU"/>
        </w:rPr>
        <w:t xml:space="preserve">Some models do not explicitly address </w:t>
      </w:r>
      <w:r w:rsidR="005A16ED">
        <w:rPr>
          <w:rFonts w:ascii="Arial" w:hAnsi="Arial" w:cs="Arial"/>
          <w:bCs/>
          <w:sz w:val="22"/>
          <w:szCs w:val="22"/>
          <w:lang w:val="en-AU"/>
        </w:rPr>
        <w:t>housing development</w:t>
      </w:r>
      <w:r>
        <w:rPr>
          <w:rFonts w:ascii="Arial" w:hAnsi="Arial" w:cs="Arial"/>
          <w:bCs/>
          <w:sz w:val="22"/>
          <w:szCs w:val="22"/>
          <w:lang w:val="en-AU"/>
        </w:rPr>
        <w:t xml:space="preserve">, </w:t>
      </w:r>
      <w:r w:rsidR="007F702A">
        <w:rPr>
          <w:rFonts w:ascii="Arial" w:hAnsi="Arial" w:cs="Arial"/>
          <w:bCs/>
          <w:sz w:val="22"/>
          <w:szCs w:val="22"/>
          <w:lang w:val="en-AU"/>
        </w:rPr>
        <w:t>but others formally model</w:t>
      </w:r>
      <w:r>
        <w:rPr>
          <w:rFonts w:ascii="Arial" w:hAnsi="Arial" w:cs="Arial"/>
          <w:bCs/>
          <w:sz w:val="22"/>
          <w:szCs w:val="22"/>
          <w:lang w:val="en-AU"/>
        </w:rPr>
        <w:t xml:space="preserve"> </w:t>
      </w:r>
      <w:r w:rsidR="005A16ED">
        <w:rPr>
          <w:rFonts w:ascii="Arial" w:hAnsi="Arial" w:cs="Arial"/>
          <w:bCs/>
          <w:sz w:val="22"/>
          <w:szCs w:val="22"/>
          <w:lang w:val="en-AU"/>
        </w:rPr>
        <w:t xml:space="preserve">housing </w:t>
      </w:r>
      <w:r>
        <w:rPr>
          <w:rFonts w:ascii="Arial" w:hAnsi="Arial" w:cs="Arial"/>
          <w:bCs/>
          <w:sz w:val="22"/>
          <w:szCs w:val="22"/>
          <w:lang w:val="en-AU"/>
        </w:rPr>
        <w:t xml:space="preserve">development and may capture constraints arising from durable buildings or land use regulations. Where land use regulations are addressed, they are typically treated as exogenous constraints that limit the amount of housing that can be supplied in a given location by perfectly competitive developers. In this setting, changing transport </w:t>
      </w:r>
      <w:r w:rsidR="005A16ED">
        <w:rPr>
          <w:rFonts w:ascii="Arial" w:hAnsi="Arial" w:cs="Arial"/>
          <w:bCs/>
          <w:sz w:val="22"/>
          <w:szCs w:val="22"/>
          <w:lang w:val="en-AU"/>
        </w:rPr>
        <w:t>access therefore</w:t>
      </w:r>
      <w:r>
        <w:rPr>
          <w:rFonts w:ascii="Arial" w:hAnsi="Arial" w:cs="Arial"/>
          <w:bCs/>
          <w:sz w:val="22"/>
          <w:szCs w:val="22"/>
          <w:lang w:val="en-AU"/>
        </w:rPr>
        <w:t xml:space="preserve"> affects </w:t>
      </w:r>
      <w:r w:rsidR="005A16ED">
        <w:rPr>
          <w:rFonts w:ascii="Arial" w:hAnsi="Arial" w:cs="Arial"/>
          <w:bCs/>
          <w:sz w:val="22"/>
          <w:szCs w:val="22"/>
          <w:lang w:val="en-AU"/>
        </w:rPr>
        <w:t>demand for housing in different locations, but not developers’ ability to respond to demand</w:t>
      </w:r>
      <w:r>
        <w:rPr>
          <w:rFonts w:ascii="Arial" w:hAnsi="Arial" w:cs="Arial"/>
          <w:bCs/>
          <w:sz w:val="22"/>
          <w:szCs w:val="22"/>
          <w:lang w:val="en-AU"/>
        </w:rPr>
        <w:t>.</w:t>
      </w:r>
    </w:p>
    <w:p w14:paraId="563D7B49" w14:textId="77777777" w:rsidR="00400ABA" w:rsidRDefault="00400ABA" w:rsidP="00B211F4">
      <w:pPr>
        <w:outlineLvl w:val="0"/>
        <w:rPr>
          <w:rFonts w:ascii="Arial" w:hAnsi="Arial" w:cs="Arial"/>
          <w:bCs/>
          <w:sz w:val="22"/>
          <w:szCs w:val="22"/>
          <w:lang w:val="en-AU"/>
        </w:rPr>
      </w:pPr>
    </w:p>
    <w:p w14:paraId="02437EF2" w14:textId="186A4045" w:rsidR="003D529F" w:rsidRPr="005A16ED" w:rsidRDefault="00F17621" w:rsidP="003D529F">
      <w:pPr>
        <w:outlineLvl w:val="0"/>
        <w:rPr>
          <w:rFonts w:ascii="Arial" w:hAnsi="Arial" w:cs="Arial"/>
          <w:bCs/>
          <w:sz w:val="22"/>
          <w:szCs w:val="22"/>
          <w:lang w:val="en-AU"/>
        </w:rPr>
      </w:pPr>
      <w:r>
        <w:rPr>
          <w:rFonts w:ascii="Arial" w:hAnsi="Arial" w:cs="Arial"/>
          <w:bCs/>
          <w:sz w:val="22"/>
          <w:szCs w:val="22"/>
          <w:lang w:val="en-AU"/>
        </w:rPr>
        <w:t xml:space="preserve">LUTI models </w:t>
      </w:r>
      <w:r w:rsidR="005A16ED">
        <w:rPr>
          <w:rFonts w:ascii="Arial" w:hAnsi="Arial" w:cs="Arial"/>
          <w:bCs/>
          <w:sz w:val="22"/>
          <w:szCs w:val="22"/>
          <w:lang w:val="en-AU"/>
        </w:rPr>
        <w:t>often</w:t>
      </w:r>
      <w:r>
        <w:rPr>
          <w:rFonts w:ascii="Arial" w:hAnsi="Arial" w:cs="Arial"/>
          <w:bCs/>
          <w:sz w:val="22"/>
          <w:szCs w:val="22"/>
          <w:lang w:val="en-AU"/>
        </w:rPr>
        <w:t xml:space="preserve"> to make simplifying assumptions about housing development and land markets. For instance, Safirova et al (2006) develop a LUTI model to simulate the impacts of congestion pricing in Washington DC</w:t>
      </w:r>
      <w:r w:rsidR="005A16ED">
        <w:rPr>
          <w:rFonts w:ascii="Arial" w:hAnsi="Arial" w:cs="Arial"/>
          <w:bCs/>
          <w:sz w:val="22"/>
          <w:szCs w:val="22"/>
          <w:lang w:val="en-AU"/>
        </w:rPr>
        <w:t xml:space="preserve">, including impacts on the location of population and employment growth and rents in different locations. </w:t>
      </w:r>
      <w:r>
        <w:rPr>
          <w:rFonts w:ascii="Arial" w:hAnsi="Arial" w:cs="Arial"/>
          <w:bCs/>
          <w:sz w:val="22"/>
          <w:szCs w:val="22"/>
          <w:lang w:val="en-AU"/>
        </w:rPr>
        <w:t>Safirova et al’s m</w:t>
      </w:r>
      <w:r w:rsidR="003402A4">
        <w:rPr>
          <w:rFonts w:ascii="Arial" w:hAnsi="Arial" w:cs="Arial"/>
          <w:bCs/>
          <w:sz w:val="22"/>
          <w:szCs w:val="22"/>
          <w:lang w:val="en-AU"/>
        </w:rPr>
        <w:t xml:space="preserve">odel </w:t>
      </w:r>
      <w:r w:rsidR="005A16ED">
        <w:rPr>
          <w:rFonts w:ascii="Arial" w:hAnsi="Arial" w:cs="Arial"/>
          <w:bCs/>
          <w:sz w:val="22"/>
          <w:szCs w:val="22"/>
          <w:lang w:val="en-AU"/>
        </w:rPr>
        <w:t xml:space="preserve">treats </w:t>
      </w:r>
      <w:r>
        <w:rPr>
          <w:rFonts w:ascii="Arial" w:hAnsi="Arial" w:cs="Arial"/>
          <w:bCs/>
          <w:sz w:val="22"/>
          <w:szCs w:val="22"/>
          <w:lang w:val="en-AU"/>
        </w:rPr>
        <w:t>housing development</w:t>
      </w:r>
      <w:r w:rsidR="005A16ED">
        <w:rPr>
          <w:rFonts w:ascii="Arial" w:hAnsi="Arial" w:cs="Arial"/>
          <w:bCs/>
          <w:sz w:val="22"/>
          <w:szCs w:val="22"/>
          <w:lang w:val="en-AU"/>
        </w:rPr>
        <w:t xml:space="preserve"> similarly</w:t>
      </w:r>
      <w:r w:rsidR="003402A4">
        <w:rPr>
          <w:rFonts w:ascii="Arial" w:hAnsi="Arial" w:cs="Arial"/>
          <w:bCs/>
          <w:sz w:val="22"/>
          <w:szCs w:val="22"/>
          <w:lang w:val="en-AU"/>
        </w:rPr>
        <w:t xml:space="preserve"> to Anas and Xu (1999)</w:t>
      </w:r>
      <w:r>
        <w:rPr>
          <w:rFonts w:ascii="Arial" w:hAnsi="Arial" w:cs="Arial"/>
          <w:bCs/>
          <w:sz w:val="22"/>
          <w:szCs w:val="22"/>
          <w:lang w:val="en-AU"/>
        </w:rPr>
        <w:t xml:space="preserve">. </w:t>
      </w:r>
      <w:r w:rsidR="005A16ED">
        <w:rPr>
          <w:rFonts w:ascii="Arial" w:hAnsi="Arial" w:cs="Arial"/>
          <w:bCs/>
          <w:sz w:val="22"/>
          <w:szCs w:val="22"/>
          <w:lang w:val="en-AU"/>
        </w:rPr>
        <w:t>D</w:t>
      </w:r>
      <w:r>
        <w:rPr>
          <w:rFonts w:ascii="Arial" w:hAnsi="Arial" w:cs="Arial"/>
          <w:bCs/>
          <w:sz w:val="22"/>
          <w:szCs w:val="22"/>
          <w:lang w:val="en-AU"/>
        </w:rPr>
        <w:t>evelopers choose whether or not to build new housing based on expected future rents relative to costs</w:t>
      </w:r>
      <w:r w:rsidR="003D529F">
        <w:rPr>
          <w:rFonts w:ascii="Arial" w:hAnsi="Arial" w:cs="Arial"/>
          <w:bCs/>
          <w:sz w:val="22"/>
          <w:szCs w:val="22"/>
          <w:lang w:val="en-AU"/>
        </w:rPr>
        <w:t xml:space="preserve">. They are assumed to </w:t>
      </w:r>
      <w:r w:rsidR="005A16ED">
        <w:rPr>
          <w:rFonts w:ascii="Arial" w:hAnsi="Arial" w:cs="Arial"/>
          <w:bCs/>
          <w:sz w:val="22"/>
          <w:szCs w:val="22"/>
          <w:lang w:val="en-AU"/>
        </w:rPr>
        <w:t>operate</w:t>
      </w:r>
      <w:r w:rsidR="003D529F">
        <w:rPr>
          <w:rFonts w:ascii="Arial" w:hAnsi="Arial" w:cs="Arial"/>
          <w:bCs/>
          <w:sz w:val="22"/>
          <w:szCs w:val="22"/>
          <w:lang w:val="en-AU"/>
        </w:rPr>
        <w:t xml:space="preserve"> under perfect competition</w:t>
      </w:r>
      <w:r w:rsidR="005A16ED">
        <w:rPr>
          <w:rFonts w:ascii="Arial" w:hAnsi="Arial" w:cs="Arial"/>
          <w:bCs/>
          <w:sz w:val="22"/>
          <w:szCs w:val="22"/>
          <w:lang w:val="en-AU"/>
        </w:rPr>
        <w:t>, without barriers to redeveloping sites</w:t>
      </w:r>
      <w:r w:rsidR="003D529F">
        <w:rPr>
          <w:rFonts w:ascii="Arial" w:hAnsi="Arial" w:cs="Arial"/>
          <w:bCs/>
          <w:sz w:val="22"/>
          <w:szCs w:val="22"/>
          <w:lang w:val="en-AU"/>
        </w:rPr>
        <w:t>, and hence there is no potential for price-cost markups</w:t>
      </w:r>
      <w:r w:rsidR="005A16ED">
        <w:rPr>
          <w:rFonts w:ascii="Arial" w:hAnsi="Arial" w:cs="Arial"/>
          <w:bCs/>
          <w:sz w:val="22"/>
          <w:szCs w:val="22"/>
          <w:lang w:val="en-AU"/>
        </w:rPr>
        <w:t>.</w:t>
      </w:r>
    </w:p>
    <w:p w14:paraId="5E512E77" w14:textId="77777777" w:rsidR="003D529F" w:rsidRDefault="003D529F" w:rsidP="003D529F">
      <w:pPr>
        <w:outlineLvl w:val="0"/>
        <w:rPr>
          <w:rFonts w:ascii="Arial" w:hAnsi="Arial" w:cs="Arial"/>
          <w:bCs/>
          <w:sz w:val="22"/>
          <w:szCs w:val="22"/>
          <w:lang w:val="en-AU"/>
        </w:rPr>
      </w:pPr>
    </w:p>
    <w:p w14:paraId="44988DDF" w14:textId="4D3073FA" w:rsidR="003D529F" w:rsidRDefault="003D529F" w:rsidP="003D529F">
      <w:pPr>
        <w:outlineLvl w:val="0"/>
        <w:rPr>
          <w:rFonts w:ascii="Arial" w:hAnsi="Arial" w:cs="Arial"/>
          <w:bCs/>
          <w:sz w:val="22"/>
          <w:szCs w:val="22"/>
          <w:lang w:val="en-AU"/>
        </w:rPr>
      </w:pPr>
      <w:r>
        <w:rPr>
          <w:rFonts w:ascii="Arial" w:hAnsi="Arial" w:cs="Arial"/>
          <w:bCs/>
          <w:sz w:val="22"/>
          <w:szCs w:val="22"/>
          <w:lang w:val="en-AU"/>
        </w:rPr>
        <w:t xml:space="preserve">Kim (2019) outlines a LUTI model that was developed for Munich, Germany. This is based on a modelling process developed by </w:t>
      </w:r>
      <w:r w:rsidRPr="00383B28">
        <w:rPr>
          <w:rFonts w:ascii="Arial" w:hAnsi="Arial" w:cs="Arial"/>
          <w:bCs/>
          <w:sz w:val="22"/>
          <w:szCs w:val="22"/>
          <w:lang w:val="en-AU"/>
        </w:rPr>
        <w:t>Moeckel (</w:t>
      </w:r>
      <w:r w:rsidR="00EA2A6A">
        <w:rPr>
          <w:rFonts w:ascii="Arial" w:hAnsi="Arial" w:cs="Arial"/>
          <w:bCs/>
          <w:sz w:val="22"/>
          <w:szCs w:val="22"/>
          <w:lang w:val="en-AU"/>
        </w:rPr>
        <w:t>2011</w:t>
      </w:r>
      <w:r w:rsidRPr="00383B28">
        <w:rPr>
          <w:rFonts w:ascii="Arial" w:hAnsi="Arial" w:cs="Arial"/>
          <w:bCs/>
          <w:sz w:val="22"/>
          <w:szCs w:val="22"/>
          <w:lang w:val="en-AU"/>
        </w:rPr>
        <w:t>)</w:t>
      </w:r>
      <w:r>
        <w:rPr>
          <w:rFonts w:ascii="Arial" w:hAnsi="Arial" w:cs="Arial"/>
          <w:bCs/>
          <w:sz w:val="22"/>
          <w:szCs w:val="22"/>
          <w:lang w:val="en-AU"/>
        </w:rPr>
        <w:t xml:space="preserve"> in which households balance expenditures on housing and transport against a fixed budget, and also balance travel time. Housing developers respond to the resulting demands. Kim describes the application of this model to new housing development and transport infrastructure to the north of Munich, which is intended to help alleviate a housing shortage. However, the outcomes described by the model appear to largely focus on the location of households, rather than the price of housing.</w:t>
      </w:r>
    </w:p>
    <w:p w14:paraId="6237526F" w14:textId="51E9A434" w:rsidR="00F17621" w:rsidRPr="00F17621" w:rsidRDefault="003D529F" w:rsidP="00F17621">
      <w:pPr>
        <w:outlineLvl w:val="0"/>
        <w:rPr>
          <w:rFonts w:ascii="Arial" w:hAnsi="Arial" w:cs="Arial"/>
          <w:bCs/>
          <w:sz w:val="22"/>
          <w:szCs w:val="22"/>
          <w:lang w:val="en-AU"/>
        </w:rPr>
      </w:pPr>
      <w:r>
        <w:rPr>
          <w:rFonts w:ascii="Arial" w:hAnsi="Arial" w:cs="Arial"/>
          <w:bCs/>
          <w:sz w:val="22"/>
          <w:szCs w:val="22"/>
          <w:lang w:val="en-AU"/>
        </w:rPr>
        <w:t xml:space="preserve"> </w:t>
      </w:r>
    </w:p>
    <w:p w14:paraId="6DF847F6" w14:textId="5C2E1605" w:rsidR="004E6B08" w:rsidRPr="00683CB5" w:rsidRDefault="004E6B08" w:rsidP="004E6B08">
      <w:pPr>
        <w:numPr>
          <w:ilvl w:val="1"/>
          <w:numId w:val="6"/>
        </w:numPr>
        <w:outlineLvl w:val="0"/>
        <w:rPr>
          <w:rFonts w:ascii="Arial" w:hAnsi="Arial" w:cs="Arial"/>
          <w:b/>
          <w:bCs/>
          <w:i/>
          <w:iCs/>
          <w:sz w:val="22"/>
          <w:szCs w:val="22"/>
          <w:lang w:val="en-AU"/>
        </w:rPr>
      </w:pPr>
      <w:r w:rsidRPr="00C0356B">
        <w:rPr>
          <w:rFonts w:ascii="Arial" w:hAnsi="Arial" w:cs="Arial"/>
          <w:b/>
          <w:bCs/>
          <w:i/>
          <w:iCs/>
          <w:sz w:val="22"/>
          <w:szCs w:val="22"/>
          <w:lang w:val="en-AU"/>
        </w:rPr>
        <w:t>Spatial computable general equilibrium models</w:t>
      </w:r>
    </w:p>
    <w:p w14:paraId="68EDA412" w14:textId="7A086E04" w:rsidR="004E6B08" w:rsidRDefault="004E6B08" w:rsidP="00B211F4">
      <w:pPr>
        <w:outlineLvl w:val="0"/>
        <w:rPr>
          <w:rFonts w:ascii="Arial" w:hAnsi="Arial" w:cs="Arial"/>
          <w:bCs/>
          <w:sz w:val="22"/>
          <w:szCs w:val="22"/>
          <w:lang w:val="en-AU"/>
        </w:rPr>
      </w:pPr>
      <w:r w:rsidRPr="004E6B08">
        <w:rPr>
          <w:rFonts w:ascii="Arial" w:hAnsi="Arial" w:cs="Arial"/>
          <w:bCs/>
          <w:sz w:val="22"/>
          <w:szCs w:val="22"/>
          <w:lang w:val="en-AU"/>
        </w:rPr>
        <w:t>Spatial computable general equilibrium</w:t>
      </w:r>
      <w:r>
        <w:rPr>
          <w:rFonts w:ascii="Arial" w:hAnsi="Arial" w:cs="Arial"/>
          <w:bCs/>
          <w:sz w:val="22"/>
          <w:szCs w:val="22"/>
          <w:lang w:val="en-AU"/>
        </w:rPr>
        <w:t xml:space="preserve"> (SCGE)</w:t>
      </w:r>
      <w:r w:rsidRPr="004E6B08">
        <w:rPr>
          <w:rFonts w:ascii="Arial" w:hAnsi="Arial" w:cs="Arial"/>
          <w:bCs/>
          <w:sz w:val="22"/>
          <w:szCs w:val="22"/>
          <w:lang w:val="en-AU"/>
        </w:rPr>
        <w:t xml:space="preserve"> models</w:t>
      </w:r>
      <w:r>
        <w:rPr>
          <w:rFonts w:ascii="Arial" w:hAnsi="Arial" w:cs="Arial"/>
          <w:bCs/>
          <w:sz w:val="22"/>
          <w:szCs w:val="22"/>
          <w:lang w:val="en-AU"/>
        </w:rPr>
        <w:t xml:space="preserve"> </w:t>
      </w:r>
      <w:r w:rsidR="006A44CC">
        <w:rPr>
          <w:rFonts w:ascii="Arial" w:hAnsi="Arial" w:cs="Arial"/>
          <w:bCs/>
          <w:sz w:val="22"/>
          <w:szCs w:val="22"/>
          <w:lang w:val="en-AU"/>
        </w:rPr>
        <w:t xml:space="preserve">simulate the economic impacts of transport improvements. To do so, they extend </w:t>
      </w:r>
      <w:r w:rsidR="00307C97">
        <w:rPr>
          <w:rFonts w:ascii="Arial" w:hAnsi="Arial" w:cs="Arial"/>
          <w:bCs/>
          <w:sz w:val="22"/>
          <w:szCs w:val="22"/>
          <w:lang w:val="en-AU"/>
        </w:rPr>
        <w:t>economic models of interactions between different industries, the household sector (</w:t>
      </w:r>
      <w:r w:rsidR="00683CB5">
        <w:rPr>
          <w:rFonts w:ascii="Arial" w:hAnsi="Arial" w:cs="Arial"/>
          <w:bCs/>
          <w:sz w:val="22"/>
          <w:szCs w:val="22"/>
          <w:lang w:val="en-AU"/>
        </w:rPr>
        <w:t>which supplies</w:t>
      </w:r>
      <w:r w:rsidR="00307C97">
        <w:rPr>
          <w:rFonts w:ascii="Arial" w:hAnsi="Arial" w:cs="Arial"/>
          <w:bCs/>
          <w:sz w:val="22"/>
          <w:szCs w:val="22"/>
          <w:lang w:val="en-AU"/>
        </w:rPr>
        <w:t xml:space="preserve"> labour and </w:t>
      </w:r>
      <w:r w:rsidR="00683CB5">
        <w:rPr>
          <w:rFonts w:ascii="Arial" w:hAnsi="Arial" w:cs="Arial"/>
          <w:bCs/>
          <w:sz w:val="22"/>
          <w:szCs w:val="22"/>
          <w:lang w:val="en-AU"/>
        </w:rPr>
        <w:t>consumes</w:t>
      </w:r>
      <w:r w:rsidR="00307C97">
        <w:rPr>
          <w:rFonts w:ascii="Arial" w:hAnsi="Arial" w:cs="Arial"/>
          <w:bCs/>
          <w:sz w:val="22"/>
          <w:szCs w:val="22"/>
          <w:lang w:val="en-AU"/>
        </w:rPr>
        <w:t xml:space="preserve"> goods), and international trade, adding a spatial dimension to firm activity and incorporating transport costs for freight and commuting.</w:t>
      </w:r>
    </w:p>
    <w:p w14:paraId="44A042DC" w14:textId="77777777" w:rsidR="00C52349" w:rsidRDefault="00C52349" w:rsidP="00B211F4">
      <w:pPr>
        <w:outlineLvl w:val="0"/>
        <w:rPr>
          <w:rFonts w:ascii="Arial" w:hAnsi="Arial" w:cs="Arial"/>
          <w:bCs/>
          <w:sz w:val="22"/>
          <w:szCs w:val="22"/>
          <w:lang w:val="en-AU"/>
        </w:rPr>
      </w:pPr>
    </w:p>
    <w:p w14:paraId="5331C70A" w14:textId="2AB01E7B" w:rsidR="00C52349" w:rsidRDefault="00C52349" w:rsidP="00B211F4">
      <w:pPr>
        <w:outlineLvl w:val="0"/>
        <w:rPr>
          <w:rFonts w:ascii="Arial" w:hAnsi="Arial" w:cs="Arial"/>
          <w:bCs/>
          <w:sz w:val="22"/>
          <w:szCs w:val="22"/>
          <w:lang w:val="en-AU"/>
        </w:rPr>
      </w:pPr>
      <w:r>
        <w:rPr>
          <w:rFonts w:ascii="Arial" w:hAnsi="Arial" w:cs="Arial"/>
          <w:bCs/>
          <w:sz w:val="22"/>
          <w:szCs w:val="22"/>
          <w:lang w:val="en-AU"/>
        </w:rPr>
        <w:t>SCGE models allow economic activity to redistribute throughout space</w:t>
      </w:r>
      <w:r w:rsidR="005A16ED">
        <w:rPr>
          <w:rFonts w:ascii="Arial" w:hAnsi="Arial" w:cs="Arial"/>
          <w:bCs/>
          <w:sz w:val="22"/>
          <w:szCs w:val="22"/>
          <w:lang w:val="en-AU"/>
        </w:rPr>
        <w:t xml:space="preserve"> and allow </w:t>
      </w:r>
      <w:r>
        <w:rPr>
          <w:rFonts w:ascii="Arial" w:hAnsi="Arial" w:cs="Arial"/>
          <w:bCs/>
          <w:sz w:val="22"/>
          <w:szCs w:val="22"/>
          <w:lang w:val="en-AU"/>
        </w:rPr>
        <w:t xml:space="preserve">the overall size of </w:t>
      </w:r>
      <w:r w:rsidR="005A16ED">
        <w:rPr>
          <w:rFonts w:ascii="Arial" w:hAnsi="Arial" w:cs="Arial"/>
          <w:bCs/>
          <w:sz w:val="22"/>
          <w:szCs w:val="22"/>
          <w:lang w:val="en-AU"/>
        </w:rPr>
        <w:t>the economy</w:t>
      </w:r>
      <w:r>
        <w:rPr>
          <w:rFonts w:ascii="Arial" w:hAnsi="Arial" w:cs="Arial"/>
          <w:bCs/>
          <w:sz w:val="22"/>
          <w:szCs w:val="22"/>
          <w:lang w:val="en-AU"/>
        </w:rPr>
        <w:t xml:space="preserve"> to increase. Depending upon the model, this may reflect agglomeration benefits that arise in larger, denser cities or the impacts of changes to firms’ investment decisions. </w:t>
      </w:r>
      <w:r w:rsidR="000F7377">
        <w:rPr>
          <w:rFonts w:ascii="Arial" w:hAnsi="Arial" w:cs="Arial"/>
          <w:bCs/>
          <w:sz w:val="22"/>
          <w:szCs w:val="22"/>
          <w:lang w:val="en-AU"/>
        </w:rPr>
        <w:t xml:space="preserve">These models focus on predicting overall impacts </w:t>
      </w:r>
      <w:r w:rsidR="005A16ED">
        <w:rPr>
          <w:rFonts w:ascii="Arial" w:hAnsi="Arial" w:cs="Arial"/>
          <w:bCs/>
          <w:sz w:val="22"/>
          <w:szCs w:val="22"/>
          <w:lang w:val="en-AU"/>
        </w:rPr>
        <w:t>for economic output</w:t>
      </w:r>
      <w:r w:rsidR="002335F5">
        <w:rPr>
          <w:rFonts w:ascii="Arial" w:hAnsi="Arial" w:cs="Arial"/>
          <w:bCs/>
          <w:sz w:val="22"/>
          <w:szCs w:val="22"/>
          <w:lang w:val="en-AU"/>
        </w:rPr>
        <w:t xml:space="preserve"> (Simmonds and Feldman, 2013)</w:t>
      </w:r>
      <w:r w:rsidR="000F7377">
        <w:rPr>
          <w:rFonts w:ascii="Arial" w:hAnsi="Arial" w:cs="Arial"/>
          <w:bCs/>
          <w:sz w:val="22"/>
          <w:szCs w:val="22"/>
          <w:lang w:val="en-AU"/>
        </w:rPr>
        <w:t>.</w:t>
      </w:r>
    </w:p>
    <w:p w14:paraId="1B7C4BD1" w14:textId="77777777" w:rsidR="00307C97" w:rsidRDefault="00307C97" w:rsidP="00B211F4">
      <w:pPr>
        <w:outlineLvl w:val="0"/>
        <w:rPr>
          <w:rFonts w:ascii="Arial" w:hAnsi="Arial" w:cs="Arial"/>
          <w:bCs/>
          <w:sz w:val="22"/>
          <w:szCs w:val="22"/>
          <w:lang w:val="en-AU"/>
        </w:rPr>
      </w:pPr>
    </w:p>
    <w:p w14:paraId="7B08643F" w14:textId="03C2ED24" w:rsidR="00872C4B" w:rsidRDefault="00C52349" w:rsidP="00C52349">
      <w:pPr>
        <w:outlineLvl w:val="0"/>
        <w:rPr>
          <w:rFonts w:ascii="Arial" w:hAnsi="Arial" w:cs="Arial"/>
          <w:bCs/>
          <w:sz w:val="22"/>
          <w:szCs w:val="22"/>
          <w:lang w:val="en-AU"/>
        </w:rPr>
      </w:pPr>
      <w:r>
        <w:rPr>
          <w:rFonts w:ascii="Arial" w:hAnsi="Arial" w:cs="Arial"/>
          <w:bCs/>
          <w:sz w:val="22"/>
          <w:szCs w:val="22"/>
          <w:lang w:val="en-AU"/>
        </w:rPr>
        <w:t>Byett et al (2017) develop an SCGE model for New Zealand and apply i</w:t>
      </w:r>
      <w:r w:rsidR="00872C4B">
        <w:rPr>
          <w:rFonts w:ascii="Arial" w:hAnsi="Arial" w:cs="Arial"/>
          <w:bCs/>
          <w:sz w:val="22"/>
          <w:szCs w:val="22"/>
          <w:lang w:val="en-AU"/>
        </w:rPr>
        <w:t xml:space="preserve">t to a hypothetical case study of a major transport improvement </w:t>
      </w:r>
      <w:r w:rsidR="00985F70">
        <w:rPr>
          <w:rFonts w:ascii="Arial" w:hAnsi="Arial" w:cs="Arial"/>
          <w:bCs/>
          <w:sz w:val="22"/>
          <w:szCs w:val="22"/>
          <w:lang w:val="en-AU"/>
        </w:rPr>
        <w:t>in th</w:t>
      </w:r>
      <w:r w:rsidR="00872C4B">
        <w:rPr>
          <w:rFonts w:ascii="Arial" w:hAnsi="Arial" w:cs="Arial"/>
          <w:bCs/>
          <w:sz w:val="22"/>
          <w:szCs w:val="22"/>
          <w:lang w:val="en-AU"/>
        </w:rPr>
        <w:t xml:space="preserve">e Auckland-Hamilton-Tauranga area. </w:t>
      </w:r>
      <w:r w:rsidR="00D35DAE">
        <w:rPr>
          <w:rFonts w:ascii="Arial" w:hAnsi="Arial" w:cs="Arial"/>
          <w:bCs/>
          <w:sz w:val="22"/>
          <w:szCs w:val="22"/>
          <w:lang w:val="en-AU"/>
        </w:rPr>
        <w:t xml:space="preserve">This model is reasonably aggregated: it includes </w:t>
      </w:r>
      <w:r w:rsidR="00E054D3">
        <w:rPr>
          <w:rFonts w:ascii="Arial" w:hAnsi="Arial" w:cs="Arial"/>
          <w:bCs/>
          <w:sz w:val="22"/>
          <w:szCs w:val="22"/>
          <w:lang w:val="en-AU"/>
        </w:rPr>
        <w:t xml:space="preserve">four </w:t>
      </w:r>
      <w:r w:rsidR="0072000A">
        <w:rPr>
          <w:rFonts w:ascii="Arial" w:hAnsi="Arial" w:cs="Arial"/>
          <w:bCs/>
          <w:sz w:val="22"/>
          <w:szCs w:val="22"/>
          <w:lang w:val="en-AU"/>
        </w:rPr>
        <w:t xml:space="preserve">large </w:t>
      </w:r>
      <w:r w:rsidR="00E054D3">
        <w:rPr>
          <w:rFonts w:ascii="Arial" w:hAnsi="Arial" w:cs="Arial"/>
          <w:bCs/>
          <w:sz w:val="22"/>
          <w:szCs w:val="22"/>
          <w:lang w:val="en-AU"/>
        </w:rPr>
        <w:t xml:space="preserve">residential and work </w:t>
      </w:r>
      <w:r w:rsidR="0072000A">
        <w:rPr>
          <w:rFonts w:ascii="Arial" w:hAnsi="Arial" w:cs="Arial"/>
          <w:bCs/>
          <w:sz w:val="22"/>
          <w:szCs w:val="22"/>
          <w:lang w:val="en-AU"/>
        </w:rPr>
        <w:t>zones (</w:t>
      </w:r>
      <w:r w:rsidR="004437C2" w:rsidRPr="004437C2">
        <w:rPr>
          <w:rFonts w:ascii="Arial" w:hAnsi="Arial" w:cs="Arial"/>
          <w:bCs/>
          <w:sz w:val="22"/>
          <w:szCs w:val="22"/>
          <w:lang w:val="en-AU"/>
        </w:rPr>
        <w:t>Auckland, Hamilton, T</w:t>
      </w:r>
      <w:r w:rsidR="0072000A">
        <w:rPr>
          <w:rFonts w:ascii="Arial" w:hAnsi="Arial" w:cs="Arial"/>
          <w:bCs/>
          <w:sz w:val="22"/>
          <w:szCs w:val="22"/>
          <w:lang w:val="en-AU"/>
        </w:rPr>
        <w:t>auranga and the rest of Waikato) and four port zones (</w:t>
      </w:r>
      <w:r w:rsidR="004437C2" w:rsidRPr="004437C2">
        <w:rPr>
          <w:rFonts w:ascii="Arial" w:hAnsi="Arial" w:cs="Arial"/>
          <w:bCs/>
          <w:sz w:val="22"/>
          <w:szCs w:val="22"/>
          <w:lang w:val="en-AU"/>
        </w:rPr>
        <w:t>Auckland Airport, Port of Auckland, Port of Tauranga and Other New Zealand</w:t>
      </w:r>
      <w:r w:rsidR="0072000A">
        <w:rPr>
          <w:rFonts w:ascii="Arial" w:hAnsi="Arial" w:cs="Arial"/>
          <w:bCs/>
          <w:sz w:val="22"/>
          <w:szCs w:val="22"/>
          <w:lang w:val="en-AU"/>
        </w:rPr>
        <w:t xml:space="preserve">). </w:t>
      </w:r>
      <w:r w:rsidR="006F47BE">
        <w:rPr>
          <w:rFonts w:ascii="Arial" w:hAnsi="Arial" w:cs="Arial"/>
          <w:bCs/>
          <w:sz w:val="22"/>
          <w:szCs w:val="22"/>
          <w:lang w:val="en-AU"/>
        </w:rPr>
        <w:t>Firms and households can relocate between zones</w:t>
      </w:r>
      <w:r w:rsidR="005B10A1">
        <w:rPr>
          <w:rFonts w:ascii="Arial" w:hAnsi="Arial" w:cs="Arial"/>
          <w:bCs/>
          <w:sz w:val="22"/>
          <w:szCs w:val="22"/>
          <w:lang w:val="en-AU"/>
        </w:rPr>
        <w:t xml:space="preserve">, </w:t>
      </w:r>
      <w:r w:rsidR="00DA4078">
        <w:rPr>
          <w:rFonts w:ascii="Arial" w:hAnsi="Arial" w:cs="Arial"/>
          <w:bCs/>
          <w:sz w:val="22"/>
          <w:szCs w:val="22"/>
          <w:lang w:val="en-AU"/>
        </w:rPr>
        <w:t>but the total regional population is fixed. T</w:t>
      </w:r>
      <w:r w:rsidR="005B10A1">
        <w:rPr>
          <w:rFonts w:ascii="Arial" w:hAnsi="Arial" w:cs="Arial"/>
          <w:bCs/>
          <w:sz w:val="22"/>
          <w:szCs w:val="22"/>
          <w:lang w:val="en-AU"/>
        </w:rPr>
        <w:t xml:space="preserve">he overall quantity of </w:t>
      </w:r>
      <w:r w:rsidR="00DA4078">
        <w:rPr>
          <w:rFonts w:ascii="Arial" w:hAnsi="Arial" w:cs="Arial"/>
          <w:bCs/>
          <w:sz w:val="22"/>
          <w:szCs w:val="22"/>
          <w:lang w:val="en-AU"/>
        </w:rPr>
        <w:t>land within each zone is fixed, and l</w:t>
      </w:r>
      <w:r w:rsidR="00BC4C34">
        <w:rPr>
          <w:rFonts w:ascii="Arial" w:hAnsi="Arial" w:cs="Arial"/>
          <w:bCs/>
          <w:sz w:val="22"/>
          <w:szCs w:val="22"/>
          <w:lang w:val="en-AU"/>
        </w:rPr>
        <w:t xml:space="preserve">and and housing prices </w:t>
      </w:r>
      <w:r w:rsidR="00310162">
        <w:rPr>
          <w:rFonts w:ascii="Arial" w:hAnsi="Arial" w:cs="Arial"/>
          <w:bCs/>
          <w:sz w:val="22"/>
          <w:szCs w:val="22"/>
          <w:lang w:val="en-AU"/>
        </w:rPr>
        <w:t>within each zone can adjust</w:t>
      </w:r>
      <w:r w:rsidR="00DA4078">
        <w:rPr>
          <w:rFonts w:ascii="Arial" w:hAnsi="Arial" w:cs="Arial"/>
          <w:bCs/>
          <w:sz w:val="22"/>
          <w:szCs w:val="22"/>
          <w:lang w:val="en-AU"/>
        </w:rPr>
        <w:t xml:space="preserve"> in response to changing demands. Like other economic sectors, h</w:t>
      </w:r>
      <w:r w:rsidR="009A23E4">
        <w:rPr>
          <w:rFonts w:ascii="Arial" w:hAnsi="Arial" w:cs="Arial"/>
          <w:bCs/>
          <w:sz w:val="22"/>
          <w:szCs w:val="22"/>
          <w:lang w:val="en-AU"/>
        </w:rPr>
        <w:t>ousing development is assumed to function competitively.</w:t>
      </w:r>
      <w:r w:rsidR="00DA4078">
        <w:rPr>
          <w:rFonts w:ascii="Arial" w:hAnsi="Arial" w:cs="Arial"/>
          <w:bCs/>
          <w:sz w:val="22"/>
          <w:szCs w:val="22"/>
          <w:lang w:val="en-AU"/>
        </w:rPr>
        <w:t xml:space="preserve"> </w:t>
      </w:r>
    </w:p>
    <w:p w14:paraId="26FD2B9A" w14:textId="77777777" w:rsidR="009F0F03" w:rsidRDefault="009F0F03" w:rsidP="00B211F4">
      <w:pPr>
        <w:outlineLvl w:val="0"/>
        <w:rPr>
          <w:rFonts w:ascii="Arial" w:hAnsi="Arial" w:cs="Arial"/>
          <w:bCs/>
          <w:sz w:val="22"/>
          <w:szCs w:val="22"/>
          <w:lang w:val="en-AU"/>
        </w:rPr>
      </w:pPr>
    </w:p>
    <w:p w14:paraId="359C3D7F" w14:textId="002B6148" w:rsidR="009F0F03" w:rsidRPr="00683CB5" w:rsidRDefault="009F0F03" w:rsidP="009F0F03">
      <w:pPr>
        <w:numPr>
          <w:ilvl w:val="1"/>
          <w:numId w:val="6"/>
        </w:numPr>
        <w:outlineLvl w:val="0"/>
        <w:rPr>
          <w:rFonts w:ascii="Arial" w:hAnsi="Arial" w:cs="Arial"/>
          <w:b/>
          <w:bCs/>
          <w:i/>
          <w:iCs/>
          <w:sz w:val="22"/>
          <w:szCs w:val="22"/>
          <w:lang w:val="en-AU"/>
        </w:rPr>
      </w:pPr>
      <w:r w:rsidRPr="00C0356B">
        <w:rPr>
          <w:rFonts w:ascii="Arial" w:hAnsi="Arial" w:cs="Arial"/>
          <w:b/>
          <w:bCs/>
          <w:i/>
          <w:iCs/>
          <w:sz w:val="22"/>
          <w:szCs w:val="22"/>
          <w:lang w:val="en-AU"/>
        </w:rPr>
        <w:t xml:space="preserve">How these models address </w:t>
      </w:r>
      <w:r w:rsidR="00683CB5">
        <w:rPr>
          <w:rFonts w:ascii="Arial" w:hAnsi="Arial" w:cs="Arial"/>
          <w:b/>
          <w:bCs/>
          <w:i/>
          <w:iCs/>
          <w:sz w:val="22"/>
          <w:szCs w:val="22"/>
          <w:lang w:val="en-AU"/>
        </w:rPr>
        <w:t>competition in</w:t>
      </w:r>
      <w:r w:rsidRPr="00C0356B">
        <w:rPr>
          <w:rFonts w:ascii="Arial" w:hAnsi="Arial" w:cs="Arial"/>
          <w:b/>
          <w:bCs/>
          <w:i/>
          <w:iCs/>
          <w:sz w:val="22"/>
          <w:szCs w:val="22"/>
          <w:lang w:val="en-AU"/>
        </w:rPr>
        <w:t xml:space="preserve"> housing development</w:t>
      </w:r>
    </w:p>
    <w:p w14:paraId="573590FD" w14:textId="4BEA8428" w:rsidR="009F0F03" w:rsidRPr="00B211F4" w:rsidRDefault="005A16ED" w:rsidP="002335F5">
      <w:pPr>
        <w:outlineLvl w:val="0"/>
        <w:rPr>
          <w:rFonts w:ascii="Arial" w:hAnsi="Arial" w:cs="Arial"/>
          <w:bCs/>
          <w:sz w:val="22"/>
          <w:szCs w:val="22"/>
          <w:lang w:val="en-AU"/>
        </w:rPr>
      </w:pPr>
      <w:r>
        <w:rPr>
          <w:rFonts w:ascii="Arial" w:hAnsi="Arial" w:cs="Arial"/>
          <w:bCs/>
          <w:sz w:val="22"/>
          <w:szCs w:val="22"/>
          <w:lang w:val="en-AU"/>
        </w:rPr>
        <w:t xml:space="preserve">When these models address housing development, they assume that development markets are </w:t>
      </w:r>
      <w:r w:rsidR="009F0F03" w:rsidRPr="00B211F4">
        <w:rPr>
          <w:rFonts w:ascii="Arial" w:hAnsi="Arial" w:cs="Arial"/>
          <w:bCs/>
          <w:sz w:val="22"/>
          <w:szCs w:val="22"/>
          <w:lang w:val="en-AU"/>
        </w:rPr>
        <w:t xml:space="preserve">perfectly competitive, meaning that </w:t>
      </w:r>
      <w:r>
        <w:rPr>
          <w:rFonts w:ascii="Arial" w:hAnsi="Arial" w:cs="Arial"/>
          <w:bCs/>
          <w:sz w:val="22"/>
          <w:szCs w:val="22"/>
          <w:lang w:val="en-AU"/>
        </w:rPr>
        <w:t>housing is sold or rented</w:t>
      </w:r>
      <w:r w:rsidR="009F0F03" w:rsidRPr="00B211F4">
        <w:rPr>
          <w:rFonts w:ascii="Arial" w:hAnsi="Arial" w:cs="Arial"/>
          <w:bCs/>
          <w:sz w:val="22"/>
          <w:szCs w:val="22"/>
          <w:lang w:val="en-AU"/>
        </w:rPr>
        <w:t xml:space="preserve"> at a price equal to the marginal cost of production</w:t>
      </w:r>
      <w:r w:rsidR="002335F5">
        <w:rPr>
          <w:rFonts w:ascii="Arial" w:hAnsi="Arial" w:cs="Arial"/>
          <w:bCs/>
          <w:sz w:val="22"/>
          <w:szCs w:val="22"/>
          <w:lang w:val="en-AU"/>
        </w:rPr>
        <w:t>. Similarly, l</w:t>
      </w:r>
      <w:r w:rsidR="009F0F03" w:rsidRPr="00B211F4">
        <w:rPr>
          <w:rFonts w:ascii="Arial" w:hAnsi="Arial" w:cs="Arial"/>
          <w:bCs/>
          <w:sz w:val="22"/>
          <w:szCs w:val="22"/>
          <w:lang w:val="en-AU"/>
        </w:rPr>
        <w:t xml:space="preserve">andowners are modelled as price-takers – they accept whatever rents are on offer, as long as they are above </w:t>
      </w:r>
      <w:r>
        <w:rPr>
          <w:rFonts w:ascii="Arial" w:hAnsi="Arial" w:cs="Arial"/>
          <w:bCs/>
          <w:sz w:val="22"/>
          <w:szCs w:val="22"/>
          <w:lang w:val="en-AU"/>
        </w:rPr>
        <w:t>some</w:t>
      </w:r>
      <w:r w:rsidR="009F0F03" w:rsidRPr="00B211F4">
        <w:rPr>
          <w:rFonts w:ascii="Arial" w:hAnsi="Arial" w:cs="Arial"/>
          <w:bCs/>
          <w:sz w:val="22"/>
          <w:szCs w:val="22"/>
          <w:lang w:val="en-AU"/>
        </w:rPr>
        <w:t xml:space="preserve"> ‘reservation’ level set by agricultural land rents.</w:t>
      </w:r>
    </w:p>
    <w:p w14:paraId="3D081E9D" w14:textId="77777777" w:rsidR="009F0F03" w:rsidRPr="00B211F4" w:rsidRDefault="009F0F03" w:rsidP="009F0F03">
      <w:pPr>
        <w:outlineLvl w:val="0"/>
        <w:rPr>
          <w:rFonts w:ascii="Arial" w:hAnsi="Arial" w:cs="Arial"/>
          <w:bCs/>
          <w:sz w:val="22"/>
          <w:szCs w:val="22"/>
          <w:lang w:val="en-AU"/>
        </w:rPr>
      </w:pPr>
    </w:p>
    <w:p w14:paraId="7B8B4BAB" w14:textId="53B58118" w:rsidR="009F0F03" w:rsidRPr="00B211F4" w:rsidRDefault="002335F5" w:rsidP="009F0F03">
      <w:pPr>
        <w:outlineLvl w:val="0"/>
        <w:rPr>
          <w:rFonts w:ascii="Arial" w:hAnsi="Arial" w:cs="Arial"/>
          <w:bCs/>
          <w:sz w:val="22"/>
          <w:szCs w:val="22"/>
          <w:lang w:val="en-AU"/>
        </w:rPr>
      </w:pPr>
      <w:r>
        <w:rPr>
          <w:rFonts w:ascii="Arial" w:hAnsi="Arial" w:cs="Arial"/>
          <w:bCs/>
          <w:sz w:val="22"/>
          <w:szCs w:val="22"/>
          <w:lang w:val="en-AU"/>
        </w:rPr>
        <w:t>As a result, these</w:t>
      </w:r>
      <w:r w:rsidR="009F0F03" w:rsidRPr="00B211F4">
        <w:rPr>
          <w:rFonts w:ascii="Arial" w:hAnsi="Arial" w:cs="Arial"/>
          <w:bCs/>
          <w:sz w:val="22"/>
          <w:szCs w:val="22"/>
          <w:lang w:val="en-AU"/>
        </w:rPr>
        <w:t xml:space="preserve"> models do not address the possibility for </w:t>
      </w:r>
      <w:r>
        <w:rPr>
          <w:rFonts w:ascii="Arial" w:hAnsi="Arial" w:cs="Arial"/>
          <w:bCs/>
          <w:sz w:val="22"/>
          <w:szCs w:val="22"/>
          <w:lang w:val="en-AU"/>
        </w:rPr>
        <w:t>PCMs</w:t>
      </w:r>
      <w:r w:rsidR="009F0F03" w:rsidRPr="00B211F4">
        <w:rPr>
          <w:rFonts w:ascii="Arial" w:hAnsi="Arial" w:cs="Arial"/>
          <w:bCs/>
          <w:sz w:val="22"/>
          <w:szCs w:val="22"/>
          <w:lang w:val="en-AU"/>
        </w:rPr>
        <w:t xml:space="preserve"> for housing or urban land. Land prices are higher in some locations, but this simply reflects the capitalised value of better transport access</w:t>
      </w:r>
      <w:r w:rsidR="00683CB5">
        <w:rPr>
          <w:rFonts w:ascii="Arial" w:hAnsi="Arial" w:cs="Arial"/>
          <w:bCs/>
          <w:sz w:val="22"/>
          <w:szCs w:val="22"/>
          <w:lang w:val="en-AU"/>
        </w:rPr>
        <w:t xml:space="preserve">, or </w:t>
      </w:r>
      <w:r w:rsidR="003B50F1">
        <w:rPr>
          <w:rFonts w:ascii="Arial" w:hAnsi="Arial" w:cs="Arial"/>
          <w:bCs/>
          <w:sz w:val="22"/>
          <w:szCs w:val="22"/>
          <w:lang w:val="en-AU"/>
        </w:rPr>
        <w:t>other</w:t>
      </w:r>
      <w:r w:rsidR="00683CB5">
        <w:rPr>
          <w:rFonts w:ascii="Arial" w:hAnsi="Arial" w:cs="Arial"/>
          <w:bCs/>
          <w:sz w:val="22"/>
          <w:szCs w:val="22"/>
          <w:lang w:val="en-AU"/>
        </w:rPr>
        <w:t xml:space="preserve"> localised factors that affect prices</w:t>
      </w:r>
      <w:r w:rsidR="003B50F1">
        <w:rPr>
          <w:rFonts w:ascii="Arial" w:hAnsi="Arial" w:cs="Arial"/>
          <w:bCs/>
          <w:sz w:val="22"/>
          <w:szCs w:val="22"/>
          <w:lang w:val="en-AU"/>
        </w:rPr>
        <w:t xml:space="preserve"> such as local geography and climate</w:t>
      </w:r>
      <w:r w:rsidR="009F0F03" w:rsidRPr="00B211F4">
        <w:rPr>
          <w:rFonts w:ascii="Arial" w:hAnsi="Arial" w:cs="Arial"/>
          <w:bCs/>
          <w:sz w:val="22"/>
          <w:szCs w:val="22"/>
          <w:lang w:val="en-AU"/>
        </w:rPr>
        <w:t>.</w:t>
      </w:r>
    </w:p>
    <w:p w14:paraId="4CFE6AB1" w14:textId="77777777" w:rsidR="009F0F03" w:rsidRPr="00B211F4" w:rsidRDefault="009F0F03" w:rsidP="009F0F03">
      <w:pPr>
        <w:outlineLvl w:val="0"/>
        <w:rPr>
          <w:rFonts w:ascii="Arial" w:hAnsi="Arial" w:cs="Arial"/>
          <w:bCs/>
          <w:sz w:val="22"/>
          <w:szCs w:val="22"/>
          <w:lang w:val="en-AU"/>
        </w:rPr>
      </w:pPr>
    </w:p>
    <w:p w14:paraId="02F3F969" w14:textId="2CE84ACB" w:rsidR="009F0F03" w:rsidRDefault="005A16ED" w:rsidP="002335F5">
      <w:pPr>
        <w:outlineLvl w:val="0"/>
        <w:rPr>
          <w:rFonts w:ascii="Arial" w:hAnsi="Arial" w:cs="Arial"/>
          <w:bCs/>
          <w:sz w:val="22"/>
          <w:szCs w:val="22"/>
          <w:lang w:val="en-AU"/>
        </w:rPr>
      </w:pPr>
      <w:r>
        <w:rPr>
          <w:rFonts w:ascii="Arial" w:hAnsi="Arial" w:cs="Arial"/>
          <w:bCs/>
          <w:sz w:val="22"/>
          <w:szCs w:val="22"/>
          <w:lang w:val="en-AU"/>
        </w:rPr>
        <w:t>M</w:t>
      </w:r>
      <w:r w:rsidR="009F0F03" w:rsidRPr="00B211F4">
        <w:rPr>
          <w:rFonts w:ascii="Arial" w:hAnsi="Arial" w:cs="Arial"/>
          <w:bCs/>
          <w:sz w:val="22"/>
          <w:szCs w:val="22"/>
          <w:lang w:val="en-AU"/>
        </w:rPr>
        <w:t xml:space="preserve">arket imperfections </w:t>
      </w:r>
      <w:r>
        <w:rPr>
          <w:rFonts w:ascii="Arial" w:hAnsi="Arial" w:cs="Arial"/>
          <w:bCs/>
          <w:sz w:val="22"/>
          <w:szCs w:val="22"/>
          <w:lang w:val="en-AU"/>
        </w:rPr>
        <w:t xml:space="preserve">arising from land use regulation can be incorporated as an exogenous ‘cap’ on development </w:t>
      </w:r>
      <w:r w:rsidR="002335F5">
        <w:rPr>
          <w:rFonts w:ascii="Arial" w:hAnsi="Arial" w:cs="Arial"/>
          <w:bCs/>
          <w:sz w:val="22"/>
          <w:szCs w:val="22"/>
          <w:lang w:val="en-AU"/>
        </w:rPr>
        <w:t xml:space="preserve">(Kulish, Richards and Gillitzer, </w:t>
      </w:r>
      <w:r w:rsidR="009F0F03" w:rsidRPr="00B211F4">
        <w:rPr>
          <w:rFonts w:ascii="Arial" w:hAnsi="Arial" w:cs="Arial"/>
          <w:bCs/>
          <w:sz w:val="22"/>
          <w:szCs w:val="22"/>
          <w:lang w:val="en-AU"/>
        </w:rPr>
        <w:t>2011</w:t>
      </w:r>
      <w:r w:rsidR="002335F5">
        <w:rPr>
          <w:rFonts w:ascii="Arial" w:hAnsi="Arial" w:cs="Arial"/>
          <w:bCs/>
          <w:sz w:val="22"/>
          <w:szCs w:val="22"/>
          <w:lang w:val="en-AU"/>
        </w:rPr>
        <w:t>;</w:t>
      </w:r>
      <w:r w:rsidR="009F0F03" w:rsidRPr="00B211F4">
        <w:rPr>
          <w:rFonts w:ascii="Arial" w:hAnsi="Arial" w:cs="Arial"/>
          <w:bCs/>
          <w:sz w:val="22"/>
          <w:szCs w:val="22"/>
          <w:lang w:val="en-AU"/>
        </w:rPr>
        <w:t xml:space="preserve"> Lees</w:t>
      </w:r>
      <w:r w:rsidR="002335F5">
        <w:rPr>
          <w:rFonts w:ascii="Arial" w:hAnsi="Arial" w:cs="Arial"/>
          <w:bCs/>
          <w:sz w:val="22"/>
          <w:szCs w:val="22"/>
          <w:lang w:val="en-AU"/>
        </w:rPr>
        <w:t xml:space="preserve">, </w:t>
      </w:r>
      <w:r w:rsidR="00401E1B">
        <w:rPr>
          <w:rFonts w:ascii="Arial" w:hAnsi="Arial" w:cs="Arial"/>
          <w:bCs/>
          <w:sz w:val="22"/>
          <w:szCs w:val="22"/>
          <w:lang w:val="en-AU"/>
        </w:rPr>
        <w:t>2014</w:t>
      </w:r>
      <w:r w:rsidR="009F0F03" w:rsidRPr="00B211F4">
        <w:rPr>
          <w:rFonts w:ascii="Arial" w:hAnsi="Arial" w:cs="Arial"/>
          <w:bCs/>
          <w:sz w:val="22"/>
          <w:szCs w:val="22"/>
          <w:lang w:val="en-AU"/>
        </w:rPr>
        <w:t>)</w:t>
      </w:r>
      <w:r w:rsidR="002335F5">
        <w:rPr>
          <w:rFonts w:ascii="Arial" w:hAnsi="Arial" w:cs="Arial"/>
          <w:bCs/>
          <w:sz w:val="22"/>
          <w:szCs w:val="22"/>
          <w:lang w:val="en-AU"/>
        </w:rPr>
        <w:t xml:space="preserve">, or </w:t>
      </w:r>
      <w:r>
        <w:rPr>
          <w:rFonts w:ascii="Arial" w:hAnsi="Arial" w:cs="Arial"/>
          <w:bCs/>
          <w:sz w:val="22"/>
          <w:szCs w:val="22"/>
          <w:lang w:val="en-AU"/>
        </w:rPr>
        <w:t>as</w:t>
      </w:r>
      <w:r w:rsidR="002335F5">
        <w:rPr>
          <w:rFonts w:ascii="Arial" w:hAnsi="Arial" w:cs="Arial"/>
          <w:bCs/>
          <w:sz w:val="22"/>
          <w:szCs w:val="22"/>
          <w:lang w:val="en-AU"/>
        </w:rPr>
        <w:t xml:space="preserve"> land costs or </w:t>
      </w:r>
      <w:r w:rsidR="002335F5">
        <w:rPr>
          <w:rFonts w:ascii="Arial" w:hAnsi="Arial" w:cs="Arial"/>
          <w:bCs/>
          <w:sz w:val="22"/>
          <w:szCs w:val="22"/>
          <w:lang w:val="en-AU"/>
        </w:rPr>
        <w:lastRenderedPageBreak/>
        <w:t xml:space="preserve">development costs that rise with density of </w:t>
      </w:r>
      <w:r>
        <w:rPr>
          <w:rFonts w:ascii="Arial" w:hAnsi="Arial" w:cs="Arial"/>
          <w:bCs/>
          <w:sz w:val="22"/>
          <w:szCs w:val="22"/>
          <w:lang w:val="en-AU"/>
        </w:rPr>
        <w:t>development</w:t>
      </w:r>
      <w:r w:rsidR="002335F5">
        <w:rPr>
          <w:rFonts w:ascii="Arial" w:hAnsi="Arial" w:cs="Arial"/>
          <w:bCs/>
          <w:sz w:val="22"/>
          <w:szCs w:val="22"/>
          <w:lang w:val="en-AU"/>
        </w:rPr>
        <w:t xml:space="preserve"> (Severn, 2019). </w:t>
      </w:r>
      <w:r>
        <w:rPr>
          <w:rFonts w:ascii="Arial" w:hAnsi="Arial" w:cs="Arial"/>
          <w:bCs/>
          <w:sz w:val="22"/>
          <w:szCs w:val="22"/>
          <w:lang w:val="en-AU"/>
        </w:rPr>
        <w:t>T</w:t>
      </w:r>
      <w:r w:rsidR="00683CB5">
        <w:rPr>
          <w:rFonts w:ascii="Arial" w:hAnsi="Arial" w:cs="Arial"/>
          <w:bCs/>
          <w:sz w:val="22"/>
          <w:szCs w:val="22"/>
          <w:lang w:val="en-AU"/>
        </w:rPr>
        <w:t>hese reflect ad hoc</w:t>
      </w:r>
      <w:r w:rsidR="002335F5">
        <w:rPr>
          <w:rFonts w:ascii="Arial" w:hAnsi="Arial" w:cs="Arial"/>
          <w:bCs/>
          <w:sz w:val="22"/>
          <w:szCs w:val="22"/>
          <w:lang w:val="en-AU"/>
        </w:rPr>
        <w:t xml:space="preserve"> treatments of market imperfections, rather than formal modelling of deviations from perfect competition. These models may not be able to capture the impact of transport investment on PCMs fo</w:t>
      </w:r>
      <w:r w:rsidR="0019548F">
        <w:rPr>
          <w:rFonts w:ascii="Arial" w:hAnsi="Arial" w:cs="Arial"/>
          <w:bCs/>
          <w:sz w:val="22"/>
          <w:szCs w:val="22"/>
          <w:lang w:val="en-AU"/>
        </w:rPr>
        <w:t>r housing or land without additional exogenous adjustments, such as relaxing land use policies.</w:t>
      </w:r>
    </w:p>
    <w:p w14:paraId="7171024E" w14:textId="77777777" w:rsidR="002335F5" w:rsidRDefault="002335F5" w:rsidP="002335F5">
      <w:pPr>
        <w:outlineLvl w:val="0"/>
        <w:rPr>
          <w:rFonts w:ascii="Arial" w:hAnsi="Arial" w:cs="Arial"/>
          <w:bCs/>
          <w:sz w:val="22"/>
          <w:szCs w:val="22"/>
          <w:lang w:val="en-AU"/>
        </w:rPr>
      </w:pPr>
    </w:p>
    <w:p w14:paraId="1C9801F0" w14:textId="16D37D19" w:rsidR="009F0F03" w:rsidRPr="00683CB5" w:rsidRDefault="009F0F03" w:rsidP="009F0F03">
      <w:pPr>
        <w:numPr>
          <w:ilvl w:val="1"/>
          <w:numId w:val="6"/>
        </w:numPr>
        <w:outlineLvl w:val="0"/>
        <w:rPr>
          <w:rFonts w:ascii="Arial" w:hAnsi="Arial" w:cs="Arial"/>
          <w:b/>
          <w:bCs/>
          <w:i/>
          <w:iCs/>
          <w:sz w:val="22"/>
          <w:szCs w:val="22"/>
          <w:lang w:val="en-AU"/>
        </w:rPr>
      </w:pPr>
      <w:r w:rsidRPr="00C0356B">
        <w:rPr>
          <w:rFonts w:ascii="Arial" w:hAnsi="Arial" w:cs="Arial"/>
          <w:b/>
          <w:bCs/>
          <w:i/>
          <w:iCs/>
          <w:sz w:val="22"/>
          <w:szCs w:val="22"/>
          <w:lang w:val="en-AU"/>
        </w:rPr>
        <w:t xml:space="preserve">How these models address inter-regional </w:t>
      </w:r>
      <w:r w:rsidR="00683CB5">
        <w:rPr>
          <w:rFonts w:ascii="Arial" w:hAnsi="Arial" w:cs="Arial"/>
          <w:b/>
          <w:bCs/>
          <w:i/>
          <w:iCs/>
          <w:sz w:val="22"/>
          <w:szCs w:val="22"/>
          <w:lang w:val="en-AU"/>
        </w:rPr>
        <w:t>redistribution of population</w:t>
      </w:r>
    </w:p>
    <w:p w14:paraId="2E073752" w14:textId="12B9B280" w:rsidR="00B211F4" w:rsidRDefault="009F0F03" w:rsidP="00B211F4">
      <w:pPr>
        <w:outlineLvl w:val="0"/>
        <w:rPr>
          <w:rFonts w:ascii="Arial" w:hAnsi="Arial" w:cs="Arial"/>
          <w:bCs/>
          <w:sz w:val="22"/>
          <w:szCs w:val="22"/>
          <w:lang w:val="en-AU"/>
        </w:rPr>
      </w:pPr>
      <w:r w:rsidRPr="00B211F4">
        <w:rPr>
          <w:rFonts w:ascii="Arial" w:hAnsi="Arial" w:cs="Arial"/>
          <w:bCs/>
          <w:sz w:val="22"/>
          <w:szCs w:val="22"/>
          <w:lang w:val="en-AU"/>
        </w:rPr>
        <w:t>Some model</w:t>
      </w:r>
      <w:r w:rsidR="004F609D">
        <w:rPr>
          <w:rFonts w:ascii="Arial" w:hAnsi="Arial" w:cs="Arial"/>
          <w:bCs/>
          <w:sz w:val="22"/>
          <w:szCs w:val="22"/>
          <w:lang w:val="en-AU"/>
        </w:rPr>
        <w:t>s</w:t>
      </w:r>
      <w:r w:rsidRPr="00B211F4">
        <w:rPr>
          <w:rFonts w:ascii="Arial" w:hAnsi="Arial" w:cs="Arial"/>
          <w:bCs/>
          <w:sz w:val="22"/>
          <w:szCs w:val="22"/>
          <w:lang w:val="en-AU"/>
        </w:rPr>
        <w:t xml:space="preserve"> can account for inter-regional impacts of local transport improvements. For instance, the ‘open city’ variant of the </w:t>
      </w:r>
      <w:r w:rsidR="004F609D">
        <w:rPr>
          <w:rFonts w:ascii="Arial" w:hAnsi="Arial" w:cs="Arial"/>
          <w:bCs/>
          <w:sz w:val="22"/>
          <w:szCs w:val="22"/>
          <w:lang w:val="en-AU"/>
        </w:rPr>
        <w:t xml:space="preserve">AMM </w:t>
      </w:r>
      <w:r w:rsidRPr="00B211F4">
        <w:rPr>
          <w:rFonts w:ascii="Arial" w:hAnsi="Arial" w:cs="Arial"/>
          <w:bCs/>
          <w:sz w:val="22"/>
          <w:szCs w:val="22"/>
          <w:lang w:val="en-AU"/>
        </w:rPr>
        <w:t xml:space="preserve">model allows city size to increase in response to a transport improvement. </w:t>
      </w:r>
      <w:r w:rsidR="004F609D">
        <w:rPr>
          <w:rFonts w:ascii="Arial" w:hAnsi="Arial" w:cs="Arial"/>
          <w:bCs/>
          <w:sz w:val="22"/>
          <w:szCs w:val="22"/>
          <w:lang w:val="en-AU"/>
        </w:rPr>
        <w:t xml:space="preserve">Severn (2019) builds upon the same approach, considering </w:t>
      </w:r>
      <w:r w:rsidR="00B211F4" w:rsidRPr="00B211F4">
        <w:rPr>
          <w:rFonts w:ascii="Arial" w:hAnsi="Arial" w:cs="Arial"/>
          <w:bCs/>
          <w:sz w:val="22"/>
          <w:szCs w:val="22"/>
          <w:lang w:val="en-AU"/>
        </w:rPr>
        <w:t>an ‘op</w:t>
      </w:r>
      <w:r w:rsidR="004F609D">
        <w:rPr>
          <w:rFonts w:ascii="Arial" w:hAnsi="Arial" w:cs="Arial"/>
          <w:bCs/>
          <w:sz w:val="22"/>
          <w:szCs w:val="22"/>
          <w:lang w:val="en-AU"/>
        </w:rPr>
        <w:t>en city’ scenario following the AMM</w:t>
      </w:r>
      <w:r w:rsidR="00B211F4" w:rsidRPr="00B211F4">
        <w:rPr>
          <w:rFonts w:ascii="Arial" w:hAnsi="Arial" w:cs="Arial"/>
          <w:bCs/>
          <w:sz w:val="22"/>
          <w:szCs w:val="22"/>
          <w:lang w:val="en-AU"/>
        </w:rPr>
        <w:t xml:space="preserve"> spatial equilibrium concept.</w:t>
      </w:r>
      <w:r w:rsidR="005F0C56">
        <w:rPr>
          <w:rFonts w:ascii="Arial" w:hAnsi="Arial" w:cs="Arial"/>
          <w:bCs/>
          <w:sz w:val="22"/>
          <w:szCs w:val="22"/>
          <w:lang w:val="en-AU"/>
        </w:rPr>
        <w:t xml:space="preserve"> The same approach could be implemented in the context of other spatial equilibrium models or LUTI models</w:t>
      </w:r>
      <w:r w:rsidR="005A16ED">
        <w:rPr>
          <w:rFonts w:ascii="Arial" w:hAnsi="Arial" w:cs="Arial"/>
          <w:bCs/>
          <w:sz w:val="22"/>
          <w:szCs w:val="22"/>
          <w:lang w:val="en-AU"/>
        </w:rPr>
        <w:t>, with some adjustment</w:t>
      </w:r>
      <w:r w:rsidR="00F47887">
        <w:rPr>
          <w:rFonts w:ascii="Arial" w:hAnsi="Arial" w:cs="Arial"/>
          <w:bCs/>
          <w:sz w:val="22"/>
          <w:szCs w:val="22"/>
          <w:lang w:val="en-AU"/>
        </w:rPr>
        <w:t>.</w:t>
      </w:r>
    </w:p>
    <w:p w14:paraId="4BE0C7FB" w14:textId="77777777" w:rsidR="004F609D" w:rsidRDefault="004F609D" w:rsidP="00B211F4">
      <w:pPr>
        <w:outlineLvl w:val="0"/>
        <w:rPr>
          <w:rFonts w:ascii="Arial" w:hAnsi="Arial" w:cs="Arial"/>
          <w:bCs/>
          <w:sz w:val="22"/>
          <w:szCs w:val="22"/>
          <w:lang w:val="en-AU"/>
        </w:rPr>
      </w:pPr>
    </w:p>
    <w:p w14:paraId="79B9588D" w14:textId="196EDA19" w:rsidR="00E84FFE" w:rsidRDefault="000E764B" w:rsidP="00B211F4">
      <w:pPr>
        <w:outlineLvl w:val="0"/>
        <w:rPr>
          <w:rFonts w:ascii="Arial" w:hAnsi="Arial" w:cs="Arial"/>
          <w:bCs/>
          <w:sz w:val="22"/>
          <w:szCs w:val="22"/>
          <w:lang w:val="en-AU"/>
        </w:rPr>
      </w:pPr>
      <w:r>
        <w:rPr>
          <w:rFonts w:ascii="Arial" w:hAnsi="Arial" w:cs="Arial"/>
          <w:bCs/>
          <w:sz w:val="22"/>
          <w:szCs w:val="22"/>
          <w:lang w:val="en-AU"/>
        </w:rPr>
        <w:t xml:space="preserve">A </w:t>
      </w:r>
      <w:r w:rsidR="005A16ED">
        <w:rPr>
          <w:rFonts w:ascii="Arial" w:hAnsi="Arial" w:cs="Arial"/>
          <w:bCs/>
          <w:sz w:val="22"/>
          <w:szCs w:val="22"/>
          <w:lang w:val="en-AU"/>
        </w:rPr>
        <w:t>limit</w:t>
      </w:r>
      <w:r w:rsidR="003B50F1">
        <w:rPr>
          <w:rFonts w:ascii="Arial" w:hAnsi="Arial" w:cs="Arial"/>
          <w:bCs/>
          <w:sz w:val="22"/>
          <w:szCs w:val="22"/>
          <w:lang w:val="en-AU"/>
        </w:rPr>
        <w:t>ation</w:t>
      </w:r>
      <w:r w:rsidR="005A16ED">
        <w:rPr>
          <w:rFonts w:ascii="Arial" w:hAnsi="Arial" w:cs="Arial"/>
          <w:bCs/>
          <w:sz w:val="22"/>
          <w:szCs w:val="22"/>
          <w:lang w:val="en-AU"/>
        </w:rPr>
        <w:t xml:space="preserve"> of</w:t>
      </w:r>
      <w:r>
        <w:rPr>
          <w:rFonts w:ascii="Arial" w:hAnsi="Arial" w:cs="Arial"/>
          <w:bCs/>
          <w:sz w:val="22"/>
          <w:szCs w:val="22"/>
          <w:lang w:val="en-AU"/>
        </w:rPr>
        <w:t xml:space="preserve"> the AMM ‘open city’ approach is that city residents’ utility is equalised relative to an </w:t>
      </w:r>
      <w:r w:rsidR="00683CB5">
        <w:rPr>
          <w:rFonts w:ascii="Arial" w:hAnsi="Arial" w:cs="Arial"/>
          <w:bCs/>
          <w:sz w:val="22"/>
          <w:szCs w:val="22"/>
          <w:lang w:val="en-AU"/>
        </w:rPr>
        <w:t>outside</w:t>
      </w:r>
      <w:r>
        <w:rPr>
          <w:rFonts w:ascii="Arial" w:hAnsi="Arial" w:cs="Arial"/>
          <w:bCs/>
          <w:sz w:val="22"/>
          <w:szCs w:val="22"/>
          <w:lang w:val="en-AU"/>
        </w:rPr>
        <w:t xml:space="preserve"> ‘reservation’ location. </w:t>
      </w:r>
      <w:r w:rsidR="003B50F1">
        <w:rPr>
          <w:rFonts w:ascii="Arial" w:hAnsi="Arial" w:cs="Arial"/>
          <w:bCs/>
          <w:sz w:val="22"/>
          <w:szCs w:val="22"/>
          <w:lang w:val="en-AU"/>
        </w:rPr>
        <w:t>In the model</w:t>
      </w:r>
      <w:r>
        <w:rPr>
          <w:rFonts w:ascii="Arial" w:hAnsi="Arial" w:cs="Arial"/>
          <w:bCs/>
          <w:sz w:val="22"/>
          <w:szCs w:val="22"/>
          <w:lang w:val="en-AU"/>
        </w:rPr>
        <w:t xml:space="preserve">, transport improvements or reduced house prices </w:t>
      </w:r>
      <w:r w:rsidR="003B50F1">
        <w:rPr>
          <w:rFonts w:ascii="Arial" w:hAnsi="Arial" w:cs="Arial"/>
          <w:bCs/>
          <w:sz w:val="22"/>
          <w:szCs w:val="22"/>
          <w:lang w:val="en-AU"/>
        </w:rPr>
        <w:t xml:space="preserve">can </w:t>
      </w:r>
      <w:r>
        <w:rPr>
          <w:rFonts w:ascii="Arial" w:hAnsi="Arial" w:cs="Arial"/>
          <w:bCs/>
          <w:sz w:val="22"/>
          <w:szCs w:val="22"/>
          <w:lang w:val="en-AU"/>
        </w:rPr>
        <w:t xml:space="preserve">increase city size but </w:t>
      </w:r>
      <w:r w:rsidR="003B50F1">
        <w:rPr>
          <w:rFonts w:ascii="Arial" w:hAnsi="Arial" w:cs="Arial"/>
          <w:bCs/>
          <w:sz w:val="22"/>
          <w:szCs w:val="22"/>
          <w:lang w:val="en-AU"/>
        </w:rPr>
        <w:t xml:space="preserve">only if they </w:t>
      </w:r>
      <w:r>
        <w:rPr>
          <w:rFonts w:ascii="Arial" w:hAnsi="Arial" w:cs="Arial"/>
          <w:bCs/>
          <w:sz w:val="22"/>
          <w:szCs w:val="22"/>
          <w:lang w:val="en-AU"/>
        </w:rPr>
        <w:t xml:space="preserve">do not affect overall levels of wellbeing. </w:t>
      </w:r>
      <w:r w:rsidR="003B50F1">
        <w:rPr>
          <w:rFonts w:ascii="Arial" w:hAnsi="Arial" w:cs="Arial"/>
          <w:bCs/>
          <w:sz w:val="22"/>
          <w:szCs w:val="22"/>
          <w:lang w:val="en-AU"/>
        </w:rPr>
        <w:t>For major projects in large cities, this is likely to be unrealistic. It</w:t>
      </w:r>
      <w:r w:rsidR="00F47887">
        <w:rPr>
          <w:rFonts w:ascii="Arial" w:hAnsi="Arial" w:cs="Arial"/>
          <w:bCs/>
          <w:sz w:val="22"/>
          <w:szCs w:val="22"/>
          <w:lang w:val="en-AU"/>
        </w:rPr>
        <w:t xml:space="preserve"> could be addressed by modelling a full system of cities, as in Hsieh and Moretti (201</w:t>
      </w:r>
      <w:r w:rsidR="00383B28">
        <w:rPr>
          <w:rFonts w:ascii="Arial" w:hAnsi="Arial" w:cs="Arial"/>
          <w:bCs/>
          <w:sz w:val="22"/>
          <w:szCs w:val="22"/>
          <w:lang w:val="en-AU"/>
        </w:rPr>
        <w:t>9</w:t>
      </w:r>
      <w:r w:rsidR="00F47887">
        <w:rPr>
          <w:rFonts w:ascii="Arial" w:hAnsi="Arial" w:cs="Arial"/>
          <w:bCs/>
          <w:sz w:val="22"/>
          <w:szCs w:val="22"/>
          <w:lang w:val="en-AU"/>
        </w:rPr>
        <w:t>) or related models, and allowing average utility levels across all cities to change in response to changes in a single location.</w:t>
      </w:r>
    </w:p>
    <w:p w14:paraId="11C29189" w14:textId="77777777" w:rsidR="00F47887" w:rsidRDefault="00F47887" w:rsidP="00B211F4">
      <w:pPr>
        <w:outlineLvl w:val="0"/>
        <w:rPr>
          <w:rFonts w:ascii="Arial" w:hAnsi="Arial" w:cs="Arial"/>
          <w:bCs/>
          <w:sz w:val="22"/>
          <w:szCs w:val="22"/>
          <w:lang w:val="en-AU"/>
        </w:rPr>
      </w:pPr>
    </w:p>
    <w:p w14:paraId="7AF02C78" w14:textId="67E0C663" w:rsidR="005F0C56" w:rsidRDefault="00F47887" w:rsidP="00B211F4">
      <w:pPr>
        <w:outlineLvl w:val="0"/>
        <w:rPr>
          <w:rFonts w:ascii="Arial" w:hAnsi="Arial" w:cs="Arial"/>
          <w:bCs/>
          <w:sz w:val="22"/>
          <w:szCs w:val="22"/>
          <w:lang w:val="en-AU"/>
        </w:rPr>
      </w:pPr>
      <w:r>
        <w:rPr>
          <w:rFonts w:ascii="Arial" w:hAnsi="Arial" w:cs="Arial"/>
          <w:bCs/>
          <w:sz w:val="22"/>
          <w:szCs w:val="22"/>
          <w:lang w:val="en-AU"/>
        </w:rPr>
        <w:t>SCGE models adopt a different approach. In this model, the size of cities’ population and economic output changes in response to better inter-regional or within-city connectivity as well as flow-on impacts on business investment decisions.</w:t>
      </w:r>
    </w:p>
    <w:p w14:paraId="41AE77B7" w14:textId="77777777" w:rsidR="00C0356B" w:rsidRDefault="00C0356B" w:rsidP="00B211F4">
      <w:pPr>
        <w:outlineLvl w:val="0"/>
        <w:rPr>
          <w:rFonts w:ascii="Arial" w:hAnsi="Arial" w:cs="Arial"/>
          <w:bCs/>
          <w:sz w:val="22"/>
          <w:szCs w:val="22"/>
          <w:lang w:val="en-AU"/>
        </w:rPr>
      </w:pPr>
    </w:p>
    <w:p w14:paraId="65B0DAFE" w14:textId="768A2434" w:rsidR="00C0356B" w:rsidRPr="00474EE0" w:rsidRDefault="00683CB5" w:rsidP="00C0356B">
      <w:pPr>
        <w:numPr>
          <w:ilvl w:val="0"/>
          <w:numId w:val="6"/>
        </w:numPr>
        <w:outlineLvl w:val="0"/>
        <w:rPr>
          <w:rFonts w:ascii="Arial" w:hAnsi="Arial" w:cs="Arial"/>
          <w:b/>
          <w:bCs/>
          <w:sz w:val="28"/>
          <w:szCs w:val="28"/>
        </w:rPr>
      </w:pPr>
      <w:bookmarkStart w:id="5" w:name="_Ref32868567"/>
      <w:r>
        <w:rPr>
          <w:rFonts w:ascii="Arial" w:hAnsi="Arial" w:cs="Arial"/>
          <w:b/>
          <w:bCs/>
          <w:sz w:val="28"/>
          <w:szCs w:val="28"/>
        </w:rPr>
        <w:t>Proposal for a new modelling approach</w:t>
      </w:r>
      <w:bookmarkEnd w:id="5"/>
    </w:p>
    <w:p w14:paraId="132457EF" w14:textId="77777777" w:rsidR="0051052A" w:rsidRDefault="0051052A" w:rsidP="0051052A">
      <w:pPr>
        <w:outlineLvl w:val="0"/>
        <w:rPr>
          <w:rFonts w:ascii="Arial" w:hAnsi="Arial" w:cs="Arial"/>
          <w:bCs/>
          <w:sz w:val="22"/>
          <w:szCs w:val="22"/>
          <w:lang w:val="en-AU"/>
        </w:rPr>
      </w:pPr>
    </w:p>
    <w:p w14:paraId="06C9B4B2" w14:textId="77777777" w:rsidR="00307C97" w:rsidRPr="00307C97" w:rsidRDefault="00307C97" w:rsidP="00307C97">
      <w:pPr>
        <w:outlineLvl w:val="0"/>
        <w:rPr>
          <w:rFonts w:ascii="Arial" w:hAnsi="Arial" w:cs="Arial"/>
          <w:bCs/>
          <w:sz w:val="22"/>
          <w:szCs w:val="22"/>
          <w:lang w:val="en-AU"/>
        </w:rPr>
      </w:pPr>
      <w:r w:rsidRPr="00307C97">
        <w:rPr>
          <w:rFonts w:ascii="Arial" w:hAnsi="Arial" w:cs="Arial"/>
          <w:bCs/>
          <w:sz w:val="22"/>
          <w:szCs w:val="22"/>
          <w:lang w:val="en-AU"/>
        </w:rPr>
        <w:t>A well-known Irish joke involves a lost traveller asking a farmer for directions to a certain village. The farmer thinks for a moment and then says “If you want to get there, I wouldn't start here.”</w:t>
      </w:r>
    </w:p>
    <w:p w14:paraId="0325CE1C" w14:textId="77777777" w:rsidR="00307C97" w:rsidRPr="00307C97" w:rsidRDefault="00307C97" w:rsidP="00307C97">
      <w:pPr>
        <w:outlineLvl w:val="0"/>
        <w:rPr>
          <w:rFonts w:ascii="Arial" w:hAnsi="Arial" w:cs="Arial"/>
          <w:bCs/>
          <w:sz w:val="22"/>
          <w:szCs w:val="22"/>
          <w:lang w:val="en-AU"/>
        </w:rPr>
      </w:pPr>
    </w:p>
    <w:p w14:paraId="7777F245" w14:textId="556E5FC2" w:rsidR="00307C97" w:rsidRDefault="00307C97" w:rsidP="00307C97">
      <w:pPr>
        <w:outlineLvl w:val="0"/>
        <w:rPr>
          <w:rFonts w:ascii="Arial" w:hAnsi="Arial" w:cs="Arial"/>
          <w:bCs/>
          <w:sz w:val="22"/>
          <w:szCs w:val="22"/>
          <w:lang w:val="en-AU"/>
        </w:rPr>
      </w:pPr>
      <w:r w:rsidRPr="00307C97">
        <w:rPr>
          <w:rFonts w:ascii="Arial" w:hAnsi="Arial" w:cs="Arial"/>
          <w:bCs/>
          <w:sz w:val="22"/>
          <w:szCs w:val="22"/>
          <w:lang w:val="en-AU"/>
        </w:rPr>
        <w:t>Modelling the wider economic benefits that transport investment generates in housing development markets appears to be a similar case. Attempts to investigate this question typically start with land use-transport interaction models</w:t>
      </w:r>
      <w:r w:rsidR="00383B28">
        <w:rPr>
          <w:rFonts w:ascii="Arial" w:hAnsi="Arial" w:cs="Arial"/>
          <w:bCs/>
          <w:sz w:val="22"/>
          <w:szCs w:val="22"/>
          <w:lang w:val="en-AU"/>
        </w:rPr>
        <w:t xml:space="preserve"> that</w:t>
      </w:r>
      <w:r w:rsidRPr="00307C97">
        <w:rPr>
          <w:rFonts w:ascii="Arial" w:hAnsi="Arial" w:cs="Arial"/>
          <w:bCs/>
          <w:sz w:val="22"/>
          <w:szCs w:val="22"/>
          <w:lang w:val="en-AU"/>
        </w:rPr>
        <w:t xml:space="preserve"> are ill-suited for the task of predicting changes to the competitive dynamics of housing development and urban land markets, as they generally assume that these markets are perfectly competitive.</w:t>
      </w:r>
    </w:p>
    <w:p w14:paraId="1F110597" w14:textId="77777777" w:rsidR="00E5556B" w:rsidRDefault="00E5556B" w:rsidP="0051052A">
      <w:pPr>
        <w:outlineLvl w:val="0"/>
        <w:rPr>
          <w:rFonts w:ascii="Arial" w:hAnsi="Arial" w:cs="Arial"/>
          <w:bCs/>
          <w:sz w:val="22"/>
          <w:szCs w:val="22"/>
          <w:lang w:val="en-AU"/>
        </w:rPr>
      </w:pPr>
    </w:p>
    <w:p w14:paraId="4CFA8CFE" w14:textId="13B7B289" w:rsidR="000F3497" w:rsidRDefault="00383B28" w:rsidP="00E5556B">
      <w:pPr>
        <w:outlineLvl w:val="0"/>
        <w:rPr>
          <w:rFonts w:ascii="Arial" w:hAnsi="Arial" w:cs="Arial"/>
          <w:bCs/>
          <w:sz w:val="22"/>
          <w:szCs w:val="22"/>
          <w:lang w:val="en-AU"/>
        </w:rPr>
      </w:pPr>
      <w:r>
        <w:rPr>
          <w:rFonts w:ascii="Arial" w:hAnsi="Arial" w:cs="Arial"/>
          <w:bCs/>
          <w:sz w:val="22"/>
          <w:szCs w:val="22"/>
          <w:lang w:val="en-AU"/>
        </w:rPr>
        <w:t>This</w:t>
      </w:r>
      <w:r w:rsidR="000F3497">
        <w:rPr>
          <w:rFonts w:ascii="Arial" w:hAnsi="Arial" w:cs="Arial"/>
          <w:bCs/>
          <w:sz w:val="22"/>
          <w:szCs w:val="22"/>
          <w:lang w:val="en-AU"/>
        </w:rPr>
        <w:t xml:space="preserve"> paper </w:t>
      </w:r>
      <w:r>
        <w:rPr>
          <w:rFonts w:ascii="Arial" w:hAnsi="Arial" w:cs="Arial"/>
          <w:bCs/>
          <w:sz w:val="22"/>
          <w:szCs w:val="22"/>
          <w:lang w:val="en-AU"/>
        </w:rPr>
        <w:t xml:space="preserve">therefore </w:t>
      </w:r>
      <w:r w:rsidR="000F3497">
        <w:rPr>
          <w:rFonts w:ascii="Arial" w:hAnsi="Arial" w:cs="Arial"/>
          <w:bCs/>
          <w:sz w:val="22"/>
          <w:szCs w:val="22"/>
          <w:lang w:val="en-AU"/>
        </w:rPr>
        <w:t xml:space="preserve">proposes an approach to </w:t>
      </w:r>
      <w:r w:rsidR="00E5556B" w:rsidRPr="00E5556B">
        <w:rPr>
          <w:rFonts w:ascii="Arial" w:hAnsi="Arial" w:cs="Arial"/>
          <w:bCs/>
          <w:sz w:val="22"/>
          <w:szCs w:val="22"/>
          <w:lang w:val="en-AU"/>
        </w:rPr>
        <w:t>modelling land use-transport interactions that is capable of addressing the potential for improved competition in housing development markets.</w:t>
      </w:r>
      <w:r w:rsidR="000F3497">
        <w:rPr>
          <w:rFonts w:ascii="Arial" w:hAnsi="Arial" w:cs="Arial"/>
          <w:bCs/>
          <w:sz w:val="22"/>
          <w:szCs w:val="22"/>
          <w:lang w:val="en-AU"/>
        </w:rPr>
        <w:t xml:space="preserve"> </w:t>
      </w:r>
      <w:r w:rsidR="00E5556B" w:rsidRPr="00E5556B">
        <w:rPr>
          <w:rFonts w:ascii="Arial" w:hAnsi="Arial" w:cs="Arial"/>
          <w:bCs/>
          <w:sz w:val="22"/>
          <w:szCs w:val="22"/>
          <w:lang w:val="en-AU"/>
        </w:rPr>
        <w:t>This approach builds upon the spatial equilibrium models discussed in the literature review</w:t>
      </w:r>
      <w:r w:rsidR="000F3497">
        <w:rPr>
          <w:rFonts w:ascii="Arial" w:hAnsi="Arial" w:cs="Arial"/>
          <w:bCs/>
          <w:sz w:val="22"/>
          <w:szCs w:val="22"/>
          <w:lang w:val="en-AU"/>
        </w:rPr>
        <w:t>, as well as a separate review of industrial organisation models of imperfect competition.</w:t>
      </w:r>
    </w:p>
    <w:p w14:paraId="21363A11" w14:textId="77777777" w:rsidR="00E5556B" w:rsidRPr="00E5556B" w:rsidRDefault="00E5556B" w:rsidP="00E5556B">
      <w:pPr>
        <w:outlineLvl w:val="0"/>
        <w:rPr>
          <w:rFonts w:ascii="Arial" w:hAnsi="Arial" w:cs="Arial"/>
          <w:bCs/>
          <w:sz w:val="22"/>
          <w:szCs w:val="22"/>
          <w:lang w:val="en-AU"/>
        </w:rPr>
      </w:pPr>
    </w:p>
    <w:p w14:paraId="385E601D" w14:textId="3A55CC1F"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 xml:space="preserve">The proposed model starts with a reasonably well-established approach for estimating how household location choice responds to changes in transport costs between origin and destination locations. It then extends this model to capture local housing supply and demand dynamics. The household location choice element of this model builds upon </w:t>
      </w:r>
      <w:r w:rsidR="000F3497">
        <w:rPr>
          <w:rFonts w:ascii="Arial" w:hAnsi="Arial" w:cs="Arial"/>
          <w:bCs/>
          <w:sz w:val="22"/>
          <w:szCs w:val="22"/>
          <w:lang w:val="en-AU"/>
        </w:rPr>
        <w:t>Nunns</w:t>
      </w:r>
      <w:r w:rsidRPr="00E5556B">
        <w:rPr>
          <w:rFonts w:ascii="Arial" w:hAnsi="Arial" w:cs="Arial"/>
          <w:bCs/>
          <w:sz w:val="22"/>
          <w:szCs w:val="22"/>
          <w:lang w:val="en-AU"/>
        </w:rPr>
        <w:t xml:space="preserve"> </w:t>
      </w:r>
      <w:r w:rsidR="000F3497">
        <w:rPr>
          <w:rFonts w:ascii="Arial" w:hAnsi="Arial" w:cs="Arial"/>
          <w:bCs/>
          <w:sz w:val="22"/>
          <w:szCs w:val="22"/>
          <w:lang w:val="en-AU"/>
        </w:rPr>
        <w:t>(</w:t>
      </w:r>
      <w:r w:rsidRPr="00E5556B">
        <w:rPr>
          <w:rFonts w:ascii="Arial" w:hAnsi="Arial" w:cs="Arial"/>
          <w:bCs/>
          <w:sz w:val="22"/>
          <w:szCs w:val="22"/>
          <w:lang w:val="en-AU"/>
        </w:rPr>
        <w:t>2019) as well as the wider literature. Modelling of local housing supply dynamics is related to Severn’s (2019) model of the impacts of the Los Angeles Metro, with extensions to capture the potential for increased competition between developers in alternative locations.</w:t>
      </w:r>
    </w:p>
    <w:p w14:paraId="179A0C62" w14:textId="77777777" w:rsidR="00E5556B" w:rsidRPr="00E5556B" w:rsidRDefault="00E5556B" w:rsidP="00E5556B">
      <w:pPr>
        <w:outlineLvl w:val="0"/>
        <w:rPr>
          <w:rFonts w:ascii="Arial" w:hAnsi="Arial" w:cs="Arial"/>
          <w:bCs/>
          <w:sz w:val="22"/>
          <w:szCs w:val="22"/>
          <w:lang w:val="en-AU"/>
        </w:rPr>
      </w:pPr>
    </w:p>
    <w:p w14:paraId="3CFCC2FF" w14:textId="1A742ED7" w:rsidR="00E5556B" w:rsidRPr="000F3497" w:rsidRDefault="00E5556B" w:rsidP="00E5556B">
      <w:pPr>
        <w:numPr>
          <w:ilvl w:val="1"/>
          <w:numId w:val="6"/>
        </w:numPr>
        <w:tabs>
          <w:tab w:val="num" w:pos="851"/>
        </w:tabs>
        <w:outlineLvl w:val="0"/>
        <w:rPr>
          <w:rFonts w:ascii="Arial" w:hAnsi="Arial" w:cs="Arial"/>
          <w:b/>
          <w:bCs/>
          <w:i/>
          <w:iCs/>
          <w:sz w:val="22"/>
          <w:szCs w:val="22"/>
          <w:lang w:val="en-AU"/>
        </w:rPr>
      </w:pPr>
      <w:r w:rsidRPr="000F3497">
        <w:rPr>
          <w:rFonts w:ascii="Arial" w:hAnsi="Arial" w:cs="Arial"/>
          <w:b/>
          <w:bCs/>
          <w:i/>
          <w:iCs/>
          <w:sz w:val="22"/>
          <w:szCs w:val="22"/>
          <w:lang w:val="en-AU"/>
        </w:rPr>
        <w:t>Household location choice</w:t>
      </w:r>
    </w:p>
    <w:p w14:paraId="47D18741" w14:textId="041710B3" w:rsidR="00E5556B" w:rsidRPr="00E5556B" w:rsidRDefault="000F3497" w:rsidP="00E5556B">
      <w:pPr>
        <w:outlineLvl w:val="0"/>
        <w:rPr>
          <w:rFonts w:ascii="Arial" w:hAnsi="Arial" w:cs="Arial"/>
          <w:bCs/>
          <w:sz w:val="22"/>
          <w:szCs w:val="22"/>
          <w:lang w:val="en-AU"/>
        </w:rPr>
      </w:pPr>
      <w:r>
        <w:rPr>
          <w:rFonts w:ascii="Arial" w:hAnsi="Arial" w:cs="Arial"/>
          <w:bCs/>
          <w:sz w:val="22"/>
          <w:szCs w:val="22"/>
          <w:lang w:val="en-AU"/>
        </w:rPr>
        <w:t>E</w:t>
      </w:r>
      <w:r w:rsidR="00E5556B" w:rsidRPr="00E5556B">
        <w:rPr>
          <w:rFonts w:ascii="Arial" w:hAnsi="Arial" w:cs="Arial"/>
          <w:bCs/>
          <w:sz w:val="22"/>
          <w:szCs w:val="22"/>
          <w:lang w:val="en-AU"/>
        </w:rPr>
        <w:t xml:space="preserve">ach individual </w:t>
      </w:r>
      <w:r w:rsidR="00E5556B" w:rsidRPr="00E5556B">
        <w:rPr>
          <w:rFonts w:ascii="Arial" w:hAnsi="Arial" w:cs="Arial"/>
          <w:bCs/>
          <w:i/>
          <w:sz w:val="22"/>
          <w:szCs w:val="22"/>
          <w:lang w:val="en-AU"/>
        </w:rPr>
        <w:t>i</w:t>
      </w:r>
      <w:r w:rsidR="00E5556B" w:rsidRPr="00E5556B">
        <w:rPr>
          <w:rFonts w:ascii="Arial" w:hAnsi="Arial" w:cs="Arial"/>
          <w:bCs/>
          <w:sz w:val="22"/>
          <w:szCs w:val="22"/>
          <w:lang w:val="en-AU"/>
        </w:rPr>
        <w:t xml:space="preserve"> is assumed to choose home location </w:t>
      </w:r>
      <w:r w:rsidR="00E5556B" w:rsidRPr="00E5556B">
        <w:rPr>
          <w:rFonts w:ascii="Arial" w:hAnsi="Arial" w:cs="Arial"/>
          <w:bCs/>
          <w:i/>
          <w:sz w:val="22"/>
          <w:szCs w:val="22"/>
          <w:lang w:val="en-AU"/>
        </w:rPr>
        <w:t>j</w:t>
      </w:r>
      <w:r w:rsidR="00E5556B" w:rsidRPr="00E5556B">
        <w:rPr>
          <w:rFonts w:ascii="Arial" w:hAnsi="Arial" w:cs="Arial"/>
          <w:bCs/>
          <w:sz w:val="22"/>
          <w:szCs w:val="22"/>
          <w:lang w:val="en-AU"/>
        </w:rPr>
        <w:t xml:space="preserve"> and work location </w:t>
      </w:r>
      <w:r w:rsidR="00E5556B" w:rsidRPr="00E5556B">
        <w:rPr>
          <w:rFonts w:ascii="Arial" w:hAnsi="Arial" w:cs="Arial"/>
          <w:bCs/>
          <w:i/>
          <w:sz w:val="22"/>
          <w:szCs w:val="22"/>
          <w:lang w:val="en-AU"/>
        </w:rPr>
        <w:t>k</w:t>
      </w:r>
      <w:r w:rsidR="00E5556B" w:rsidRPr="00E5556B">
        <w:rPr>
          <w:rFonts w:ascii="Arial" w:hAnsi="Arial" w:cs="Arial"/>
          <w:bCs/>
          <w:sz w:val="22"/>
          <w:szCs w:val="22"/>
          <w:lang w:val="en-AU"/>
        </w:rPr>
        <w:t xml:space="preserve"> to maximise their utility, as in the following equation. </w:t>
      </w:r>
      <w:r w:rsidR="00E5556B" w:rsidRPr="00E5556B">
        <w:rPr>
          <w:rFonts w:ascii="Arial" w:hAnsi="Arial" w:cs="Arial"/>
          <w:bCs/>
          <w:i/>
          <w:sz w:val="22"/>
          <w:szCs w:val="22"/>
          <w:lang w:val="en-AU"/>
        </w:rPr>
        <w:t>U</w:t>
      </w:r>
      <w:r w:rsidR="00E5556B" w:rsidRPr="00E5556B">
        <w:rPr>
          <w:rFonts w:ascii="Arial" w:hAnsi="Arial" w:cs="Arial"/>
          <w:bCs/>
          <w:i/>
          <w:sz w:val="22"/>
          <w:szCs w:val="22"/>
          <w:vertAlign w:val="subscript"/>
          <w:lang w:val="en-AU"/>
        </w:rPr>
        <w:t>j</w:t>
      </w:r>
      <w:r w:rsidR="00E5556B" w:rsidRPr="00E5556B">
        <w:rPr>
          <w:rFonts w:ascii="Arial" w:hAnsi="Arial" w:cs="Arial"/>
          <w:bCs/>
          <w:sz w:val="22"/>
          <w:szCs w:val="22"/>
          <w:lang w:val="en-AU"/>
        </w:rPr>
        <w:t xml:space="preserve"> and </w:t>
      </w:r>
      <w:r w:rsidR="00E5556B" w:rsidRPr="00E5556B">
        <w:rPr>
          <w:rFonts w:ascii="Arial" w:hAnsi="Arial" w:cs="Arial"/>
          <w:bCs/>
          <w:i/>
          <w:sz w:val="22"/>
          <w:szCs w:val="22"/>
          <w:lang w:val="en-AU"/>
        </w:rPr>
        <w:t>W</w:t>
      </w:r>
      <w:r w:rsidR="00E5556B" w:rsidRPr="00E5556B">
        <w:rPr>
          <w:rFonts w:ascii="Arial" w:hAnsi="Arial" w:cs="Arial"/>
          <w:bCs/>
          <w:i/>
          <w:sz w:val="22"/>
          <w:szCs w:val="22"/>
          <w:vertAlign w:val="subscript"/>
          <w:lang w:val="en-AU"/>
        </w:rPr>
        <w:t>k</w:t>
      </w:r>
      <w:r w:rsidR="00E5556B" w:rsidRPr="00E5556B">
        <w:rPr>
          <w:rFonts w:ascii="Arial" w:hAnsi="Arial" w:cs="Arial"/>
          <w:bCs/>
          <w:sz w:val="22"/>
          <w:szCs w:val="22"/>
          <w:lang w:val="en-AU"/>
        </w:rPr>
        <w:t xml:space="preserve"> denote the utility derived from living in location </w:t>
      </w:r>
      <w:r w:rsidR="00E5556B" w:rsidRPr="00E5556B">
        <w:rPr>
          <w:rFonts w:ascii="Arial" w:hAnsi="Arial" w:cs="Arial"/>
          <w:bCs/>
          <w:i/>
          <w:sz w:val="22"/>
          <w:szCs w:val="22"/>
          <w:lang w:val="en-AU"/>
        </w:rPr>
        <w:t>j</w:t>
      </w:r>
      <w:r w:rsidR="00E5556B" w:rsidRPr="00E5556B">
        <w:rPr>
          <w:rFonts w:ascii="Arial" w:hAnsi="Arial" w:cs="Arial"/>
          <w:bCs/>
          <w:sz w:val="22"/>
          <w:szCs w:val="22"/>
          <w:lang w:val="en-AU"/>
        </w:rPr>
        <w:t xml:space="preserve"> and working in location </w:t>
      </w:r>
      <w:r w:rsidR="00E5556B" w:rsidRPr="00E5556B">
        <w:rPr>
          <w:rFonts w:ascii="Arial" w:hAnsi="Arial" w:cs="Arial"/>
          <w:bCs/>
          <w:i/>
          <w:sz w:val="22"/>
          <w:szCs w:val="22"/>
          <w:lang w:val="en-AU"/>
        </w:rPr>
        <w:t>k</w:t>
      </w:r>
      <w:r w:rsidR="00E5556B" w:rsidRPr="00E5556B">
        <w:rPr>
          <w:rFonts w:ascii="Arial" w:hAnsi="Arial" w:cs="Arial"/>
          <w:bCs/>
          <w:sz w:val="22"/>
          <w:szCs w:val="22"/>
          <w:lang w:val="en-AU"/>
        </w:rPr>
        <w:t xml:space="preserve">, respectively, and </w:t>
      </w:r>
      <w:r w:rsidR="00E5556B" w:rsidRPr="00E5556B">
        <w:rPr>
          <w:rFonts w:ascii="Arial" w:hAnsi="Arial" w:cs="Arial"/>
          <w:bCs/>
          <w:i/>
          <w:sz w:val="22"/>
          <w:szCs w:val="22"/>
          <w:lang w:val="en-AU"/>
        </w:rPr>
        <w:t>GC</w:t>
      </w:r>
      <w:r w:rsidR="00E5556B" w:rsidRPr="00E5556B">
        <w:rPr>
          <w:rFonts w:ascii="Arial" w:hAnsi="Arial" w:cs="Arial"/>
          <w:bCs/>
          <w:i/>
          <w:sz w:val="22"/>
          <w:szCs w:val="22"/>
          <w:vertAlign w:val="subscript"/>
          <w:lang w:val="en-AU"/>
        </w:rPr>
        <w:t>jk</w:t>
      </w:r>
      <w:r w:rsidR="00E5556B" w:rsidRPr="00E5556B">
        <w:rPr>
          <w:rFonts w:ascii="Arial" w:hAnsi="Arial" w:cs="Arial"/>
          <w:bCs/>
          <w:sz w:val="22"/>
          <w:szCs w:val="22"/>
          <w:lang w:val="en-AU"/>
        </w:rPr>
        <w:t xml:space="preserve"> represents the average generalised cost (ie time, money, and perceived inconvenience) of commuting from </w:t>
      </w:r>
      <w:r w:rsidR="00E5556B" w:rsidRPr="00E5556B">
        <w:rPr>
          <w:rFonts w:ascii="Arial" w:hAnsi="Arial" w:cs="Arial"/>
          <w:bCs/>
          <w:i/>
          <w:sz w:val="22"/>
          <w:szCs w:val="22"/>
          <w:lang w:val="en-AU"/>
        </w:rPr>
        <w:t>j</w:t>
      </w:r>
      <w:r w:rsidR="00E5556B" w:rsidRPr="00E5556B">
        <w:rPr>
          <w:rFonts w:ascii="Arial" w:hAnsi="Arial" w:cs="Arial"/>
          <w:bCs/>
          <w:sz w:val="22"/>
          <w:szCs w:val="22"/>
          <w:lang w:val="en-AU"/>
        </w:rPr>
        <w:t xml:space="preserve"> to </w:t>
      </w:r>
      <w:r w:rsidR="00E5556B" w:rsidRPr="00E5556B">
        <w:rPr>
          <w:rFonts w:ascii="Arial" w:hAnsi="Arial" w:cs="Arial"/>
          <w:bCs/>
          <w:i/>
          <w:sz w:val="22"/>
          <w:szCs w:val="22"/>
          <w:lang w:val="en-AU"/>
        </w:rPr>
        <w:t>k</w:t>
      </w:r>
      <w:r w:rsidR="00E5556B" w:rsidRPr="00E5556B">
        <w:rPr>
          <w:rFonts w:ascii="Arial" w:hAnsi="Arial" w:cs="Arial"/>
          <w:bCs/>
          <w:sz w:val="22"/>
          <w:szCs w:val="22"/>
          <w:lang w:val="en-AU"/>
        </w:rPr>
        <w:t xml:space="preserve">, summing across all transport modes. </w:t>
      </w:r>
      <w:r w:rsidR="00E5556B" w:rsidRPr="00E5556B">
        <w:rPr>
          <w:rFonts w:ascii="Arial" w:hAnsi="Arial" w:cs="Arial"/>
          <w:bCs/>
          <w:sz w:val="22"/>
          <w:szCs w:val="22"/>
          <w:lang w:val="en-AU"/>
        </w:rPr>
        <w:fldChar w:fldCharType="begin"/>
      </w:r>
      <w:r w:rsidR="00E5556B" w:rsidRPr="00E5556B">
        <w:rPr>
          <w:rFonts w:ascii="Arial" w:hAnsi="Arial" w:cs="Arial"/>
          <w:bCs/>
          <w:sz w:val="22"/>
          <w:szCs w:val="22"/>
          <w:lang w:val="en-AU"/>
        </w:rPr>
        <w:instrText xml:space="preserve"> QUOTE </w:instrText>
      </w:r>
      <w:r w:rsidR="0058651C">
        <w:rPr>
          <w:rFonts w:ascii="Arial" w:hAnsi="Arial" w:cs="Arial"/>
          <w:bCs/>
          <w:sz w:val="22"/>
          <w:szCs w:val="22"/>
        </w:rPr>
        <w:pict w14:anchorId="727FAAAA">
          <v:shape id="_x0000_i1031" type="#_x0000_t75" style="width:14.9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87BFD&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B87BFD&quot; wsp:rsidP=&quot;00B87BFD&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µ&lt;/m:t&gt;&lt;/m:r&gt;&lt;/m:e&gt;&lt;m:sub&gt;&lt;m:r&gt;&lt;w:rPr&gt;&lt;w:rFonts w:ascii=&quot;Cambria Math&quot; w:fareast=&quot;MS PGothic&quot; w:h-ansi=&quot;Cambria Math&quot;/&gt;&lt;wx:font wx:val=&quot;Cambria Math&quot;/&gt;&lt;w:i/&gt;&lt;w:sz w:val=&quot;20&quot;/&gt;&lt;w:lang w:val=&quot;EN-AU&quot; w:fareast=&quot;JA&quot;/&gt;&lt;/w:rPr&gt;&lt;m:t&gt;ijk&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00E5556B" w:rsidRPr="00E5556B">
        <w:rPr>
          <w:rFonts w:ascii="Arial" w:hAnsi="Arial" w:cs="Arial"/>
          <w:bCs/>
          <w:sz w:val="22"/>
          <w:szCs w:val="22"/>
          <w:lang w:val="en-AU"/>
        </w:rPr>
        <w:instrText xml:space="preserve"> </w:instrText>
      </w:r>
      <w:r w:rsidR="00E5556B" w:rsidRPr="00E5556B">
        <w:rPr>
          <w:rFonts w:ascii="Arial" w:hAnsi="Arial" w:cs="Arial"/>
          <w:bCs/>
          <w:sz w:val="22"/>
          <w:szCs w:val="22"/>
          <w:lang w:val="en-AU"/>
        </w:rPr>
        <w:fldChar w:fldCharType="separate"/>
      </w:r>
      <w:r w:rsidR="0058651C">
        <w:rPr>
          <w:rFonts w:ascii="Arial" w:hAnsi="Arial" w:cs="Arial"/>
          <w:bCs/>
          <w:sz w:val="22"/>
          <w:szCs w:val="22"/>
        </w:rPr>
        <w:pict w14:anchorId="270ED0C3">
          <v:shape id="_x0000_i1032" type="#_x0000_t75" style="width:14.9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87BFD&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B87BFD&quot; wsp:rsidP=&quot;00B87BFD&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µ&lt;/m:t&gt;&lt;/m:r&gt;&lt;/m:e&gt;&lt;m:sub&gt;&lt;m:r&gt;&lt;w:rPr&gt;&lt;w:rFonts w:ascii=&quot;Cambria Math&quot; w:fareast=&quot;MS PGothic&quot; w:h-ansi=&quot;Cambria Math&quot;/&gt;&lt;wx:font wx:val=&quot;Cambria Math&quot;/&gt;&lt;w:i/&gt;&lt;w:sz w:val=&quot;20&quot;/&gt;&lt;w:lang w:val=&quot;EN-AU&quot; w:fareast=&quot;JA&quot;/&gt;&lt;/w:rPr&gt;&lt;m:t&gt;ijk&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00E5556B" w:rsidRPr="00E5556B">
        <w:rPr>
          <w:rFonts w:ascii="Arial" w:hAnsi="Arial" w:cs="Arial"/>
          <w:bCs/>
          <w:sz w:val="22"/>
          <w:szCs w:val="22"/>
          <w:lang w:val="en-AU"/>
        </w:rPr>
        <w:fldChar w:fldCharType="end"/>
      </w:r>
      <w:r w:rsidR="00E5556B" w:rsidRPr="00E5556B">
        <w:rPr>
          <w:rFonts w:ascii="Arial" w:hAnsi="Arial" w:cs="Arial"/>
          <w:bCs/>
          <w:sz w:val="22"/>
          <w:szCs w:val="22"/>
          <w:lang w:val="en-AU"/>
        </w:rPr>
        <w:t xml:space="preserve"> is an error term. </w:t>
      </w:r>
      <w:r w:rsidR="00E5556B" w:rsidRPr="00E5556B">
        <w:rPr>
          <w:rFonts w:ascii="Arial" w:hAnsi="Arial" w:cs="Arial"/>
          <w:bCs/>
          <w:sz w:val="22"/>
          <w:szCs w:val="22"/>
          <w:lang w:val="en-AU"/>
        </w:rPr>
        <w:fldChar w:fldCharType="begin"/>
      </w:r>
      <w:r w:rsidR="00E5556B" w:rsidRPr="00E5556B">
        <w:rPr>
          <w:rFonts w:ascii="Arial" w:hAnsi="Arial" w:cs="Arial"/>
          <w:bCs/>
          <w:sz w:val="22"/>
          <w:szCs w:val="22"/>
          <w:lang w:val="en-AU"/>
        </w:rPr>
        <w:instrText xml:space="preserve"> QUOTE </w:instrText>
      </w:r>
      <w:r w:rsidR="0058651C">
        <w:rPr>
          <w:rFonts w:ascii="Arial" w:hAnsi="Arial" w:cs="Arial"/>
          <w:bCs/>
          <w:sz w:val="22"/>
          <w:szCs w:val="22"/>
        </w:rPr>
        <w:pict w14:anchorId="54D5659F">
          <v:shape id="_x0000_i1033"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D6D9B&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2D6D9B&quot; wsp:rsidP=&quot;002D6D9B&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00E5556B" w:rsidRPr="00E5556B">
        <w:rPr>
          <w:rFonts w:ascii="Arial" w:hAnsi="Arial" w:cs="Arial"/>
          <w:bCs/>
          <w:sz w:val="22"/>
          <w:szCs w:val="22"/>
          <w:lang w:val="en-AU"/>
        </w:rPr>
        <w:instrText xml:space="preserve"> </w:instrText>
      </w:r>
      <w:r w:rsidR="00E5556B" w:rsidRPr="00E5556B">
        <w:rPr>
          <w:rFonts w:ascii="Arial" w:hAnsi="Arial" w:cs="Arial"/>
          <w:bCs/>
          <w:sz w:val="22"/>
          <w:szCs w:val="22"/>
          <w:lang w:val="en-AU"/>
        </w:rPr>
        <w:fldChar w:fldCharType="separate"/>
      </w:r>
      <w:r w:rsidR="0058651C">
        <w:rPr>
          <w:rFonts w:ascii="Arial" w:hAnsi="Arial" w:cs="Arial"/>
          <w:bCs/>
          <w:sz w:val="22"/>
          <w:szCs w:val="22"/>
        </w:rPr>
        <w:pict w14:anchorId="7CEBDCD4">
          <v:shape id="_x0000_i1034"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D6D9B&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2D6D9B&quot; wsp:rsidP=&quot;002D6D9B&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00E5556B" w:rsidRPr="00E5556B">
        <w:rPr>
          <w:rFonts w:ascii="Arial" w:hAnsi="Arial" w:cs="Arial"/>
          <w:bCs/>
          <w:sz w:val="22"/>
          <w:szCs w:val="22"/>
          <w:lang w:val="en-AU"/>
        </w:rPr>
        <w:fldChar w:fldCharType="end"/>
      </w:r>
      <w:r w:rsidR="00E5556B" w:rsidRPr="00E5556B">
        <w:rPr>
          <w:rFonts w:ascii="Arial" w:hAnsi="Arial" w:cs="Arial"/>
          <w:bCs/>
          <w:sz w:val="22"/>
          <w:szCs w:val="22"/>
          <w:lang w:val="en-AU"/>
        </w:rPr>
        <w:t xml:space="preserve"> is a coefficient to be estimated that reflects the disutility associated with increased commuting costs.</w:t>
      </w:r>
    </w:p>
    <w:p w14:paraId="4C3EA18E" w14:textId="77777777" w:rsidR="00E5556B" w:rsidRPr="00E5556B" w:rsidRDefault="00E5556B" w:rsidP="00E5556B">
      <w:pPr>
        <w:outlineLvl w:val="0"/>
        <w:rPr>
          <w:rFonts w:ascii="Arial" w:hAnsi="Arial" w:cs="Arial"/>
          <w:bCs/>
          <w:sz w:val="22"/>
          <w:szCs w:val="22"/>
          <w:lang w:val="en-AU"/>
        </w:rPr>
      </w:pPr>
    </w:p>
    <w:p w14:paraId="19C88F5E" w14:textId="77777777" w:rsidR="00E5556B" w:rsidRPr="00E5556B" w:rsidRDefault="00E5556B" w:rsidP="00E5556B">
      <w:pPr>
        <w:outlineLvl w:val="0"/>
        <w:rPr>
          <w:rFonts w:ascii="Arial" w:hAnsi="Arial" w:cs="Arial"/>
          <w:b/>
          <w:bCs/>
          <w:i/>
          <w:sz w:val="22"/>
          <w:szCs w:val="22"/>
          <w:lang w:val="en-AU"/>
        </w:rPr>
      </w:pPr>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1</w:t>
      </w:r>
      <w:r w:rsidRPr="00E5556B">
        <w:rPr>
          <w:rFonts w:ascii="Arial" w:hAnsi="Arial" w:cs="Arial"/>
          <w:bCs/>
          <w:sz w:val="22"/>
          <w:szCs w:val="22"/>
          <w:lang w:val="en-AU"/>
        </w:rPr>
        <w:fldChar w:fldCharType="end"/>
      </w:r>
      <w:r w:rsidRPr="00E5556B">
        <w:rPr>
          <w:rFonts w:ascii="Arial" w:hAnsi="Arial" w:cs="Arial"/>
          <w:b/>
          <w:bCs/>
          <w:i/>
          <w:sz w:val="22"/>
          <w:szCs w:val="22"/>
          <w:lang w:val="en-AU"/>
        </w:rPr>
        <w:t>: Utility maximisation via location and transport mode choice</w:t>
      </w:r>
    </w:p>
    <w:p w14:paraId="3E30C744" w14:textId="7A44B8F9" w:rsidR="00E5556B" w:rsidRPr="00E5556B" w:rsidRDefault="0058651C" w:rsidP="00E5556B">
      <w:pPr>
        <w:outlineLvl w:val="0"/>
        <w:rPr>
          <w:rFonts w:ascii="Arial" w:hAnsi="Arial" w:cs="Arial"/>
          <w:bCs/>
          <w:sz w:val="22"/>
          <w:szCs w:val="22"/>
          <w:lang w:val="en-AU"/>
        </w:rPr>
      </w:pPr>
      <w:r>
        <w:rPr>
          <w:rFonts w:ascii="Arial" w:hAnsi="Arial" w:cs="Arial"/>
          <w:bCs/>
          <w:sz w:val="22"/>
          <w:szCs w:val="22"/>
        </w:rPr>
        <w:lastRenderedPageBreak/>
        <w:pict w14:anchorId="288E6851">
          <v:shape id="_x0000_i1035" type="#_x0000_t75" style="width:155.1pt;height:17.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AF71B2&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AF71B2&quot; wsp:rsidRDefault=&quot;00AF71B2&quot; wsp:rsidP=&quot;00AF71B2&quot;&gt;&lt;m:oMathPara&gt;&lt;m:oMath&gt;&lt;m:func&gt;&lt;m:funcPr&gt;&lt;m:ctrlPr&gt;&lt;w:rPr&gt;&lt;w:rFonts w:ascii=&quot;Cambria Math&quot; w:fareast=&quot;MS PGothic&quot; w:h-ansi=&quot;Cambria Math&quot;/&gt;&lt;wx:font wx:val=&quot;Cambria Math&quot;/&gt;&lt;w:i/&gt;&lt;w:sz w:val=&quot;20&quot;/&gt;&lt;w:lang w:val=&quot;EN-AU&quot; w:fareast=&quot;JA&quot;/&gt;&lt;/w:rPr&gt;&lt;/m:ctrlPr&gt;&lt;/m:funcPr&gt;&lt;m:fName&gt;&lt;m:limLow&gt;&lt;m:limLowPr&gt;&lt;m:ctrlPr&gt;&lt;w:rPr&gt;&lt;w:rFonts w:ascii=&quot;Cambria Math&quot; w:fareast=&quot;MS PGothic&quot; w:h-ansi=&quot;Cambria Math&quot;/&gt;&lt;wx:font wx:val=&quot;Cambria Math&quot;/&gt;&lt;w:i/&gt;&lt;w:sz w:val=&quot;20&quot;/&gt;&lt;w:lang w:val=&quot;EN-AU&quot; w:fareast=&quot;JA&quot;/&gt;&lt;/w:rPr&gt;&lt;/m:ctrlPr&gt;&lt;/m:limLowPr&gt;&lt;m:e&gt;&lt;m:r&gt;&lt;m:rPr&gt;&lt;m:sty m:val=&quot;p&quot;/&gt;&lt;/m:rPr&gt;&lt;w:rPr&gt;&lt;w:rFonts w:ascii=&quot;Cambria Math&quot; w:fareast=&quot;MS PGothic&quot; w:h-ansi=&quot;Cambria Math&quot;/&gt;&lt;wx:font wx:val=&quot;Cambria Math&quot;/&gt;&lt;w:sz w:val=&quot;20&quot;/&gt;&lt;w:lang w:val=&quot;EN-AU&quot; w:fareast=&quot;JA&quot;/&gt;&lt;/w:rPr&gt;&lt;m:t&gt;max&lt;/m:t&gt;&lt;/m:r&gt;&lt;/m:e&gt;&lt;m:lim&gt;&lt;m:r&gt;&lt;w:rPr&gt;&lt;w:rFonts w:ascii=&quot;Cambria Math&quot; w:fareast=&quot;MS PGothic&quot; w:h-ansi=&quot;Cambria Math&quot;/&gt;&lt;wx:font wx:val=&quot;Cambria Math&quot;/&gt;&lt;w:i/&gt;&lt;w:sz w:val=&quot;20&quot;/&gt;&lt;w:lang w:val=&quot;EN-AU&quot; w:fareast=&quot;JA&quot;/&gt;&lt;/w:rPr&gt;&lt;m:t&gt;j,k,m&lt;/m:t&gt;&lt;/m:r&gt;&lt;/m:lim&gt;&lt;/m:limLow&gt;&lt;/m:fName&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U&lt;/m:t&gt;&lt;/m:r&gt;&lt;/m:e&gt;&lt;m:sub&gt;&lt;m:r&gt;&lt;w:rPr&gt;&lt;w:rFonts w:ascii=&quot;Cambria Math&quot; w:fareast=&quot;MS PGothic&quot; w:h-ansi=&quot;Cambria Math&quot;/&gt;&lt;wx:font wx:val=&quot;Cambria Math&quot;/&gt;&lt;w:i/&gt;&lt;w:sz w:val=&quot;20&quot;/&gt;&lt;w:lang w:val=&quot;EN-AU&quot; w:fareast=&quot;JA&quot;/&gt;&lt;/w:rPr&gt;&lt;m:t&gt;ijkm&lt;/m:t&gt;&lt;/m:r&gt;&lt;/m:sub&gt;&lt;/m:sSub&gt;&lt;/m:e&gt;&lt;/m:func&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U&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W&lt;/m:t&gt;&lt;/m:r&gt;&lt;/m:e&gt;&lt;m:sub&gt;&lt;m:r&gt;&lt;w:rPr&gt;&lt;w:rFonts w:ascii=&quot;Cambria Math&quot; w:fareast=&quot;MS PGothic&quot; w:h-ansi=&quot;Cambria Math&quot;/&gt;&lt;wx:font wx:val=&quot;Cambria Math&quot;/&gt;&lt;w:i/&gt;&lt;w:sz w:val=&quot;20&quot;/&gt;&lt;w:lang w:val=&quot;EN-AU&quot; w:fareast=&quot;JA&quot;/&gt;&lt;/w:rPr&gt;&lt;m:t&gt;k&lt;/m:t&gt;&lt;/m:r&gt;&lt;/m:sub&gt;&lt;/m:sSub&gt;&lt;m:r&gt;&lt;w:rPr&gt;&lt;w:rFonts w:ascii=&quot;Cambria Math&quot; w:fareast=&quot;MS PGothic&quot; w:h-ansi=&quot;Cambria Math&quot;/&gt;&lt;wx:font wx:val=&quot;Cambria Math&quot;/&gt;&lt;w:i/&gt;&lt;w:sz w:val=&quot;20&quot;/&gt;&lt;w:lang w:val=&quot;EN-AU&quot; w:fareast=&quot;JA&quot;/&gt;&lt;/w:rPr&gt;&lt;m:t&gt;+Œ≤&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GC&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µ&lt;/m:t&gt;&lt;/m:r&gt;&lt;/m:e&gt;&lt;m:sub&gt;&lt;m:r&gt;&lt;w:rPr&gt;&lt;w:rFonts w:ascii=&quot;Cambria Math&quot; w:fareast=&quot;MS PGothic&quot; w:h-ansi=&quot;Cambria Math&quot;/&gt;&lt;wx:font wx:val=&quot;Cambria Math&quot;/&gt;&lt;w:i/&gt;&lt;w:sz w:val=&quot;20&quot;/&gt;&lt;w:lang w:val=&quot;EN-AU&quot; w:fareast=&quot;JA&quot;/&gt;&lt;/w:rPr&gt;&lt;m:t&gt;ijk&lt;/m:t&gt;&lt;/m:r&gt;&lt;/m:sub&gt;&lt;/m:sSub&gt;&lt;/m:oMath&gt;&lt;/m:oMathPara&gt;&lt;/w:p&gt;&lt;w:sectPr wsp:rsidR=&quot;00000000&quot; wsp:rsidRPr=&quot;00AF71B2&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p w14:paraId="7059456E" w14:textId="77777777" w:rsidR="00E5556B" w:rsidRPr="00E5556B" w:rsidRDefault="00E5556B" w:rsidP="00E5556B">
      <w:pPr>
        <w:outlineLvl w:val="0"/>
        <w:rPr>
          <w:rFonts w:ascii="Arial" w:hAnsi="Arial" w:cs="Arial"/>
          <w:bCs/>
          <w:sz w:val="22"/>
          <w:szCs w:val="22"/>
          <w:lang w:val="en-AU"/>
        </w:rPr>
      </w:pPr>
    </w:p>
    <w:p w14:paraId="2BC982F9" w14:textId="76772F41"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 xml:space="preserve">Assuming that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3F72AF60">
          <v:shape id="_x0000_i1036" type="#_x0000_t75" style="width:14.9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739A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3739A8&quot; wsp:rsidP=&quot;003739A8&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µ&lt;/m:t&gt;&lt;/m:r&gt;&lt;/m:e&gt;&lt;m:sub&gt;&lt;m:r&gt;&lt;w:rPr&gt;&lt;w:rFonts w:ascii=&quot;Cambria Math&quot; w:fareast=&quot;MS PGothic&quot; w:h-ansi=&quot;Cambria Math&quot;/&gt;&lt;wx:font wx:val=&quot;Cambria Math&quot;/&gt;&lt;w:i/&gt;&lt;w:sz w:val=&quot;20&quot;/&gt;&lt;w:lang w:val=&quot;EN-AU&quot; w:fareast=&quot;JA&quot;/&gt;&lt;/w:rPr&gt;&lt;m:t&gt;ijk&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770227D1">
          <v:shape id="_x0000_i1037" type="#_x0000_t75" style="width:14.9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739A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3739A8&quot; wsp:rsidP=&quot;003739A8&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µ&lt;/m:t&gt;&lt;/m:r&gt;&lt;/m:e&gt;&lt;m:sub&gt;&lt;m:r&gt;&lt;w:rPr&gt;&lt;w:rFonts w:ascii=&quot;Cambria Math&quot; w:fareast=&quot;MS PGothic&quot; w:h-ansi=&quot;Cambria Math&quot;/&gt;&lt;wx:font wx:val=&quot;Cambria Math&quot;/&gt;&lt;w:i/&gt;&lt;w:sz w:val=&quot;20&quot;/&gt;&lt;w:lang w:val=&quot;EN-AU&quot; w:fareast=&quot;JA&quot;/&gt;&lt;/w:rPr&gt;&lt;m:t&gt;ijk&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is independent and identically distributed and that it follows an extreme value distribution, the probability that individual i chooses locations</w:t>
      </w:r>
      <w:r w:rsidR="000F3497">
        <w:rPr>
          <w:rFonts w:ascii="Arial" w:hAnsi="Arial" w:cs="Arial"/>
          <w:bCs/>
          <w:sz w:val="22"/>
          <w:szCs w:val="22"/>
          <w:lang w:val="en-AU"/>
        </w:rPr>
        <w:t xml:space="preserve"> j and k can be written as follows</w:t>
      </w:r>
      <w:r w:rsidRPr="00E5556B">
        <w:rPr>
          <w:rFonts w:ascii="Arial" w:hAnsi="Arial" w:cs="Arial"/>
          <w:bCs/>
          <w:sz w:val="22"/>
          <w:szCs w:val="22"/>
          <w:lang w:val="en-AU"/>
        </w:rPr>
        <w:t>.</w:t>
      </w:r>
    </w:p>
    <w:p w14:paraId="6CB26797" w14:textId="77777777" w:rsidR="00E5556B" w:rsidRPr="00E5556B" w:rsidRDefault="00E5556B" w:rsidP="00E5556B">
      <w:pPr>
        <w:outlineLvl w:val="0"/>
        <w:rPr>
          <w:rFonts w:ascii="Arial" w:hAnsi="Arial" w:cs="Arial"/>
          <w:bCs/>
          <w:sz w:val="22"/>
          <w:szCs w:val="22"/>
          <w:lang w:val="en-AU"/>
        </w:rPr>
      </w:pPr>
    </w:p>
    <w:p w14:paraId="133D0398" w14:textId="77777777" w:rsidR="00E5556B" w:rsidRPr="00E5556B" w:rsidRDefault="00E5556B" w:rsidP="00E5556B">
      <w:pPr>
        <w:outlineLvl w:val="0"/>
        <w:rPr>
          <w:rFonts w:ascii="Arial" w:hAnsi="Arial" w:cs="Arial"/>
          <w:b/>
          <w:bCs/>
          <w:i/>
          <w:sz w:val="22"/>
          <w:szCs w:val="22"/>
          <w:lang w:val="en-AU"/>
        </w:rPr>
      </w:pPr>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2</w:t>
      </w:r>
      <w:r w:rsidRPr="00E5556B">
        <w:rPr>
          <w:rFonts w:ascii="Arial" w:hAnsi="Arial" w:cs="Arial"/>
          <w:bCs/>
          <w:sz w:val="22"/>
          <w:szCs w:val="22"/>
          <w:lang w:val="en-AU"/>
        </w:rPr>
        <w:fldChar w:fldCharType="end"/>
      </w:r>
      <w:r w:rsidRPr="00E5556B">
        <w:rPr>
          <w:rFonts w:ascii="Arial" w:hAnsi="Arial" w:cs="Arial"/>
          <w:b/>
          <w:bCs/>
          <w:i/>
          <w:sz w:val="22"/>
          <w:szCs w:val="22"/>
          <w:lang w:val="en-AU"/>
        </w:rPr>
        <w:t>: Probability of travelling between origin and destination by a given mode</w:t>
      </w:r>
    </w:p>
    <w:p w14:paraId="26BF9BE3" w14:textId="083B6D26"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6490207E">
          <v:shape id="_x0000_i1038" type="#_x0000_t75" style="width:151.75pt;height:26.0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66FE2&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966FE2&quot; wsp:rsidRDefault=&quot;00966FE2&quot; wsp:rsidP=&quot;00966FE2&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ijk&lt;/m:t&gt;&lt;/m:r&gt;&lt;/m:sub&gt;&lt;/m:sSub&gt;&lt;m:r&gt;&lt;w:rPr&gt;&lt;w:rFonts w:ascii=&quot;Cambria Math&quot; w:fareast=&quot;MS PGothic&quot; w:h-ansi=&quot;Cambria Math&quot;/&gt;&lt;wx:font wx:val=&quot;Cambria Math&quot;/&gt;&lt;w:i/&gt;&lt;w:sz w:val=&quot;20&quot;/&gt;&lt;w:lang w:val=&quot;EN-AU&quot; w:fareast=&quot;JA&quot;/&gt;&lt;/w:rPr&gt;&lt;m:t&gt;=&lt;/m:t&gt;&lt;/m:r&gt;&lt;m:f&gt;&lt;m:fPr&gt;&lt;m:ctrlPr&gt;&lt;w:rPr&gt;&lt;w:rFonts w:ascii=&quot;Cambria Math&quot; w:fareast=&quot;MS PGothic&quot; w:h-ansi=&quot;Cambria Math&quot;/&gt;&lt;wx:font wx:val=&quot;Cambria Math&quot;/&gt;&lt;w:i/&gt;&lt;w:sz w:val=&quot;20&quot;/&gt;&lt;w:lang w:val=&quot;EN-AU&quot; w:fareast=&quot;JA&quot;/&gt;&lt;/w:rPr&gt;&lt;/m:ctrlPr&gt;&lt;/m:fPr&gt;&lt;m:num&gt;&lt;m:r&gt;&lt;m:rPr&gt;&lt;m:sty m:val=&quot;p&quot;/&gt;&lt;/m:rPr&gt;&lt;w:rPr&gt;&lt;w:rFonts w:ascii=&quot;Cambria Math&quot; w:fareast=&quot;MS PGothic&quot; w:h-ansi=&quot;Cambria Math&quot;/&gt;&lt;wx:font wx:val=&quot;Cambria Math&quot;/&gt;&lt;w:sz w:val=&quot;20&quot;/&gt;&lt;w:lang w:val=&quot;EN-AU&quot; w:fareast=&quot;JA&quot;/&gt;&lt;/w:rPr&gt;&lt;m:t&gt;exp‚Å°&lt;/m:t&gt;&lt;/m:r&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U&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W&lt;/m:t&gt;&lt;/m:r&gt;&lt;/m:e&gt;&lt;m:sub&gt;&lt;m:r&gt;&lt;w:rPr&gt;&lt;w:rFonts w:ascii=&quot;Cambria Math&quot; w:fareast=&quot;MS PGothic&quot; w:h-ansi=&quot;Cambria Math&quot;/&gt;&lt;wx:font wx:val=&quot;Cambria Math&quot;/&gt;&lt;w:i/&gt;&lt;w:sz w:val=&quot;20&quot;/&gt;&lt;w:lang w:val=&quot;EN-AU&quot; w:fareast=&quot;JA&quot;/&gt;&lt;/w:rPr&gt;&lt;m:t&gt;k&lt;/m:t&gt;&lt;/m:r&gt;&lt;/m:sub&gt;&lt;/m:sSub&gt;&lt;m:r&gt;&lt;w:rPr&gt;&lt;w:rFonts w:ascii=&quot;Cambria Math&quot; w:fareast=&quot;MS PGothic&quot; w:h-ansi=&quot;Cambria Math&quot;/&gt;&lt;wx:font wx:val=&quot;Cambria Math&quot;/&gt;&lt;w:i/&gt;&lt;w:sz w:val=&quot;20&quot;/&gt;&lt;w:lang w:val=&quot;EN-AU&quot; w:fareast=&quot;JA&quot;/&gt;&lt;/w:rPr&gt;&lt;m:t&gt;+Œ≤&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GC&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r&gt;&lt;w:rPr&gt;&lt;w:rFonts w:ascii=&quot;Cambria Math&quot; w:fareast=&quot;MS PGothic&quot; w:h-ansi=&quot;Cambria Math&quot;/&gt;&lt;wx:font wx:val=&quot;Cambria Math&quot;/&gt;&lt;w:i/&gt;&lt;w:sz w:val=&quot;20&quot;/&gt;&lt;w:lang w:val=&quot;EN-AU&quot; w:fareast=&quot;JA&quot;/&gt;&lt;/w:rPr&gt;&lt;m:t&gt;)&lt;/m:t&gt;&lt;/m:r&gt;&lt;/m:num&gt;&lt;m:den&gt;&lt;m:nary&gt;&lt;m:naryPr&gt;&lt;m:chr m:val=&quot;‚àë&quot;/&gt;&lt;m:limLoc m:val=&quot;undOvr&quot;/&gt;&lt;m:supHide m:val=&quot;1&quot;/&gt;&lt;m:ctrlPr&gt;&lt;w:rPr&gt;&lt;w:rFonts w:ascii=&quot;Cambria Math&quot; w:fareast=&quot;MS PGothic&quot; w:h-ansi=&quot;Cambria Math&quot;/&gt;&lt;wx:font wx:val=&quot;Cambria Math&quot;/&gt;&lt;w:i/&gt;&lt;w:sz w:val=&quot;20&quot;/&gt;&lt;w:lang w:val=&quot;EN-AU&quot; w:fareast=&quot;JA&quot;/&gt;&lt;/w:rPr&gt;&lt;/m:ctrlPr&gt;&lt;/m:naryPr&gt;&lt;m:sub&gt;&lt;m:r&gt;&lt;w:rPr&gt;&lt;w:rFonts w:ascii=&quot;Cambria Math&quot; w:fareast=&quot;MS PGothic&quot; w:h-ansi=&quot;Cambria Math&quot;/&gt;&lt;wx:font wx:val=&quot;Cambria Math&quot;/&gt;&lt;w:i/&gt;&lt;w:sz w:val=&quot;20&quot;/&gt;&lt;w:lang w:val=&quot;EN-AU&quot; w:fareast=&quot;JA&quot;/&gt;&lt;/w:rPr&gt;&lt;m:t&gt;j&lt;/m:t&gt;&lt;/m:r&gt;&lt;/m:sub&gt;&lt;m:sup/&gt;&lt;m:e&gt;&lt;m:nary&gt;&lt;m:naryPr&gt;&lt;m:chr m:val=&quot;‚àë&quot;/&gt;&lt;m:limLoc m:val=&quot;subSup&quot;/&gt;&lt;m:supHide m:val=&quot;1&quot;/&gt;&lt;m:ctrlPr&gt;&lt;w:rPr&gt;&lt;w:rFonts w:ascii=&quot;Cambria Math&quot; w:fareast=&quot;MS PGothic&quot; w:h-ansi=&quot;Cambria Math&quot;/&gt;&lt;wx:font wx:val=&quot;Cambria Math&quot;/&gt;&lt;w:i/&gt;&lt;w:sz w:val=&quot;20&quot;/&gt;&lt;w:lang w:val=&quot;EN-AU&quot; w:fareast=&quot;JA&quot;/&gt;&lt;/w:rPr&gt;&lt;/m:ctrlPr&gt;&lt;/m:naryPr&gt;&lt;m:sub&gt;&lt;m:r&gt;&lt;w:rPr&gt;&lt;w:rFonts w:ascii=&quot;Cambria Math&quot; w:fareast=&quot;MS PGothic&quot; w:h-ansi=&quot;Cambria Math&quot;/&gt;&lt;wx:font wx:val=&quot;Cambria Math&quot;/&gt;&lt;w:i/&gt;&lt;w:sz w:val=&quot;20&quot;/&gt;&lt;w:lang w:val=&quot;EN-AU&quot; w:fareast=&quot;JA&quot;/&gt;&lt;/w:rPr&gt;&lt;m:t&gt;k&lt;/m:t&gt;&lt;/m:r&gt;&lt;/m:sub&gt;&lt;m:sup/&gt;&lt;m:e&gt;&lt;m:r&gt;&lt;m:rPr&gt;&lt;m:sty m:val=&quot;p&quot;/&gt;&lt;/m:rPr&gt;&lt;w:rPr&gt;&lt;w:rFonts w:ascii=&quot;Cambria Math&quot; w:fareast=&quot;MS PGothic&quot; w:h-ansi=&quot;Cambria Math&quot;/&gt;&lt;wx:font wx:val=&quot;Cambria Math&quot;/&gt;&lt;w:sz w:val=&quot;20&quot;/&gt;&lt;w:lang w:val=&quot;EN-AU&quot; w:fareast=&quot;JA&quot;/&gt;&lt;/w:rPr&gt;&lt;m:t&gt;exp‚Å°&lt;/m:t&gt;&lt;/m:r&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U&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W&lt;/m:t&gt;&lt;/m:r&gt;&lt;/m:e&gt;&lt;m:sub&gt;&lt;m:r&gt;&lt;w:rPr&gt;&lt;w:rFonts w:ascii=&quot;Cambria Math&quot; w:fareast=&quot;MS PGothic&quot; w:h-ansi=&quot;Cambria Math&quot;/&gt;&lt;wx:font wx:val=&quot;Cambria Math&quot;/&gt;&lt;w:i/&gt;&lt;w:sz w:val=&quot;20&quot;/&gt;&lt;w:lang w:val=&quot;EN-AU&quot; w:fareast=&quot;JA&quot;/&gt;&lt;/w:rPr&gt;&lt;m:t&gt;k&lt;/m:t&gt;&lt;/m:r&gt;&lt;/m:sub&gt;&lt;/m:sSub&gt;&lt;m:r&gt;&lt;w:rPr&gt;&lt;w:rFonts w:ascii=&quot;Cambria Math&quot; w:fareast=&quot;MS PGothic&quot; w:h-ansi=&quot;Cambria Math&quot;/&gt;&lt;wx:font wx:val=&quot;Cambria Math&quot;/&gt;&lt;w:i/&gt;&lt;w:sz w:val=&quot;20&quot;/&gt;&lt;w:lang w:val=&quot;EN-AU&quot; w:fareast=&quot;JA&quot;/&gt;&lt;/w:rPr&gt;&lt;m:t&gt;+Œ≤&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GC&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r&gt;&lt;w:rPr&gt;&lt;w:rFonts w:ascii=&quot;Cambria Math&quot; w:fareast=&quot;MS PGothic&quot; w:h-ansi=&quot;Cambria Math&quot;/&gt;&lt;wx:font wx:val=&quot;Cambria Math&quot;/&gt;&lt;w:i/&gt;&lt;w:sz w:val=&quot;20&quot;/&gt;&lt;w:lang w:val=&quot;EN-AU&quot; w:fareast=&quot;JA&quot;/&gt;&lt;/w:rPr&gt;&lt;m:t&gt;)&lt;/m:t&gt;&lt;/m:r&gt;&lt;/m:e&gt;&lt;/m:nary&gt;&lt;/m:e&gt;&lt;/m:nary&gt;&lt;/m:den&gt;&lt;/m:f&gt;&lt;/m:oMath&gt;&lt;/m:oMathPara&gt;&lt;/w:p&gt;&lt;w:sectPr wsp:rsidR=&quot;00000000&quot; wsp:rsidRPr=&quot;00966FE2&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p>
    <w:p w14:paraId="1FCC19C0" w14:textId="77777777" w:rsidR="00E5556B" w:rsidRPr="00E5556B" w:rsidRDefault="00E5556B" w:rsidP="00E5556B">
      <w:pPr>
        <w:outlineLvl w:val="0"/>
        <w:rPr>
          <w:rFonts w:ascii="Arial" w:hAnsi="Arial" w:cs="Arial"/>
          <w:bCs/>
          <w:sz w:val="22"/>
          <w:szCs w:val="22"/>
          <w:lang w:val="en-AU"/>
        </w:rPr>
      </w:pPr>
    </w:p>
    <w:p w14:paraId="74049CC2" w14:textId="77777777"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By extension, the following formula estimates the number of people who are travelling between home location j and work location k (N</w:t>
      </w:r>
      <w:r w:rsidRPr="00E5556B">
        <w:rPr>
          <w:rFonts w:ascii="Arial" w:hAnsi="Arial" w:cs="Arial"/>
          <w:bCs/>
          <w:sz w:val="22"/>
          <w:szCs w:val="22"/>
          <w:vertAlign w:val="subscript"/>
          <w:lang w:val="en-AU"/>
        </w:rPr>
        <w:t>jk</w:t>
      </w:r>
      <w:r w:rsidRPr="00E5556B">
        <w:rPr>
          <w:rFonts w:ascii="Arial" w:hAnsi="Arial" w:cs="Arial"/>
          <w:bCs/>
          <w:sz w:val="22"/>
          <w:szCs w:val="22"/>
          <w:lang w:val="en-AU"/>
        </w:rPr>
        <w:t>).</w:t>
      </w:r>
    </w:p>
    <w:p w14:paraId="6FFEBFA6" w14:textId="77777777" w:rsidR="00E5556B" w:rsidRPr="00E5556B" w:rsidRDefault="00E5556B" w:rsidP="00E5556B">
      <w:pPr>
        <w:outlineLvl w:val="0"/>
        <w:rPr>
          <w:rFonts w:ascii="Arial" w:hAnsi="Arial" w:cs="Arial"/>
          <w:bCs/>
          <w:sz w:val="22"/>
          <w:szCs w:val="22"/>
          <w:lang w:val="en-AU"/>
        </w:rPr>
      </w:pPr>
    </w:p>
    <w:p w14:paraId="1B0B4934" w14:textId="77777777" w:rsidR="00E5556B" w:rsidRPr="00E5556B" w:rsidRDefault="00E5556B" w:rsidP="00E5556B">
      <w:pPr>
        <w:outlineLvl w:val="0"/>
        <w:rPr>
          <w:rFonts w:ascii="Arial" w:hAnsi="Arial" w:cs="Arial"/>
          <w:b/>
          <w:bCs/>
          <w:i/>
          <w:sz w:val="22"/>
          <w:szCs w:val="22"/>
          <w:lang w:val="en-AU"/>
        </w:rPr>
      </w:pPr>
      <w:bookmarkStart w:id="6" w:name="_Ref528281902"/>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3</w:t>
      </w:r>
      <w:r w:rsidRPr="00E5556B">
        <w:rPr>
          <w:rFonts w:ascii="Arial" w:hAnsi="Arial" w:cs="Arial"/>
          <w:bCs/>
          <w:sz w:val="22"/>
          <w:szCs w:val="22"/>
          <w:lang w:val="en-AU"/>
        </w:rPr>
        <w:fldChar w:fldCharType="end"/>
      </w:r>
      <w:bookmarkEnd w:id="6"/>
      <w:r w:rsidRPr="00E5556B">
        <w:rPr>
          <w:rFonts w:ascii="Arial" w:hAnsi="Arial" w:cs="Arial"/>
          <w:b/>
          <w:bCs/>
          <w:i/>
          <w:sz w:val="22"/>
          <w:szCs w:val="22"/>
          <w:lang w:val="en-AU"/>
        </w:rPr>
        <w:t>: Number of people travelling between origin and destination</w:t>
      </w:r>
    </w:p>
    <w:p w14:paraId="1B041A26" w14:textId="5CB42F6D"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2D16BF43">
          <v:shape id="_x0000_i1039" type="#_x0000_t75" style="width:147.9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15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0A155F&quot; wsp:rsidRDefault=&quot;000A155F&quot; wsp:rsidP=&quot;000A155F&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r&gt;&lt;w:rPr&gt;&lt;w:rFonts w:ascii=&quot;Cambria Math&quot; w:fareast=&quot;MS PGothic&quot; w:h-ansi=&quot;Cambria Math&quot;/&gt;&lt;wx:font wx:val=&quot;Cambria Math&quot;/&gt;&lt;w:i/&gt;&lt;w:sz w:val=&quot;20&quot;/&gt;&lt;w:lang w:val=&quot;EN-AU&quot; w:fareast=&quot;JA&quot;/&gt;&lt;/w:rPr&gt;&lt;m:t&gt;=&lt;/m:t&gt;&lt;/m:r&gt;&lt;m:r&gt;&lt;m:rPr&gt;&lt;m:sty m:val=&quot;p&quot;/&gt;&lt;/m:rPr&gt;&lt;w:rPr&gt;&lt;w:rFonts w:ascii=&quot;Cambria Math&quot; w:fareast=&quot;MS PGothic&quot; w:h-ansi=&quot;Cambria Math&quot;/&gt;&lt;wx:font wx:val=&quot;Cambria Math&quot;/&gt;&lt;w:sz w:val=&quot;20&quot;/&gt;&lt;w:lang w:val=&quot;EN-AU&quot; w:fareast=&quot;JA&quot;/&gt;&lt;/w:rPr&gt;&lt;m:t&gt;exp‚Å°&lt;/m:t&gt;&lt;/m:r&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U&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W&lt;/m:t&gt;&lt;/m:r&gt;&lt;/m:e&gt;&lt;m:sub&gt;&lt;m:r&gt;&lt;w:rPr&gt;&lt;w:rFonts w:ascii=&quot;Cambria Math&quot; w:fareast=&quot;MS PGothic&quot; w:h-ansi=&quot;Cambria Math&quot;/&gt;&lt;wx:font wx:val=&quot;Cambria Math&quot;/&gt;&lt;w:i/&gt;&lt;w:sz w:val=&quot;20&quot;/&gt;&lt;w:lang w:val=&quot;EN-AU&quot; w:fareast=&quot;JA&quot;/&gt;&lt;/w:rPr&gt;&lt;m:t&gt;k&lt;/m:t&gt;&lt;/m:r&gt;&lt;/m:sub&gt;&lt;/m:sSub&gt;&lt;m:r&gt;&lt;w:rPr&gt;&lt;w:rFonts w:ascii=&quot;Cambria Math&quot; w:fareast=&quot;MS PGothic&quot; w:h-ansi=&quot;Cambria Math&quot;/&gt;&lt;wx:font wx:val=&quot;Cambria Math&quot;/&gt;&lt;w:i/&gt;&lt;w:sz w:val=&quot;20&quot;/&gt;&lt;w:lang w:val=&quot;EN-AU&quot; w:fareast=&quot;JA&quot;/&gt;&lt;/w:rPr&gt;&lt;m:t&gt;+Œ≤&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GC&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µ&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r&gt;&lt;w:rPr&gt;&lt;w:rFonts w:ascii=&quot;Cambria Math&quot; w:fareast=&quot;MS PGothic&quot; w:h-ansi=&quot;Cambria Math&quot;/&gt;&lt;wx:font wx:val=&quot;Cambria Math&quot;/&gt;&lt;w:i/&gt;&lt;w:sz w:val=&quot;20&quot;/&gt;&lt;w:lang w:val=&quot;EN-AU&quot; w:fareast=&quot;JA&quot;/&gt;&lt;/w:rPr&gt;&lt;m:t&gt;)&lt;/m:t&gt;&lt;/m:r&gt;&lt;/m:oMath&gt;&lt;/m:oMathPara&gt;&lt;/w:p&gt;&lt;w:sectPr wsp:rsidR=&quot;00000000&quot; wsp:rsidRPr=&quot;000A155F&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p>
    <w:p w14:paraId="076BD782" w14:textId="77777777" w:rsidR="00E5556B" w:rsidRPr="00E5556B" w:rsidRDefault="00E5556B" w:rsidP="00E5556B">
      <w:pPr>
        <w:outlineLvl w:val="0"/>
        <w:rPr>
          <w:rFonts w:ascii="Arial" w:hAnsi="Arial" w:cs="Arial"/>
          <w:bCs/>
          <w:sz w:val="22"/>
          <w:szCs w:val="22"/>
          <w:lang w:val="en-AU"/>
        </w:rPr>
      </w:pPr>
    </w:p>
    <w:p w14:paraId="4F375671" w14:textId="77777777"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REF _Ref528281902 \h </w:instrText>
      </w:r>
      <w:r w:rsidRPr="00E5556B">
        <w:rPr>
          <w:rFonts w:ascii="Arial" w:hAnsi="Arial" w:cs="Arial"/>
          <w:bCs/>
          <w:sz w:val="22"/>
          <w:szCs w:val="22"/>
          <w:lang w:val="en-AU"/>
        </w:rPr>
      </w:r>
      <w:r w:rsidRPr="00E5556B">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3</w: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can be estimated using a Poisson regression model. An important note is that </w:t>
      </w:r>
      <w:r w:rsidRPr="00E5556B">
        <w:rPr>
          <w:rFonts w:ascii="Arial" w:hAnsi="Arial" w:cs="Arial"/>
          <w:bCs/>
          <w:i/>
          <w:sz w:val="22"/>
          <w:szCs w:val="22"/>
          <w:lang w:val="en-AU"/>
        </w:rPr>
        <w:t>U</w:t>
      </w:r>
      <w:r w:rsidRPr="00E5556B">
        <w:rPr>
          <w:rFonts w:ascii="Arial" w:hAnsi="Arial" w:cs="Arial"/>
          <w:bCs/>
          <w:i/>
          <w:sz w:val="22"/>
          <w:szCs w:val="22"/>
          <w:vertAlign w:val="subscript"/>
          <w:lang w:val="en-AU"/>
        </w:rPr>
        <w:t>j</w:t>
      </w:r>
      <w:r w:rsidRPr="00E5556B">
        <w:rPr>
          <w:rFonts w:ascii="Arial" w:hAnsi="Arial" w:cs="Arial"/>
          <w:bCs/>
          <w:sz w:val="22"/>
          <w:szCs w:val="22"/>
          <w:lang w:val="en-AU"/>
        </w:rPr>
        <w:t xml:space="preserve"> and </w:t>
      </w:r>
      <w:r w:rsidRPr="00E5556B">
        <w:rPr>
          <w:rFonts w:ascii="Arial" w:hAnsi="Arial" w:cs="Arial"/>
          <w:bCs/>
          <w:i/>
          <w:sz w:val="22"/>
          <w:szCs w:val="22"/>
          <w:lang w:val="en-AU"/>
        </w:rPr>
        <w:t>W</w:t>
      </w:r>
      <w:r w:rsidRPr="00E5556B">
        <w:rPr>
          <w:rFonts w:ascii="Arial" w:hAnsi="Arial" w:cs="Arial"/>
          <w:bCs/>
          <w:i/>
          <w:sz w:val="22"/>
          <w:szCs w:val="22"/>
          <w:vertAlign w:val="subscript"/>
          <w:lang w:val="en-AU"/>
        </w:rPr>
        <w:t>k</w:t>
      </w:r>
      <w:r w:rsidRPr="00E5556B">
        <w:rPr>
          <w:rFonts w:ascii="Arial" w:hAnsi="Arial" w:cs="Arial"/>
          <w:bCs/>
          <w:sz w:val="22"/>
          <w:szCs w:val="22"/>
          <w:lang w:val="en-AU"/>
        </w:rPr>
        <w:t>, which measure the utility that people derive from given home and work locations, are treated as fixed effects in this equation – that is, a series of home and work location constants are estimated. Explaining why some locations deliver higher (or lower) levels of utility can be addressed through extensions to this model.</w:t>
      </w:r>
    </w:p>
    <w:p w14:paraId="18FBFA14" w14:textId="77777777" w:rsidR="00E5556B" w:rsidRPr="00E5556B" w:rsidRDefault="00E5556B" w:rsidP="00E5556B">
      <w:pPr>
        <w:outlineLvl w:val="0"/>
        <w:rPr>
          <w:rFonts w:ascii="Arial" w:hAnsi="Arial" w:cs="Arial"/>
          <w:bCs/>
          <w:sz w:val="22"/>
          <w:szCs w:val="22"/>
          <w:lang w:val="en-AU"/>
        </w:rPr>
      </w:pPr>
    </w:p>
    <w:p w14:paraId="73DF8E95" w14:textId="4089A484" w:rsidR="00E5556B" w:rsidRPr="000F3497" w:rsidRDefault="00E5556B" w:rsidP="00E5556B">
      <w:pPr>
        <w:numPr>
          <w:ilvl w:val="1"/>
          <w:numId w:val="6"/>
        </w:numPr>
        <w:tabs>
          <w:tab w:val="num" w:pos="851"/>
        </w:tabs>
        <w:outlineLvl w:val="0"/>
        <w:rPr>
          <w:rFonts w:ascii="Arial" w:hAnsi="Arial" w:cs="Arial"/>
          <w:b/>
          <w:bCs/>
          <w:i/>
          <w:iCs/>
          <w:sz w:val="22"/>
          <w:szCs w:val="22"/>
          <w:lang w:val="en-AU"/>
        </w:rPr>
      </w:pPr>
      <w:r w:rsidRPr="000F3497">
        <w:rPr>
          <w:rFonts w:ascii="Arial" w:hAnsi="Arial" w:cs="Arial"/>
          <w:b/>
          <w:bCs/>
          <w:i/>
          <w:iCs/>
          <w:sz w:val="22"/>
          <w:szCs w:val="22"/>
          <w:lang w:val="en-AU"/>
        </w:rPr>
        <w:t>Local housing demand</w:t>
      </w:r>
    </w:p>
    <w:p w14:paraId="626DEB61" w14:textId="52C25007"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 xml:space="preserve">Local housing demand is a function of local house prices (or rents) as well as transport accessibility. It is also likely to reflect the availability of other localised amenities, such as parks, schools, or beaches. To capture this </w:t>
      </w:r>
      <w:r w:rsidR="000F3497">
        <w:rPr>
          <w:rFonts w:ascii="Arial" w:hAnsi="Arial" w:cs="Arial"/>
          <w:bCs/>
          <w:sz w:val="22"/>
          <w:szCs w:val="22"/>
          <w:lang w:val="en-AU"/>
        </w:rPr>
        <w:t>effect,</w:t>
      </w:r>
      <w:r w:rsidRPr="00E5556B">
        <w:rPr>
          <w:rFonts w:ascii="Arial" w:hAnsi="Arial" w:cs="Arial"/>
          <w:bCs/>
          <w:sz w:val="22"/>
          <w:szCs w:val="22"/>
          <w:lang w:val="en-AU"/>
        </w:rPr>
        <w:t xml:space="preserve"> </w:t>
      </w:r>
      <w:r w:rsidRPr="00E5556B">
        <w:rPr>
          <w:rFonts w:ascii="Arial" w:hAnsi="Arial" w:cs="Arial"/>
          <w:bCs/>
          <w:i/>
          <w:sz w:val="22"/>
          <w:szCs w:val="22"/>
          <w:lang w:val="en-AU"/>
        </w:rPr>
        <w:t>U</w:t>
      </w:r>
      <w:r w:rsidRPr="00E5556B">
        <w:rPr>
          <w:rFonts w:ascii="Arial" w:hAnsi="Arial" w:cs="Arial"/>
          <w:bCs/>
          <w:i/>
          <w:sz w:val="22"/>
          <w:szCs w:val="22"/>
          <w:vertAlign w:val="subscript"/>
          <w:lang w:val="en-AU"/>
        </w:rPr>
        <w:t>j</w:t>
      </w:r>
      <w:r w:rsidRPr="00E5556B">
        <w:rPr>
          <w:rFonts w:ascii="Arial" w:hAnsi="Arial" w:cs="Arial"/>
          <w:bCs/>
          <w:sz w:val="22"/>
          <w:szCs w:val="22"/>
          <w:lang w:val="en-AU"/>
        </w:rPr>
        <w:t xml:space="preserve"> </w:t>
      </w:r>
      <w:r w:rsidR="000F3497">
        <w:rPr>
          <w:rFonts w:ascii="Arial" w:hAnsi="Arial" w:cs="Arial"/>
          <w:bCs/>
          <w:sz w:val="22"/>
          <w:szCs w:val="22"/>
          <w:lang w:val="en-AU"/>
        </w:rPr>
        <w:t xml:space="preserve">is parameterised </w:t>
      </w:r>
      <w:r w:rsidRPr="00E5556B">
        <w:rPr>
          <w:rFonts w:ascii="Arial" w:hAnsi="Arial" w:cs="Arial"/>
          <w:bCs/>
          <w:sz w:val="22"/>
          <w:szCs w:val="22"/>
          <w:lang w:val="en-AU"/>
        </w:rPr>
        <w:t>as a function of local house prices (P</w:t>
      </w:r>
      <w:r w:rsidRPr="00E5556B">
        <w:rPr>
          <w:rFonts w:ascii="Arial" w:hAnsi="Arial" w:cs="Arial"/>
          <w:bCs/>
          <w:sz w:val="22"/>
          <w:szCs w:val="22"/>
          <w:vertAlign w:val="subscript"/>
          <w:lang w:val="en-AU"/>
        </w:rPr>
        <w:t>j</w:t>
      </w:r>
      <w:r w:rsidRPr="00E5556B">
        <w:rPr>
          <w:rFonts w:ascii="Arial" w:hAnsi="Arial" w:cs="Arial"/>
          <w:bCs/>
          <w:sz w:val="22"/>
          <w:szCs w:val="22"/>
          <w:lang w:val="en-AU"/>
        </w:rPr>
        <w:t>) and a vector of other measurable amenities (X</w:t>
      </w:r>
      <w:r w:rsidRPr="00E5556B">
        <w:rPr>
          <w:rFonts w:ascii="Arial" w:hAnsi="Arial" w:cs="Arial"/>
          <w:bCs/>
          <w:sz w:val="22"/>
          <w:szCs w:val="22"/>
          <w:vertAlign w:val="subscript"/>
          <w:lang w:val="en-AU"/>
        </w:rPr>
        <w:t>j</w:t>
      </w:r>
      <w:r w:rsidRPr="00E5556B">
        <w:rPr>
          <w:rFonts w:ascii="Arial" w:hAnsi="Arial" w:cs="Arial"/>
          <w:bCs/>
          <w:sz w:val="22"/>
          <w:szCs w:val="22"/>
          <w:lang w:val="en-AU"/>
        </w:rPr>
        <w:t xml:space="preserve">).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33706951">
          <v:shape id="_x0000_i1040"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86FBA&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B86FBA&quot; wsp:rsidP=&quot;00B86FBA&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2CFBC1F2">
          <v:shape id="_x0000_i1041"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86FBA&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B86FBA&quot; wsp:rsidP=&quot;00B86FBA&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and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7488D999">
          <v:shape id="_x0000_i1042"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269E7&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F269E7&quot; wsp:rsidP=&quot;00F269E7&quot;&gt;&lt;m:oMathPara&gt;&lt;m:oMath&gt;&lt;m:r&gt;&lt;w:rPr&gt;&lt;w:rFonts w:ascii=&quot;Cambria Math&quot; w:fareast=&quot;MS PGothic&quot; w:h-ansi=&quot;Cambria Math&quot;/&gt;&lt;wx:font wx:val=&quot;Cambria Math&quot;/&gt;&lt;w:i/&gt;&lt;w:sz w:val=&quot;20&quot;/&gt;&lt;w:lang w:val=&quot;EN-AU&quot; w:fareast=&quot;JA&quot;/&gt;&lt;/w:rPr&gt;&lt;m:t&gt;œë&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733D7DE1">
          <v:shape id="_x0000_i1043"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269E7&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F269E7&quot; wsp:rsidP=&quot;00F269E7&quot;&gt;&lt;m:oMathPara&gt;&lt;m:oMath&gt;&lt;m:r&gt;&lt;w:rPr&gt;&lt;w:rFonts w:ascii=&quot;Cambria Math&quot; w:fareast=&quot;MS PGothic&quot; w:h-ansi=&quot;Cambria Math&quot;/&gt;&lt;wx:font wx:val=&quot;Cambria Math&quot;/&gt;&lt;w:i/&gt;&lt;w:sz w:val=&quot;20&quot;/&gt;&lt;w:lang w:val=&quot;EN-AU&quot; w:fareast=&quot;JA&quot;/&gt;&lt;/w:rPr&gt;&lt;m:t&gt;œë&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are coefficients to be estimated, and e</w:t>
      </w:r>
      <w:r w:rsidRPr="00E5556B">
        <w:rPr>
          <w:rFonts w:ascii="Arial" w:hAnsi="Arial" w:cs="Arial"/>
          <w:bCs/>
          <w:sz w:val="22"/>
          <w:szCs w:val="22"/>
          <w:vertAlign w:val="subscript"/>
          <w:lang w:val="en-AU"/>
        </w:rPr>
        <w:t>j</w:t>
      </w:r>
      <w:r w:rsidRPr="00E5556B">
        <w:rPr>
          <w:rFonts w:ascii="Arial" w:hAnsi="Arial" w:cs="Arial"/>
          <w:bCs/>
          <w:sz w:val="22"/>
          <w:szCs w:val="22"/>
          <w:lang w:val="en-AU"/>
        </w:rPr>
        <w:t xml:space="preserve"> is an error term.</w:t>
      </w:r>
    </w:p>
    <w:p w14:paraId="4A69F4F4" w14:textId="77777777" w:rsidR="00E5556B" w:rsidRPr="00E5556B" w:rsidRDefault="00E5556B" w:rsidP="00E5556B">
      <w:pPr>
        <w:outlineLvl w:val="0"/>
        <w:rPr>
          <w:rFonts w:ascii="Arial" w:hAnsi="Arial" w:cs="Arial"/>
          <w:bCs/>
          <w:sz w:val="22"/>
          <w:szCs w:val="22"/>
          <w:lang w:val="en-AU"/>
        </w:rPr>
      </w:pPr>
    </w:p>
    <w:p w14:paraId="5DE703FD" w14:textId="77777777" w:rsidR="00E5556B" w:rsidRPr="00E5556B" w:rsidRDefault="00E5556B" w:rsidP="00E5556B">
      <w:pPr>
        <w:outlineLvl w:val="0"/>
        <w:rPr>
          <w:rFonts w:ascii="Arial" w:hAnsi="Arial" w:cs="Arial"/>
          <w:b/>
          <w:bCs/>
          <w:i/>
          <w:sz w:val="22"/>
          <w:szCs w:val="22"/>
          <w:lang w:val="en-AU"/>
        </w:rPr>
      </w:pPr>
      <w:bookmarkStart w:id="7" w:name="_Ref32435941"/>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4</w:t>
      </w:r>
      <w:r w:rsidRPr="00E5556B">
        <w:rPr>
          <w:rFonts w:ascii="Arial" w:hAnsi="Arial" w:cs="Arial"/>
          <w:bCs/>
          <w:sz w:val="22"/>
          <w:szCs w:val="22"/>
          <w:lang w:val="en-AU"/>
        </w:rPr>
        <w:fldChar w:fldCharType="end"/>
      </w:r>
      <w:bookmarkEnd w:id="7"/>
      <w:r w:rsidRPr="00E5556B">
        <w:rPr>
          <w:rFonts w:ascii="Arial" w:hAnsi="Arial" w:cs="Arial"/>
          <w:b/>
          <w:bCs/>
          <w:i/>
          <w:sz w:val="22"/>
          <w:szCs w:val="22"/>
          <w:lang w:val="en-AU"/>
        </w:rPr>
        <w:t>: Modelling the utility of living in zone j</w:t>
      </w:r>
    </w:p>
    <w:p w14:paraId="0290E877" w14:textId="7D08EEAB"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4B4DA6E8">
          <v:shape id="_x0000_i1044" type="#_x0000_t75" style="width:100.8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05C3&quot;/&gt;&lt;wsp:rsid wsp:val=&quot;00FD10B3&quot;/&gt;&lt;/wsp:rsids&gt;&lt;/w:docPr&gt;&lt;w:body&gt;&lt;wx:sect&gt;&lt;w:p wsp:rsidR=&quot;00000000&quot; wsp:rsidRPr=&quot;00FD05C3&quot; wsp:rsidRDefault=&quot;00FD05C3&quot; wsp:rsidP=&quot;00FD05C3&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U&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Œ≥&lt;/m:t&gt;&lt;/m:r&gt;&lt;m:r&gt;&lt;m:rPr&gt;&lt;m:sty m:val=&quot;p&quot;/&gt;&lt;/m:rPr&gt;&lt;w:rPr&gt;&lt;w:rFonts w:ascii=&quot;Cambria Math&quot; w:fareast=&quot;MS PGothic&quot; w:h-ansi=&quot;Cambria Math&quot;/&gt;&lt;wx:font wx:val=&quot;Cambria Math&quot;/&gt;&lt;w:sz w:val=&quot;20&quot;/&gt;&lt;w:lang w:val=&quot;EN-AU&quot; w:fareast=&quot;JA&quot;/&gt;&lt;/w:rPr&gt;&lt;m:t&gt;ln&lt;/m:t&gt;&lt;/m:r&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œë&lt;/m:t&gt;&lt;/m:r&gt;&lt;/m:e&gt;&lt;m:sup&gt;&lt;m:r&gt;&lt;w:rPr&gt;&lt;w:rFonts w:ascii=&quot;Cambria Math&quot; w:fareast=&quot;MS PGothic&quot; w:h-ansi=&quot;Cambria Math&quot;/&gt;&lt;wx:font wx:val=&quot;Cambria Math&quot;/&gt;&lt;w:i/&gt;&lt;w:sz w:val=&quot;20&quot;/&gt;&lt;w:lang w:val=&quot;EN-AU&quot; w:fareast=&quot;JA&quot;/&gt;&lt;/w:rPr&gt;&lt;m:t&gt;'&lt;/m:t&gt;&lt;/m:r&gt;&lt;/m:sup&gt;&lt;/m:sSup&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X&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e&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oMath&gt;&lt;/m:oMathPara&gt;&lt;/w:p&gt;&lt;w:sectPr wsp:rsidR=&quot;00000000&quot; wsp:rsidRPr=&quot;00FD05C3&quot;&gt;&lt;w:pgSz w:w=&quot;12240&quot; w:h=&quot;15840&quot;/&gt;&lt;w:pgMar w:top=&quot;1440&quot; w:right=&quot;1440&quot; w:bottom=&quot;1440&quot; w:left=&quot;1440&quot; w:header=&quot;720&quot; w:footer=&quot;720&quot; w:gutter=&quot;0&quot;/&gt;&lt;w:cols w:space=&quot;720&quot;/&gt;&lt;/w:sectPr&gt;&lt;/wx:sect&gt;&lt;/w:body&gt;&lt;/w:wordDocument&gt;">
            <v:imagedata r:id="rId21" o:title="" chromakey="white"/>
          </v:shape>
        </w:pict>
      </w:r>
    </w:p>
    <w:p w14:paraId="0C32D1C2" w14:textId="77777777" w:rsidR="00E5556B" w:rsidRPr="00E5556B" w:rsidRDefault="00E5556B" w:rsidP="00E5556B">
      <w:pPr>
        <w:outlineLvl w:val="0"/>
        <w:rPr>
          <w:rFonts w:ascii="Arial" w:hAnsi="Arial" w:cs="Arial"/>
          <w:bCs/>
          <w:sz w:val="22"/>
          <w:szCs w:val="22"/>
          <w:lang w:val="en-AU"/>
        </w:rPr>
      </w:pPr>
    </w:p>
    <w:p w14:paraId="14A5BF9F" w14:textId="5369BFFA"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For current purposes, the X</w:t>
      </w:r>
      <w:r w:rsidRPr="00E5556B">
        <w:rPr>
          <w:rFonts w:ascii="Arial" w:hAnsi="Arial" w:cs="Arial"/>
          <w:bCs/>
          <w:sz w:val="22"/>
          <w:szCs w:val="22"/>
          <w:vertAlign w:val="subscript"/>
          <w:lang w:val="en-AU"/>
        </w:rPr>
        <w:t>j</w:t>
      </w:r>
      <w:r w:rsidR="000F3497">
        <w:rPr>
          <w:rFonts w:ascii="Arial" w:hAnsi="Arial" w:cs="Arial"/>
          <w:bCs/>
          <w:sz w:val="22"/>
          <w:szCs w:val="22"/>
          <w:lang w:val="en-AU"/>
        </w:rPr>
        <w:t xml:space="preserve"> term can be disregarded</w:t>
      </w:r>
      <w:r w:rsidRPr="00E5556B">
        <w:rPr>
          <w:rFonts w:ascii="Arial" w:hAnsi="Arial" w:cs="Arial"/>
          <w:bCs/>
          <w:sz w:val="22"/>
          <w:szCs w:val="22"/>
          <w:lang w:val="en-AU"/>
        </w:rPr>
        <w:t xml:space="preserve"> as including it does not influence the main model results. </w:t>
      </w:r>
      <w:r w:rsidR="000F3497">
        <w:rPr>
          <w:rFonts w:ascii="Arial" w:hAnsi="Arial" w:cs="Arial"/>
          <w:bCs/>
          <w:sz w:val="22"/>
          <w:szCs w:val="22"/>
          <w:lang w:val="en-AU"/>
        </w:rPr>
        <w:t>W</w:t>
      </w:r>
      <w:r w:rsidRPr="00E5556B">
        <w:rPr>
          <w:rFonts w:ascii="Arial" w:hAnsi="Arial" w:cs="Arial"/>
          <w:bCs/>
          <w:sz w:val="22"/>
          <w:szCs w:val="22"/>
          <w:lang w:val="en-AU"/>
        </w:rPr>
        <w:t>hile it is possible to measure P</w:t>
      </w:r>
      <w:r w:rsidRPr="00E5556B">
        <w:rPr>
          <w:rFonts w:ascii="Arial" w:hAnsi="Arial" w:cs="Arial"/>
          <w:bCs/>
          <w:sz w:val="22"/>
          <w:szCs w:val="22"/>
          <w:vertAlign w:val="subscript"/>
          <w:lang w:val="en-AU"/>
        </w:rPr>
        <w:t>j</w:t>
      </w:r>
      <w:r w:rsidRPr="00E5556B">
        <w:rPr>
          <w:rFonts w:ascii="Arial" w:hAnsi="Arial" w:cs="Arial"/>
          <w:bCs/>
          <w:sz w:val="22"/>
          <w:szCs w:val="22"/>
          <w:lang w:val="en-AU"/>
        </w:rPr>
        <w:t xml:space="preserve"> using data on average rents or average house prices, it is preferable to construct a quality-adjusted measure of house prices in each zone</w:t>
      </w:r>
      <w:r w:rsidR="000F3497">
        <w:rPr>
          <w:rFonts w:ascii="Arial" w:hAnsi="Arial" w:cs="Arial"/>
          <w:bCs/>
          <w:sz w:val="22"/>
          <w:szCs w:val="22"/>
          <w:lang w:val="en-AU"/>
        </w:rPr>
        <w:t xml:space="preserve"> to avoid the need to include controls for housing quality</w:t>
      </w:r>
      <w:r w:rsidRPr="00E5556B">
        <w:rPr>
          <w:rFonts w:ascii="Arial" w:hAnsi="Arial" w:cs="Arial"/>
          <w:bCs/>
          <w:sz w:val="22"/>
          <w:szCs w:val="22"/>
          <w:lang w:val="en-AU"/>
        </w:rPr>
        <w:t>. This can be done using results from a hedonic model of house prices.</w:t>
      </w:r>
    </w:p>
    <w:p w14:paraId="35B4ED73" w14:textId="77777777" w:rsidR="00E5556B" w:rsidRPr="00E5556B" w:rsidRDefault="00E5556B" w:rsidP="00E5556B">
      <w:pPr>
        <w:outlineLvl w:val="0"/>
        <w:rPr>
          <w:rFonts w:ascii="Arial" w:hAnsi="Arial" w:cs="Arial"/>
          <w:bCs/>
          <w:sz w:val="22"/>
          <w:szCs w:val="22"/>
          <w:lang w:val="en-AU"/>
        </w:rPr>
      </w:pPr>
    </w:p>
    <w:p w14:paraId="7906364B" w14:textId="77777777"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REF _Ref32435941 \h </w:instrText>
      </w:r>
      <w:r w:rsidRPr="00E5556B">
        <w:rPr>
          <w:rFonts w:ascii="Arial" w:hAnsi="Arial" w:cs="Arial"/>
          <w:bCs/>
          <w:sz w:val="22"/>
          <w:szCs w:val="22"/>
          <w:lang w:val="en-AU"/>
        </w:rPr>
      </w:r>
      <w:r w:rsidRPr="00E5556B">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4</w: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can be substituted back into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REF _Ref528281902 \h </w:instrText>
      </w:r>
      <w:r w:rsidRPr="00E5556B">
        <w:rPr>
          <w:rFonts w:ascii="Arial" w:hAnsi="Arial" w:cs="Arial"/>
          <w:bCs/>
          <w:sz w:val="22"/>
          <w:szCs w:val="22"/>
          <w:lang w:val="en-AU"/>
        </w:rPr>
      </w:r>
      <w:r w:rsidRPr="00E5556B">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3</w: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to obtain a household location choice function that depends upon both local house prices and transport access. This serves as a model of local housing demand.</w:t>
      </w:r>
    </w:p>
    <w:p w14:paraId="7E5DD7C6" w14:textId="77777777" w:rsidR="00E5556B" w:rsidRPr="00E5556B" w:rsidRDefault="00E5556B" w:rsidP="00E5556B">
      <w:pPr>
        <w:outlineLvl w:val="0"/>
        <w:rPr>
          <w:rFonts w:ascii="Arial" w:hAnsi="Arial" w:cs="Arial"/>
          <w:bCs/>
          <w:sz w:val="22"/>
          <w:szCs w:val="22"/>
          <w:lang w:val="en-AU"/>
        </w:rPr>
      </w:pPr>
    </w:p>
    <w:p w14:paraId="712BC2EF" w14:textId="77777777" w:rsidR="00E5556B" w:rsidRPr="00E5556B" w:rsidRDefault="00E5556B" w:rsidP="00E5556B">
      <w:pPr>
        <w:outlineLvl w:val="0"/>
        <w:rPr>
          <w:rFonts w:ascii="Arial" w:hAnsi="Arial" w:cs="Arial"/>
          <w:b/>
          <w:bCs/>
          <w:i/>
          <w:sz w:val="22"/>
          <w:szCs w:val="22"/>
          <w:lang w:val="en-AU"/>
        </w:rPr>
      </w:pPr>
      <w:bookmarkStart w:id="8" w:name="_Ref32436087"/>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5</w:t>
      </w:r>
      <w:r w:rsidRPr="00E5556B">
        <w:rPr>
          <w:rFonts w:ascii="Arial" w:hAnsi="Arial" w:cs="Arial"/>
          <w:bCs/>
          <w:sz w:val="22"/>
          <w:szCs w:val="22"/>
          <w:lang w:val="en-AU"/>
        </w:rPr>
        <w:fldChar w:fldCharType="end"/>
      </w:r>
      <w:bookmarkEnd w:id="8"/>
      <w:r w:rsidRPr="00E5556B">
        <w:rPr>
          <w:rFonts w:ascii="Arial" w:hAnsi="Arial" w:cs="Arial"/>
          <w:b/>
          <w:bCs/>
          <w:i/>
          <w:sz w:val="22"/>
          <w:szCs w:val="22"/>
          <w:lang w:val="en-AU"/>
        </w:rPr>
        <w:t>: Expanded household location choice function</w:t>
      </w:r>
    </w:p>
    <w:p w14:paraId="36E23C57" w14:textId="6A8CD333"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72A978D1">
          <v:shape id="_x0000_i1045" type="#_x0000_t75" style="width:187.7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4AA9&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A44AA9&quot; wsp:rsidRDefault=&quot;00A44AA9&quot; wsp:rsidP=&quot;00A44AA9&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r&gt;&lt;w:rPr&gt;&lt;w:rFonts w:ascii=&quot;Cambria Math&quot; w:fareast=&quot;MS PGothic&quot; w:h-ansi=&quot;Cambria Math&quot;/&gt;&lt;wx:font wx:val=&quot;Cambria Math&quot;/&gt;&lt;w:i/&gt;&lt;w:sz w:val=&quot;20&quot;/&gt;&lt;w:lang w:val=&quot;EN-AU&quot; w:fareast=&quot;JA&quot;/&gt;&lt;/w:rPr&gt;&lt;m:t&gt;=&lt;/m:t&gt;&lt;/m:r&gt;&lt;m:r&gt;&lt;m:rPr&gt;&lt;m:sty m:val=&quot;p&quot;/&gt;&lt;/m:rPr&gt;&lt;w:rPr&gt;&lt;w:rFonts w:ascii=&quot;Cambria Math&quot; w:fareast=&quot;MS PGothic&quot; w:h-ansi=&quot;Cambria Math&quot;/&gt;&lt;wx:font wx:val=&quot;Cambria Math&quot;/&gt;&lt;w:sz w:val=&quot;20&quot;/&gt;&lt;w:lang w:val=&quot;EN-AU&quot; w:fareast=&quot;JA&quot;/&gt;&lt;/w:rPr&gt;&lt;m:t&gt;exp‚Å°&lt;/m:t&gt;&lt;/m:r&gt;&lt;m:r&gt;&lt;w:rPr&gt;&lt;w:rFonts w:ascii=&quot;Cambria Math&quot; w:fareast=&quot;MS PGothic&quot; w:h-ansi=&quot;Cambria Math&quot;/&gt;&lt;wx:font wx:val=&quot;Cambria Math&quot;/&gt;&lt;w:i/&gt;&lt;w:sz w:val=&quot;20&quot;/&gt;&lt;w:lang w:val=&quot;EN-AU&quot; w:fareast=&quot;JA&quot;/&gt;&lt;/w:rPr&gt;&lt;m:t&gt;(Œ≥&lt;/m:t&gt;&lt;/m:r&gt;&lt;m:r&gt;&lt;m:rPr&gt;&lt;m:sty m:val=&quot;p&quot;/&gt;&lt;/m:rPr&gt;&lt;w:rPr&gt;&lt;w:rFonts w:ascii=&quot;Cambria Math&quot; w:fareast=&quot;MS PGothic&quot; w:h-ansi=&quot;Cambria Math&quot;/&gt;&lt;wx:font wx:val=&quot;Cambria Math&quot;/&gt;&lt;w:sz w:val=&quot;20&quot;/&gt;&lt;w:lang w:val=&quot;EN-AU&quot; w:fareast=&quot;JA&quot;/&gt;&lt;/w:rPr&gt;&lt;m:t&gt;ln&lt;/m:t&gt;&lt;/m:r&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W&lt;/m:t&gt;&lt;/m:r&gt;&lt;/m:e&gt;&lt;m:sub&gt;&lt;m:r&gt;&lt;w:rPr&gt;&lt;w:rFonts w:ascii=&quot;Cambria Math&quot; w:fareast=&quot;MS PGothic&quot; w:h-ansi=&quot;Cambria Math&quot;/&gt;&lt;wx:font wx:val=&quot;Cambria Math&quot;/&gt;&lt;w:i/&gt;&lt;w:sz w:val=&quot;20&quot;/&gt;&lt;w:lang w:val=&quot;EN-AU&quot; w:fareast=&quot;JA&quot;/&gt;&lt;/w:rPr&gt;&lt;m:t&gt;k&lt;/m:t&gt;&lt;/m:r&gt;&lt;/m:sub&gt;&lt;/m:sSub&gt;&lt;m:r&gt;&lt;w:rPr&gt;&lt;w:rFonts w:ascii=&quot;Cambria Math&quot; w:fareast=&quot;MS PGothic&quot; w:h-ansi=&quot;Cambria Math&quot;/&gt;&lt;wx:font wx:val=&quot;Cambria Math&quot;/&gt;&lt;w:i/&gt;&lt;w:sz w:val=&quot;20&quot;/&gt;&lt;w:lang w:val=&quot;EN-AU&quot; w:fareast=&quot;JA&quot;/&gt;&lt;/w:rPr&gt;&lt;m:t&gt;+Œ≤&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GC&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e&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µ&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r&gt;&lt;w:rPr&gt;&lt;w:rFonts w:ascii=&quot;Cambria Math&quot; w:fareast=&quot;MS PGothic&quot; w:h-ansi=&quot;Cambria Math&quot;/&gt;&lt;wx:font wx:val=&quot;Cambria Math&quot;/&gt;&lt;w:i/&gt;&lt;w:sz w:val=&quot;20&quot;/&gt;&lt;w:lang w:val=&quot;EN-AU&quot; w:fareast=&quot;JA&quot;/&gt;&lt;/w:rPr&gt;&lt;m:t&gt;)&lt;/m:t&gt;&lt;/m:r&gt;&lt;/m:oMath&gt;&lt;/m:oMathPara&gt;&lt;/w:p&gt;&lt;w:sectPr wsp:rsidR=&quot;00000000&quot; wsp:rsidRPr=&quot;00A44AA9&quot;&gt;&lt;w:pgSz w:w=&quot;12240&quot; w:h=&quot;15840&quot;/&gt;&lt;w:pgMar w:top=&quot;1440&quot; w:right=&quot;1440&quot; w:bottom=&quot;1440&quot; w:left=&quot;1440&quot; w:header=&quot;720&quot; w:footer=&quot;720&quot; w:gutter=&quot;0&quot;/&gt;&lt;w:cols w:space=&quot;720&quot;/&gt;&lt;/w:sectPr&gt;&lt;/wx:sect&gt;&lt;/w:body&gt;&lt;/w:wordDocument&gt;">
            <v:imagedata r:id="rId22" o:title="" chromakey="white"/>
          </v:shape>
        </w:pict>
      </w:r>
    </w:p>
    <w:p w14:paraId="2031B6A4" w14:textId="77777777" w:rsidR="00E5556B" w:rsidRPr="00E5556B" w:rsidRDefault="00E5556B" w:rsidP="00E5556B">
      <w:pPr>
        <w:outlineLvl w:val="0"/>
        <w:rPr>
          <w:rFonts w:ascii="Arial" w:hAnsi="Arial" w:cs="Arial"/>
          <w:bCs/>
          <w:sz w:val="22"/>
          <w:szCs w:val="22"/>
          <w:lang w:val="en-AU"/>
        </w:rPr>
      </w:pPr>
    </w:p>
    <w:p w14:paraId="2E386DAC" w14:textId="021E10F4"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 xml:space="preserve">Summing up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REF _Ref32436087 \h </w:instrText>
      </w:r>
      <w:r w:rsidRPr="00E5556B">
        <w:rPr>
          <w:rFonts w:ascii="Arial" w:hAnsi="Arial" w:cs="Arial"/>
          <w:bCs/>
          <w:sz w:val="22"/>
          <w:szCs w:val="22"/>
          <w:lang w:val="en-AU"/>
        </w:rPr>
      </w:r>
      <w:r w:rsidRPr="00E5556B">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5</w: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across all work destinations (ie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14EF275B">
          <v:shape id="_x0000_i1046" type="#_x0000_t75" style="width:49.8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B76E2&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EB76E2&quot; wsp:rsidP=&quot;00EB76E2&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nary&gt;&lt;m:naryPr&gt;&lt;m:chr m:val=&quot;‚àë&quot;/&gt;&lt;m:limLoc m:val=&quot;subSup&quot;/&gt;&lt;m:supHide m:val=&quot;1&quot;/&gt;&lt;m:ctrlPr&gt;&lt;w:rPr&gt;&lt;w:rFonts w:ascii=&quot;Cambria Math&quot; w:fareast=&quot;MS PGothic&quot; w:h-ansi=&quot;Cambria Math&quot;/&gt;&lt;wx:font wx:val=&quot;Cambria Math&quot;/&gt;&lt;w:i/&gt;&lt;w:sz w:val=&quot;20&quot;/&gt;&lt;w:lang w:val=&quot;EN-AU&quot; w:fareast=&quot;JA&quot;/&gt;&lt;/w:rPr&gt;&lt;/m:ctrlPr&gt;&lt;/m:naryPr&gt;&lt;m:sub&gt;&lt;m:r&gt;&lt;w:rPr&gt;&lt;w:rFonts w:ascii=&quot;Cambria Math&quot; w:fareast=&quot;MS PGothic&quot; w:h-ansi=&quot;Cambria Math&quot;/&gt;&lt;wx:font wx:val=&quot;Cambria Math&quot;/&gt;&lt;w:i/&gt;&lt;w:sz w:val=&quot;20&quot;/&gt;&lt;w:lang w:val=&quot;EN-AU&quot; w:fareast=&quot;JA&quot;/&gt;&lt;/w:rPr&gt;&lt;m:t&gt;k&lt;/m:t&gt;&lt;/m:r&gt;&lt;/m:sub&gt;&lt;m:sup/&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0C260346">
          <v:shape id="_x0000_i1047" type="#_x0000_t75" style="width:49.8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B76E2&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EB76E2&quot; wsp:rsidP=&quot;00EB76E2&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nary&gt;&lt;m:naryPr&gt;&lt;m:chr m:val=&quot;‚àë&quot;/&gt;&lt;m:limLoc m:val=&quot;subSup&quot;/&gt;&lt;m:supHide m:val=&quot;1&quot;/&gt;&lt;m:ctrlPr&gt;&lt;w:rPr&gt;&lt;w:rFonts w:ascii=&quot;Cambria Math&quot; w:fareast=&quot;MS PGothic&quot; w:h-ansi=&quot;Cambria Math&quot;/&gt;&lt;wx:font wx:val=&quot;Cambria Math&quot;/&gt;&lt;w:i/&gt;&lt;w:sz w:val=&quot;20&quot;/&gt;&lt;w:lang w:val=&quot;EN-AU&quot; w:fareast=&quot;JA&quot;/&gt;&lt;/w:rPr&gt;&lt;/m:ctrlPr&gt;&lt;/m:naryPr&gt;&lt;m:sub&gt;&lt;m:r&gt;&lt;w:rPr&gt;&lt;w:rFonts w:ascii=&quot;Cambria Math&quot; w:fareast=&quot;MS PGothic&quot; w:h-ansi=&quot;Cambria Math&quot;/&gt;&lt;wx:font wx:val=&quot;Cambria Math&quot;/&gt;&lt;w:i/&gt;&lt;w:sz w:val=&quot;20&quot;/&gt;&lt;w:lang w:val=&quot;EN-AU&quot; w:fareast=&quot;JA&quot;/&gt;&lt;/w:rPr&gt;&lt;m:t&gt;k&lt;/m:t&gt;&lt;/m:r&gt;&lt;/m:sub&gt;&lt;m:sup/&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and partially differentiating with respect to house prices and transport costs gives the following elasticities of housing demand. As coefficients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63A34EB0">
          <v:shape id="_x0000_i1048"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D0286&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8D0286&quot; wsp:rsidP=&quot;008D0286&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4"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38B798E1">
          <v:shape id="_x0000_i1049"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D0286&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8D0286&quot; wsp:rsidP=&quot;008D0286&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4"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and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70F038BA">
          <v:shape id="_x0000_i1050"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 wsp:val=&quot;00FD782E&quot;/&gt;&lt;/wsp:rsids&gt;&lt;/w:docPr&gt;&lt;w:body&gt;&lt;wx:sect&gt;&lt;w:p wsp:rsidR=&quot;00000000&quot; wsp:rsidRDefault=&quot;00FD782E&quot; wsp:rsidP=&quot;00FD782E&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5"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5F25ED9E">
          <v:shape id="_x0000_i1051"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 wsp:val=&quot;00FD782E&quot;/&gt;&lt;/wsp:rsids&gt;&lt;/w:docPr&gt;&lt;w:body&gt;&lt;wx:sect&gt;&lt;w:p wsp:rsidR=&quot;00000000&quot; wsp:rsidRDefault=&quot;00FD782E&quot; wsp:rsidP=&quot;00FD782E&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5"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are both expected to be negative, this implies that higher prices or higher transport costs reduce the number of people who would choose to live in a given location.</w:t>
      </w:r>
    </w:p>
    <w:p w14:paraId="45D42CE3" w14:textId="77777777" w:rsidR="00E5556B" w:rsidRPr="00E5556B" w:rsidRDefault="00E5556B" w:rsidP="00E5556B">
      <w:pPr>
        <w:outlineLvl w:val="0"/>
        <w:rPr>
          <w:rFonts w:ascii="Arial" w:hAnsi="Arial" w:cs="Arial"/>
          <w:bCs/>
          <w:sz w:val="22"/>
          <w:szCs w:val="22"/>
          <w:lang w:val="en-AU"/>
        </w:rPr>
      </w:pPr>
    </w:p>
    <w:p w14:paraId="77CACC4A" w14:textId="77777777" w:rsidR="00E5556B" w:rsidRPr="00E5556B" w:rsidRDefault="00E5556B" w:rsidP="00E5556B">
      <w:pPr>
        <w:outlineLvl w:val="0"/>
        <w:rPr>
          <w:rFonts w:ascii="Arial" w:hAnsi="Arial" w:cs="Arial"/>
          <w:b/>
          <w:bCs/>
          <w:i/>
          <w:sz w:val="22"/>
          <w:szCs w:val="22"/>
          <w:lang w:val="en-AU"/>
        </w:rPr>
      </w:pPr>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6</w:t>
      </w:r>
      <w:r w:rsidRPr="00E5556B">
        <w:rPr>
          <w:rFonts w:ascii="Arial" w:hAnsi="Arial" w:cs="Arial"/>
          <w:bCs/>
          <w:sz w:val="22"/>
          <w:szCs w:val="22"/>
          <w:lang w:val="en-AU"/>
        </w:rPr>
        <w:fldChar w:fldCharType="end"/>
      </w:r>
      <w:r w:rsidRPr="00E5556B">
        <w:rPr>
          <w:rFonts w:ascii="Arial" w:hAnsi="Arial" w:cs="Arial"/>
          <w:b/>
          <w:bCs/>
          <w:i/>
          <w:sz w:val="22"/>
          <w:szCs w:val="22"/>
          <w:lang w:val="en-AU"/>
        </w:rPr>
        <w:t>: Elasticities of local housing demand</w:t>
      </w:r>
    </w:p>
    <w:p w14:paraId="3A0C2C31" w14:textId="2413E0FB"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55FE9E83">
          <v:shape id="_x0000_i1052" type="#_x0000_t75" style="width:44.85pt;height:26.0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48AD&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EF48AD&quot; wsp:rsidRDefault=&quot;00EF48AD&quot; wsp:rsidP=&quot;00EF48AD&quot;&gt;&lt;m:oMathPara&gt;&lt;m:oMath&gt;&lt;m:f&gt;&lt;m:fPr&gt;&lt;m:ctrlPr&gt;&lt;w:rPr&gt;&lt;w:rFonts w:ascii=&quot;Cambria Math&quot; w:fareast=&quot;MS PGothic&quot; w:h-ansi=&quot;Cambria Math&quot;/&gt;&lt;wx:font wx:val=&quot;Cambria Math&quot;/&gt;&lt;w:i/&gt;&lt;w:sz w:val=&quot;20&quot;/&gt;&lt;w:lang w:val=&quot;EN-AU&quot; w:fareast=&quot;JA&quot;/&gt;&lt;/w:rPr&gt;&lt;/m:ctrlPr&gt;&lt;/m:fPr&gt;&lt;m:num&gt;&lt;m:r&gt;&lt;w:rPr&gt;&lt;w:rFonts w:ascii=&quot;Cambria Math&quot; w:fareast=&quot;MS PGothic&quot; w:h-ansi=&quot;Cambria Math&quot;/&gt;&lt;wx:font wx:val=&quot;Cambria Math&quot;/&gt;&lt;w:i/&gt;&lt;w:sz w:val=&quot;20&quot;/&gt;&lt;w:lang w:val=&quot;EN-AU&quot; w:fareast=&quot;JA&quot;/&gt;&lt;/w:rPr&gt;&lt;m:t&gt;‚àÇ&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num&gt;&lt;m:den&gt;&lt;m:r&gt;&lt;w:rPr&gt;&lt;w:rFonts w:ascii=&quot;Cambria Math&quot; w:fareast=&quot;MS PGothic&quot; w:h-ansi=&quot;Cambria Math&quot;/&gt;&lt;wx:font wx:val=&quot;Cambria Math&quot;/&gt;&lt;w:i/&gt;&lt;w:sz w:val=&quot;20&quot;/&gt;&lt;w:lang w:val=&quot;EN-AU&quot; w:fareast=&quot;JA&quot;/&gt;&lt;/w:rPr&gt;&lt;m:t&gt;‚àÇ&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den&gt;&lt;/m:f&gt;&lt;m:f&gt;&lt;m:fPr&gt;&lt;m:ctrlPr&gt;&lt;w:rPr&gt;&lt;w:rFonts w:ascii=&quot;Cambria Math&quot; w:fareast=&quot;MS PGothic&quot; w:h-ansi=&quot;Cambria Math&quot;/&gt;&lt;wx:font wx:val=&quot;Cambria Math&quot;/&gt;&lt;w:i/&gt;&lt;w:sz w:val=&quot;20&quot;/&gt;&lt;w:lang w:val=&quot;EN-AU&quot; w:fareast=&quot;JA&quot;/&gt;&lt;/w:rPr&gt;&lt;/m:ctrlPr&gt;&lt;/m:fPr&gt;&lt;m:num&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num&gt;&lt;m:den&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den&gt;&lt;/m:f&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 wsp:rsidRPr=&quot;00EF48AD&quot;&gt;&lt;w:pgSz w:w=&quot;12240&quot; w:h=&quot;15840&quot;/&gt;&lt;w:pgMar w:top=&quot;1440&quot; w:right=&quot;1440&quot; w:bottom=&quot;1440&quot; w:left=&quot;1440&quot; w:header=&quot;720&quot; w:footer=&quot;720&quot; w:gutter=&quot;0&quot;/&gt;&lt;w:cols w:space=&quot;720&quot;/&gt;&lt;/w:sectPr&gt;&lt;/wx:sect&gt;&lt;/w:body&gt;&lt;/w:wordDocument&gt;">
            <v:imagedata r:id="rId26" o:title="" chromakey="white"/>
          </v:shape>
        </w:pict>
      </w:r>
    </w:p>
    <w:p w14:paraId="000830A4" w14:textId="18F9AF18"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151670FF">
          <v:shape id="_x0000_i1053" type="#_x0000_t75" style="width:62.05pt;height:26.0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A1F06&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AA1F06&quot; wsp:rsidRDefault=&quot;00AA1F06&quot; wsp:rsidP=&quot;00AA1F06&quot;&gt;&lt;m:oMathPara&gt;&lt;m:oMath&gt;&lt;m:f&gt;&lt;m:fPr&gt;&lt;m:ctrlPr&gt;&lt;w:rPr&gt;&lt;w:rFonts w:ascii=&quot;Cambria Math&quot; w:fareast=&quot;MS PGothic&quot; w:h-ansi=&quot;Cambria Math&quot;/&gt;&lt;wx:font wx:val=&quot;Cambria Math&quot;/&gt;&lt;w:i/&gt;&lt;w:sz w:val=&quot;20&quot;/&gt;&lt;w:lang w:val=&quot;EN-AU&quot; w:fareast=&quot;JA&quot;/&gt;&lt;/w:rPr&gt;&lt;/m:ctrlPr&gt;&lt;/m:fPr&gt;&lt;m:num&gt;&lt;m:r&gt;&lt;w:rPr&gt;&lt;w:rFonts w:ascii=&quot;Cambria Math&quot; w:fareast=&quot;MS PGothic&quot; w:h-ansi=&quot;Cambria Math&quot;/&gt;&lt;wx:font wx:val=&quot;Cambria Math&quot;/&gt;&lt;w:i/&gt;&lt;w:sz w:val=&quot;20&quot;/&gt;&lt;w:lang w:val=&quot;EN-AU&quot; w:fareast=&quot;JA&quot;/&gt;&lt;/w:rPr&gt;&lt;m:t&gt;‚àÇ&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num&gt;&lt;m:den&gt;&lt;m:r&gt;&lt;w:rPr&gt;&lt;w:rFonts w:ascii=&quot;Cambria Math&quot; w:fareast=&quot;MS PGothic&quot; w:h-ansi=&quot;Cambria Math&quot;/&gt;&lt;wx:font wx:val=&quot;Cambria Math&quot;/&gt;&lt;w:i/&gt;&lt;w:sz w:val=&quot;20&quot;/&gt;&lt;w:lang w:val=&quot;EN-AU&quot; w:fareast=&quot;JA&quot;/&gt;&lt;/w:rPr&gt;&lt;m:t&gt;‚àÇ&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GC&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den&gt;&lt;/m:f&gt;&lt;m:r&gt;&lt;w:rPr&gt;&lt;w:rFonts w:ascii=&quot;Cambria Math&quot; w:fareast=&quot;MS PGothic&quot; w:h-ansi=&quot;Cambria Math&quot;/&gt;&lt;wx:font wx:val=&quot;Cambria Math&quot;/&gt;&lt;w:i/&gt;&lt;w:sz w:val=&quot;20&quot;/&gt;&lt;w:lang w:val=&quot;EN-AU&quot; w:fareast=&quot;JA&quot;/&gt;&lt;/w:rPr&gt;&lt;m:t&gt;=Œ≤*&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oMath&gt;&lt;/m:oMathPara&gt;&lt;/w:p&gt;&lt;w:sectPr wsp:rsidR=&quot;00000000&quot; wsp:rsidRPr=&quot;00AA1F06&quot;&gt;&lt;w:pgSz w:w=&quot;12240&quot; w:h=&quot;15840&quot;/&gt;&lt;w:pgMar w:top=&quot;1440&quot; w:right=&quot;1440&quot; w:bottom=&quot;1440&quot; w:left=&quot;1440&quot; w:header=&quot;720&quot; w:footer=&quot;720&quot; w:gutter=&quot;0&quot;/&gt;&lt;w:cols w:space=&quot;720&quot;/&gt;&lt;/w:sectPr&gt;&lt;/wx:sect&gt;&lt;/w:body&gt;&lt;/w:wordDocument&gt;">
            <v:imagedata r:id="rId27" o:title="" chromakey="white"/>
          </v:shape>
        </w:pict>
      </w:r>
    </w:p>
    <w:p w14:paraId="553EB913" w14:textId="77777777" w:rsidR="00E5556B" w:rsidRPr="00E5556B" w:rsidRDefault="00E5556B" w:rsidP="00E5556B">
      <w:pPr>
        <w:outlineLvl w:val="0"/>
        <w:rPr>
          <w:rFonts w:ascii="Arial" w:hAnsi="Arial" w:cs="Arial"/>
          <w:bCs/>
          <w:sz w:val="22"/>
          <w:szCs w:val="22"/>
          <w:lang w:val="en-AU"/>
        </w:rPr>
      </w:pPr>
    </w:p>
    <w:p w14:paraId="0C16D58E" w14:textId="1AB89491" w:rsidR="00E5556B" w:rsidRPr="00454559" w:rsidRDefault="00E5556B" w:rsidP="00E5556B">
      <w:pPr>
        <w:numPr>
          <w:ilvl w:val="1"/>
          <w:numId w:val="6"/>
        </w:numPr>
        <w:tabs>
          <w:tab w:val="num" w:pos="851"/>
        </w:tabs>
        <w:outlineLvl w:val="0"/>
        <w:rPr>
          <w:rFonts w:ascii="Arial" w:hAnsi="Arial" w:cs="Arial"/>
          <w:b/>
          <w:bCs/>
          <w:i/>
          <w:iCs/>
          <w:sz w:val="22"/>
          <w:szCs w:val="22"/>
          <w:lang w:val="en-AU"/>
        </w:rPr>
      </w:pPr>
      <w:r w:rsidRPr="00454559">
        <w:rPr>
          <w:rFonts w:ascii="Arial" w:hAnsi="Arial" w:cs="Arial"/>
          <w:b/>
          <w:bCs/>
          <w:i/>
          <w:iCs/>
          <w:sz w:val="22"/>
          <w:szCs w:val="22"/>
          <w:lang w:val="en-AU"/>
        </w:rPr>
        <w:lastRenderedPageBreak/>
        <w:t>Local housing supply</w:t>
      </w:r>
    </w:p>
    <w:p w14:paraId="630B5CCF" w14:textId="2C32650F" w:rsidR="00E5556B" w:rsidRPr="00E5556B" w:rsidRDefault="00454559" w:rsidP="00E5556B">
      <w:pPr>
        <w:outlineLvl w:val="0"/>
        <w:rPr>
          <w:rFonts w:ascii="Arial" w:hAnsi="Arial" w:cs="Arial"/>
          <w:bCs/>
          <w:sz w:val="22"/>
          <w:szCs w:val="22"/>
          <w:lang w:val="en-AU"/>
        </w:rPr>
      </w:pPr>
      <w:r>
        <w:rPr>
          <w:rFonts w:ascii="Arial" w:hAnsi="Arial" w:cs="Arial"/>
          <w:bCs/>
          <w:sz w:val="22"/>
          <w:szCs w:val="22"/>
          <w:lang w:val="en-AU"/>
        </w:rPr>
        <w:t>The</w:t>
      </w:r>
      <w:r w:rsidR="00E5556B" w:rsidRPr="00E5556B">
        <w:rPr>
          <w:rFonts w:ascii="Arial" w:hAnsi="Arial" w:cs="Arial"/>
          <w:bCs/>
          <w:sz w:val="22"/>
          <w:szCs w:val="22"/>
          <w:lang w:val="en-AU"/>
        </w:rPr>
        <w:t xml:space="preserve"> housing supply model described by Severn (2019) </w:t>
      </w:r>
      <w:r>
        <w:rPr>
          <w:rFonts w:ascii="Arial" w:hAnsi="Arial" w:cs="Arial"/>
          <w:bCs/>
          <w:sz w:val="22"/>
          <w:szCs w:val="22"/>
          <w:lang w:val="en-AU"/>
        </w:rPr>
        <w:t xml:space="preserve">can be adapted </w:t>
      </w:r>
      <w:r w:rsidR="00E5556B" w:rsidRPr="00E5556B">
        <w:rPr>
          <w:rFonts w:ascii="Arial" w:hAnsi="Arial" w:cs="Arial"/>
          <w:bCs/>
          <w:sz w:val="22"/>
          <w:szCs w:val="22"/>
          <w:lang w:val="en-AU"/>
        </w:rPr>
        <w:t xml:space="preserve">to address the potential for transport investments to increase competition in development markets. </w:t>
      </w:r>
      <w:r>
        <w:rPr>
          <w:rFonts w:ascii="Arial" w:hAnsi="Arial" w:cs="Arial"/>
          <w:bCs/>
          <w:sz w:val="22"/>
          <w:szCs w:val="22"/>
          <w:lang w:val="en-AU"/>
        </w:rPr>
        <w:t>This</w:t>
      </w:r>
      <w:r w:rsidR="00E5556B" w:rsidRPr="00E5556B">
        <w:rPr>
          <w:rFonts w:ascii="Arial" w:hAnsi="Arial" w:cs="Arial"/>
          <w:bCs/>
          <w:sz w:val="22"/>
          <w:szCs w:val="22"/>
          <w:lang w:val="en-AU"/>
        </w:rPr>
        <w:t xml:space="preserve"> assumes that housing supply involves both housing developers, who face a perfectly competitive environment, and landowners, who operate in an imperfectly competitive environment that enables them to set prices</w:t>
      </w:r>
      <w:r>
        <w:rPr>
          <w:rFonts w:ascii="Arial" w:hAnsi="Arial" w:cs="Arial"/>
          <w:bCs/>
          <w:sz w:val="22"/>
          <w:szCs w:val="22"/>
          <w:lang w:val="en-AU"/>
        </w:rPr>
        <w:t xml:space="preserve"> (Martinez and Roy, </w:t>
      </w:r>
      <w:r w:rsidRPr="00E5556B">
        <w:rPr>
          <w:rFonts w:ascii="Arial" w:hAnsi="Arial" w:cs="Arial"/>
          <w:bCs/>
          <w:sz w:val="22"/>
          <w:szCs w:val="22"/>
          <w:lang w:val="en-AU"/>
        </w:rPr>
        <w:t>2004)</w:t>
      </w:r>
      <w:r w:rsidR="00E5556B" w:rsidRPr="00E5556B">
        <w:rPr>
          <w:rFonts w:ascii="Arial" w:hAnsi="Arial" w:cs="Arial"/>
          <w:bCs/>
          <w:sz w:val="22"/>
          <w:szCs w:val="22"/>
          <w:lang w:val="en-AU"/>
        </w:rPr>
        <w:t>.</w:t>
      </w:r>
    </w:p>
    <w:p w14:paraId="45F46231" w14:textId="77777777" w:rsidR="00E5556B" w:rsidRPr="00E5556B" w:rsidRDefault="00E5556B" w:rsidP="00E5556B">
      <w:pPr>
        <w:outlineLvl w:val="0"/>
        <w:rPr>
          <w:rFonts w:ascii="Arial" w:hAnsi="Arial" w:cs="Arial"/>
          <w:bCs/>
          <w:sz w:val="22"/>
          <w:szCs w:val="22"/>
          <w:lang w:val="en-AU"/>
        </w:rPr>
      </w:pPr>
    </w:p>
    <w:p w14:paraId="4B67C858" w14:textId="657DC777"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Housing developers produce housing in model zone j (quantity of housing produced = H</w:t>
      </w:r>
      <w:r w:rsidRPr="00E5556B">
        <w:rPr>
          <w:rFonts w:ascii="Arial" w:hAnsi="Arial" w:cs="Arial"/>
          <w:bCs/>
          <w:sz w:val="22"/>
          <w:szCs w:val="22"/>
          <w:vertAlign w:val="subscript"/>
          <w:lang w:val="en-AU"/>
        </w:rPr>
        <w:t>j</w:t>
      </w:r>
      <w:r w:rsidRPr="00E5556B">
        <w:rPr>
          <w:rFonts w:ascii="Arial" w:hAnsi="Arial" w:cs="Arial"/>
          <w:bCs/>
          <w:sz w:val="22"/>
          <w:szCs w:val="22"/>
          <w:lang w:val="en-AU"/>
        </w:rPr>
        <w:t>) using land (L</w:t>
      </w:r>
      <w:r w:rsidRPr="00E5556B">
        <w:rPr>
          <w:rFonts w:ascii="Arial" w:hAnsi="Arial" w:cs="Arial"/>
          <w:bCs/>
          <w:sz w:val="22"/>
          <w:szCs w:val="22"/>
          <w:vertAlign w:val="subscript"/>
          <w:lang w:val="en-AU"/>
        </w:rPr>
        <w:t>j</w:t>
      </w:r>
      <w:r w:rsidRPr="00E5556B">
        <w:rPr>
          <w:rFonts w:ascii="Arial" w:hAnsi="Arial" w:cs="Arial"/>
          <w:bCs/>
          <w:sz w:val="22"/>
          <w:szCs w:val="22"/>
          <w:lang w:val="en-AU"/>
        </w:rPr>
        <w:t xml:space="preserve">) and construction inputs (M) according to a Cobb-Douglas production technology, where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55356C90">
          <v:shape id="_x0000_i1054" type="#_x0000_t75" style="width:7.75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13B27&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D13B27&quot; wsp:rsidP=&quot;00D13B27&quot;&gt;&lt;m:oMathPara&gt;&lt;m:oMath&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8"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6EB16CF6">
          <v:shape id="_x0000_i1055" type="#_x0000_t75" style="width:7.75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13B27&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D13B27&quot; wsp:rsidP=&quot;00D13B27&quot;&gt;&lt;m:oMathPara&gt;&lt;m:oMath&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8"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is the land share in housing production and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0FE5410F">
          <v:shape id="_x0000_i1056" type="#_x0000_t75" style="width:7.75pt;height:13.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D6142&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4D6142&quot; wsp:rsidP=&quot;004D6142&quot;&gt;&lt;m:oMathPara&gt;&lt;m:oMath&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C&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9"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5D5704F0">
          <v:shape id="_x0000_i1057" type="#_x0000_t75" style="width:7.75pt;height:13.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D6142&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4D6142&quot; wsp:rsidP=&quot;004D6142&quot;&gt;&lt;m:oMathPara&gt;&lt;m:oMath&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C&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9"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is a zone-specific productivity factor.</w:t>
      </w:r>
    </w:p>
    <w:p w14:paraId="677DA9F0" w14:textId="77777777" w:rsidR="00E5556B" w:rsidRPr="00E5556B" w:rsidRDefault="00E5556B" w:rsidP="00E5556B">
      <w:pPr>
        <w:outlineLvl w:val="0"/>
        <w:rPr>
          <w:rFonts w:ascii="Arial" w:hAnsi="Arial" w:cs="Arial"/>
          <w:bCs/>
          <w:sz w:val="22"/>
          <w:szCs w:val="22"/>
          <w:lang w:val="en-AU"/>
        </w:rPr>
      </w:pPr>
    </w:p>
    <w:p w14:paraId="5AED5173" w14:textId="77777777" w:rsidR="00E5556B" w:rsidRPr="00E5556B" w:rsidRDefault="00E5556B" w:rsidP="00E5556B">
      <w:pPr>
        <w:outlineLvl w:val="0"/>
        <w:rPr>
          <w:rFonts w:ascii="Arial" w:hAnsi="Arial" w:cs="Arial"/>
          <w:b/>
          <w:bCs/>
          <w:i/>
          <w:sz w:val="22"/>
          <w:szCs w:val="22"/>
          <w:lang w:val="en-AU"/>
        </w:rPr>
      </w:pPr>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7</w:t>
      </w:r>
      <w:r w:rsidRPr="00E5556B">
        <w:rPr>
          <w:rFonts w:ascii="Arial" w:hAnsi="Arial" w:cs="Arial"/>
          <w:bCs/>
          <w:sz w:val="22"/>
          <w:szCs w:val="22"/>
          <w:lang w:val="en-AU"/>
        </w:rPr>
        <w:fldChar w:fldCharType="end"/>
      </w:r>
      <w:r w:rsidRPr="00E5556B">
        <w:rPr>
          <w:rFonts w:ascii="Arial" w:hAnsi="Arial" w:cs="Arial"/>
          <w:b/>
          <w:bCs/>
          <w:i/>
          <w:sz w:val="22"/>
          <w:szCs w:val="22"/>
          <w:lang w:val="en-AU"/>
        </w:rPr>
        <w:t>: Housing production function</w:t>
      </w:r>
    </w:p>
    <w:p w14:paraId="5D5A8CE1" w14:textId="17B4ECF0"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20E8A2A9">
          <v:shape id="_x0000_i1058" type="#_x0000_t75" style="width:69.8pt;height:13.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A6F31&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6A6F31&quot; wsp:rsidRDefault=&quot;006A6F31&quot; wsp:rsidP=&quot;006A6F31&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H&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L&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e&gt;&lt;m:sup&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sup&gt;&lt;/m:sSup&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M&lt;/m:t&gt;&lt;/m:r&gt;&lt;/m:e&gt;&lt;m:sup&gt;&lt;m:r&gt;&lt;m:rPr&gt;&lt;m:sty m:val=&quot;p&quot;/&gt;&lt;/m:rPr&gt;&lt;w:rPr&gt;&lt;w:rFonts w:ascii=&quot;Cambria Math&quot; w:fareast=&quot;MS PGothic&quot; w:h-ansi=&quot;Cambria Math&quot;/&gt;&lt;wx:font wx:val=&quot;Cambria Math&quot;/&gt;&lt;w:sz w:val=&quot;20&quot;/&gt;&lt;w:lang w:val=&quot;EN-AU&quot; w:fareast=&quot;JA&quot;/&gt;&lt;/w:rPr&gt;&lt;m:t&gt;1-Œ¶&lt;/m:t&gt;&lt;/m:r&gt;&lt;/m:sup&gt;&lt;/m:sSup&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C&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e&gt;&lt;/m:acc&gt;&lt;/m:oMath&gt;&lt;/m:oMathPara&gt;&lt;/w:p&gt;&lt;w:sectPr wsp:rsidR=&quot;00000000&quot; wsp:rsidRPr=&quot;006A6F31&quot;&gt;&lt;w:pgSz w:w=&quot;12240&quot; w:h=&quot;15840&quot;/&gt;&lt;w:pgMar w:top=&quot;1440&quot; w:right=&quot;1440&quot; w:bottom=&quot;1440&quot; w:left=&quot;1440&quot; w:header=&quot;720&quot; w:footer=&quot;720&quot; w:gutter=&quot;0&quot;/&gt;&lt;w:cols w:space=&quot;720&quot;/&gt;&lt;/w:sectPr&gt;&lt;/wx:sect&gt;&lt;/w:body&gt;&lt;/w:wordDocument&gt;">
            <v:imagedata r:id="rId30" o:title="" chromakey="white"/>
          </v:shape>
        </w:pict>
      </w:r>
    </w:p>
    <w:p w14:paraId="75DB875A" w14:textId="77777777" w:rsidR="00E5556B" w:rsidRPr="00E5556B" w:rsidRDefault="00E5556B" w:rsidP="00E5556B">
      <w:pPr>
        <w:outlineLvl w:val="0"/>
        <w:rPr>
          <w:rFonts w:ascii="Arial" w:hAnsi="Arial" w:cs="Arial"/>
          <w:bCs/>
          <w:sz w:val="22"/>
          <w:szCs w:val="22"/>
          <w:lang w:val="en-AU"/>
        </w:rPr>
      </w:pPr>
    </w:p>
    <w:p w14:paraId="01E46BF4" w14:textId="5F0A2BC3"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Developers sell housing at price P</w:t>
      </w:r>
      <w:r w:rsidRPr="00E5556B">
        <w:rPr>
          <w:rFonts w:ascii="Arial" w:hAnsi="Arial" w:cs="Arial"/>
          <w:bCs/>
          <w:sz w:val="22"/>
          <w:szCs w:val="22"/>
          <w:vertAlign w:val="subscript"/>
          <w:lang w:val="en-AU"/>
        </w:rPr>
        <w:t>j</w:t>
      </w:r>
      <w:r w:rsidRPr="00E5556B">
        <w:rPr>
          <w:rFonts w:ascii="Arial" w:hAnsi="Arial" w:cs="Arial"/>
          <w:bCs/>
          <w:sz w:val="22"/>
          <w:szCs w:val="22"/>
          <w:lang w:val="en-AU"/>
        </w:rPr>
        <w:t xml:space="preserve"> to maximise profit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18431ED2">
          <v:shape id="_x0000_i1059" type="#_x0000_t75" style="width:8.8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85162&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D85162&quot; wsp:rsidP=&quot;00D85162&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Ä&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1"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42B919CE">
          <v:shape id="_x0000_i1060" type="#_x0000_t75" style="width:8.8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85162&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D85162&quot; wsp:rsidP=&quot;00D85162&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Ä&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1"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taking into account the zone-specific price of land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7A15B85E">
          <v:shape id="_x0000_i1061" type="#_x0000_t75" style="width:11.1pt;height:13.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D1AE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6D1AEC&quot; wsp:rsidP=&quot;006D1AEC&quot;&gt;&lt;m:oMathPara&gt;&lt;m:oMath&gt;&lt;m:sSubSup&gt;&lt;m:sSubSupPr&gt;&lt;m:ctrlPr&gt;&lt;w:rPr&gt;&lt;w:rFonts w:ascii=&quot;Cambria Math&quot; w:fareast=&quot;MS PGothic&quot; w:h-ansi=&quot;Cambria Math&quot;/&gt;&lt;wx:font wx:val=&quot;Cambria Math&quot;/&gt;&lt;w:i/&gt;&lt;w:sz w:val=&quot;20&quot;/&gt;&lt;w:lang w:val=&quot;EN-AU&quot; w:fareast=&quot;JA&quot;/&gt;&lt;/w:rPr&gt;&lt;/m:ctrlPr&gt;&lt;/m:sSubSup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up&gt;&lt;m:r&gt;&lt;w:rPr&gt;&lt;w:rFonts w:ascii=&quot;Cambria Math&quot; w:fareast=&quot;MS PGothic&quot; w:h-ansi=&quot;Cambria Math&quot;/&gt;&lt;wx:font wx:val=&quot;Cambria Math&quot;/&gt;&lt;w:i/&gt;&lt;w:sz w:val=&quot;20&quot;/&gt;&lt;w:lang w:val=&quot;EN-AU&quot; w:fareast=&quot;JA&quot;/&gt;&lt;/w:rPr&gt;&lt;m:t&gt;L&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2"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26FA505A">
          <v:shape id="_x0000_i1062" type="#_x0000_t75" style="width:11.1pt;height:13.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D1AE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6D1AEC&quot; wsp:rsidP=&quot;006D1AEC&quot;&gt;&lt;m:oMathPara&gt;&lt;m:oMath&gt;&lt;m:sSubSup&gt;&lt;m:sSubSupPr&gt;&lt;m:ctrlPr&gt;&lt;w:rPr&gt;&lt;w:rFonts w:ascii=&quot;Cambria Math&quot; w:fareast=&quot;MS PGothic&quot; w:h-ansi=&quot;Cambria Math&quot;/&gt;&lt;wx:font wx:val=&quot;Cambria Math&quot;/&gt;&lt;w:i/&gt;&lt;w:sz w:val=&quot;20&quot;/&gt;&lt;w:lang w:val=&quot;EN-AU&quot; w:fareast=&quot;JA&quot;/&gt;&lt;/w:rPr&gt;&lt;/m:ctrlPr&gt;&lt;/m:sSubSup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up&gt;&lt;m:r&gt;&lt;w:rPr&gt;&lt;w:rFonts w:ascii=&quot;Cambria Math&quot; w:fareast=&quot;MS PGothic&quot; w:h-ansi=&quot;Cambria Math&quot;/&gt;&lt;wx:font wx:val=&quot;Cambria Math&quot;/&gt;&lt;w:i/&gt;&lt;w:sz w:val=&quot;20&quot;/&gt;&lt;w:lang w:val=&quot;EN-AU&quot; w:fareast=&quot;JA&quot;/&gt;&lt;/w:rPr&gt;&lt;m:t&gt;L&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2"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and the price of construction inputs (P</w:t>
      </w:r>
      <w:r w:rsidRPr="00E5556B">
        <w:rPr>
          <w:rFonts w:ascii="Arial" w:hAnsi="Arial" w:cs="Arial"/>
          <w:bCs/>
          <w:sz w:val="22"/>
          <w:szCs w:val="22"/>
          <w:vertAlign w:val="superscript"/>
          <w:lang w:val="en-AU"/>
        </w:rPr>
        <w:t>M</w:t>
      </w:r>
      <w:r w:rsidRPr="00E5556B">
        <w:rPr>
          <w:rFonts w:ascii="Arial" w:hAnsi="Arial" w:cs="Arial"/>
          <w:bCs/>
          <w:sz w:val="22"/>
          <w:szCs w:val="22"/>
          <w:lang w:val="en-AU"/>
        </w:rPr>
        <w:t>), which is assumed to be equal across locations. Due to competition in housing development, economic profits for developers are driven down to zero.</w:t>
      </w:r>
    </w:p>
    <w:p w14:paraId="330E249E" w14:textId="77777777" w:rsidR="00E5556B" w:rsidRPr="00E5556B" w:rsidRDefault="00E5556B" w:rsidP="00E5556B">
      <w:pPr>
        <w:outlineLvl w:val="0"/>
        <w:rPr>
          <w:rFonts w:ascii="Arial" w:hAnsi="Arial" w:cs="Arial"/>
          <w:bCs/>
          <w:sz w:val="22"/>
          <w:szCs w:val="22"/>
          <w:lang w:val="en-AU"/>
        </w:rPr>
      </w:pPr>
    </w:p>
    <w:p w14:paraId="409F84FD" w14:textId="77777777" w:rsidR="00E5556B" w:rsidRPr="00E5556B" w:rsidRDefault="00E5556B" w:rsidP="00E5556B">
      <w:pPr>
        <w:outlineLvl w:val="0"/>
        <w:rPr>
          <w:rFonts w:ascii="Arial" w:hAnsi="Arial" w:cs="Arial"/>
          <w:b/>
          <w:bCs/>
          <w:i/>
          <w:sz w:val="22"/>
          <w:szCs w:val="22"/>
          <w:lang w:val="en-AU"/>
        </w:rPr>
      </w:pPr>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8</w:t>
      </w:r>
      <w:r w:rsidRPr="00E5556B">
        <w:rPr>
          <w:rFonts w:ascii="Arial" w:hAnsi="Arial" w:cs="Arial"/>
          <w:bCs/>
          <w:sz w:val="22"/>
          <w:szCs w:val="22"/>
          <w:lang w:val="en-AU"/>
        </w:rPr>
        <w:fldChar w:fldCharType="end"/>
      </w:r>
      <w:r w:rsidRPr="00E5556B">
        <w:rPr>
          <w:rFonts w:ascii="Arial" w:hAnsi="Arial" w:cs="Arial"/>
          <w:b/>
          <w:bCs/>
          <w:i/>
          <w:sz w:val="22"/>
          <w:szCs w:val="22"/>
          <w:lang w:val="en-AU"/>
        </w:rPr>
        <w:t>: Housing developer profit / zero profit condition</w:t>
      </w:r>
    </w:p>
    <w:p w14:paraId="42BDA23F" w14:textId="74786EBC"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13A678E4">
          <v:shape id="_x0000_i1063" type="#_x0000_t75" style="width:105.8pt;height:13.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2C1A&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262C1A&quot; wsp:rsidRDefault=&quot;00262C1A&quot; wsp:rsidP=&quot;00262C1A&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Ä&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H&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bSup&gt;&lt;m:sSubSupPr&gt;&lt;m:ctrlPr&gt;&lt;w:rPr&gt;&lt;w:rFonts w:ascii=&quot;Cambria Math&quot; w:fareast=&quot;MS PGothic&quot; w:h-ansi=&quot;Cambria Math&quot;/&gt;&lt;wx:font wx:val=&quot;Cambria Math&quot;/&gt;&lt;w:i/&gt;&lt;w:sz w:val=&quot;20&quot;/&gt;&lt;w:lang w:val=&quot;EN-AU&quot; w:fareast=&quot;JA&quot;/&gt;&lt;/w:rPr&gt;&lt;/m:ctrlPr&gt;&lt;/m:sSubSup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up&gt;&lt;m:r&gt;&lt;w:rPr&gt;&lt;w:rFonts w:ascii=&quot;Cambria Math&quot; w:fareast=&quot;MS PGothic&quot; w:h-ansi=&quot;Cambria Math&quot;/&gt;&lt;wx:font wx:val=&quot;Cambria Math&quot;/&gt;&lt;w:i/&gt;&lt;w:sz w:val=&quot;20&quot;/&gt;&lt;w:lang w:val=&quot;EN-AU&quot; w:fareast=&quot;JA&quot;/&gt;&lt;/w:rPr&gt;&lt;m:t&gt;L&lt;/m:t&gt;&lt;/m:r&gt;&lt;/m:sup&gt;&lt;/m:sSubSup&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L&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P&lt;/m:t&gt;&lt;/m:r&gt;&lt;/m:e&gt;&lt;m:sup&gt;&lt;m:r&gt;&lt;w:rPr&gt;&lt;w:rFonts w:ascii=&quot;Cambria Math&quot; w:fareast=&quot;MS PGothic&quot; w:h-ansi=&quot;Cambria Math&quot;/&gt;&lt;wx:font wx:val=&quot;Cambria Math&quot;/&gt;&lt;w:i/&gt;&lt;w:sz w:val=&quot;20&quot;/&gt;&lt;w:lang w:val=&quot;EN-AU&quot; w:fareast=&quot;JA&quot;/&gt;&lt;/w:rPr&gt;&lt;m:t&gt;M&lt;/m:t&gt;&lt;/m:r&gt;&lt;/m:sup&gt;&lt;/m:sSup&gt;&lt;m:r&gt;&lt;w:rPr&gt;&lt;w:rFonts w:ascii=&quot;Cambria Math&quot; w:fareast=&quot;MS PGothic&quot; w:h-ansi=&quot;Cambria Math&quot;/&gt;&lt;wx:font wx:val=&quot;Cambria Math&quot;/&gt;&lt;w:i/&gt;&lt;w:sz w:val=&quot;20&quot;/&gt;&lt;w:lang w:val=&quot;EN-AU&quot; w:fareast=&quot;JA&quot;/&gt;&lt;/w:rPr&gt;&lt;m:t&gt;M=0&lt;/m:t&gt;&lt;/m:r&gt;&lt;/m:oMath&gt;&lt;/m:oMathPara&gt;&lt;/w:p&gt;&lt;w:sectPr wsp:rsidR=&quot;00000000&quot; wsp:rsidRPr=&quot;00262C1A&quot;&gt;&lt;w:pgSz w:w=&quot;12240&quot; w:h=&quot;15840&quot;/&gt;&lt;w:pgMar w:top=&quot;1440&quot; w:right=&quot;1440&quot; w:bottom=&quot;1440&quot; w:left=&quot;1440&quot; w:header=&quot;720&quot; w:footer=&quot;720&quot; w:gutter=&quot;0&quot;/&gt;&lt;w:cols w:space=&quot;720&quot;/&gt;&lt;/w:sectPr&gt;&lt;/wx:sect&gt;&lt;/w:body&gt;&lt;/w:wordDocument&gt;">
            <v:imagedata r:id="rId33" o:title="" chromakey="white"/>
          </v:shape>
        </w:pict>
      </w:r>
    </w:p>
    <w:p w14:paraId="0006178B" w14:textId="77777777" w:rsidR="00E5556B" w:rsidRPr="00E5556B" w:rsidRDefault="00E5556B" w:rsidP="00E5556B">
      <w:pPr>
        <w:outlineLvl w:val="0"/>
        <w:rPr>
          <w:rFonts w:ascii="Arial" w:hAnsi="Arial" w:cs="Arial"/>
          <w:bCs/>
          <w:sz w:val="22"/>
          <w:szCs w:val="22"/>
          <w:lang w:val="en-AU"/>
        </w:rPr>
      </w:pPr>
    </w:p>
    <w:p w14:paraId="04C1DC02" w14:textId="10F83949" w:rsidR="00E5556B" w:rsidRPr="00E5556B" w:rsidRDefault="00454559" w:rsidP="00454559">
      <w:pPr>
        <w:outlineLvl w:val="0"/>
        <w:rPr>
          <w:rFonts w:ascii="Arial" w:hAnsi="Arial" w:cs="Arial"/>
          <w:bCs/>
          <w:sz w:val="22"/>
          <w:szCs w:val="22"/>
          <w:lang w:val="en-AU"/>
        </w:rPr>
      </w:pPr>
      <w:r>
        <w:rPr>
          <w:rFonts w:ascii="Arial" w:hAnsi="Arial" w:cs="Arial"/>
          <w:bCs/>
          <w:sz w:val="22"/>
          <w:szCs w:val="22"/>
          <w:lang w:val="en-AU"/>
        </w:rPr>
        <w:t>It is possible to use the</w:t>
      </w:r>
      <w:r w:rsidR="00E5556B" w:rsidRPr="00E5556B">
        <w:rPr>
          <w:rFonts w:ascii="Arial" w:hAnsi="Arial" w:cs="Arial"/>
          <w:bCs/>
          <w:sz w:val="22"/>
          <w:szCs w:val="22"/>
          <w:lang w:val="en-AU"/>
        </w:rPr>
        <w:t xml:space="preserve"> zero profit condition and the first order condition for profit maximisation with respect to construction inputs (</w:t>
      </w:r>
      <w:r w:rsidR="00E5556B" w:rsidRPr="00E5556B">
        <w:rPr>
          <w:rFonts w:ascii="Arial" w:hAnsi="Arial" w:cs="Arial"/>
          <w:bCs/>
          <w:sz w:val="22"/>
          <w:szCs w:val="22"/>
          <w:lang w:val="en-AU"/>
        </w:rPr>
        <w:fldChar w:fldCharType="begin"/>
      </w:r>
      <w:r w:rsidR="00E5556B" w:rsidRPr="00E5556B">
        <w:rPr>
          <w:rFonts w:ascii="Arial" w:hAnsi="Arial" w:cs="Arial"/>
          <w:bCs/>
          <w:sz w:val="22"/>
          <w:szCs w:val="22"/>
          <w:lang w:val="en-AU"/>
        </w:rPr>
        <w:instrText xml:space="preserve"> QUOTE </w:instrText>
      </w:r>
      <w:r w:rsidR="0058651C">
        <w:rPr>
          <w:rFonts w:ascii="Arial" w:hAnsi="Arial" w:cs="Arial"/>
          <w:bCs/>
          <w:sz w:val="22"/>
          <w:szCs w:val="22"/>
        </w:rPr>
        <w:pict w14:anchorId="5211BF76">
          <v:shape id="_x0000_i1064" type="#_x0000_t75" style="width:31pt;height:18.3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87325&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D87325&quot; wsp:rsidP=&quot;00D87325&quot;&gt;&lt;m:oMathPara&gt;&lt;m:oMath&gt;&lt;m:f&gt;&lt;m:fPr&gt;&lt;m:ctrlPr&gt;&lt;w:rPr&gt;&lt;w:rFonts w:ascii=&quot;Cambria Math&quot; w:fareast=&quot;MS PGothic&quot; w:h-ansi=&quot;Cambria Math&quot;/&gt;&lt;wx:font wx:val=&quot;Cambria Math&quot;/&gt;&lt;w:i/&gt;&lt;w:sz w:val=&quot;20&quot;/&gt;&lt;w:lang w:val=&quot;EN-AU&quot; w:fareast=&quot;JA&quot;/&gt;&lt;/w:rPr&gt;&lt;/m:ctrlPr&gt;&lt;/m:fPr&gt;&lt;m:num&gt;&lt;m:r&gt;&lt;w:rPr&gt;&lt;w:rFonts w:ascii=&quot;Cambria Math&quot; w:fareast=&quot;MS PGothic&quot; w:h-ansi=&quot;Cambria Math&quot;/&gt;&lt;wx:font wx:val=&quot;Cambria Math&quot;/&gt;&lt;w:i/&gt;&lt;w:sz w:val=&quot;20&quot;/&gt;&lt;w:lang w:val=&quot;EN-AU&quot; w:fareast=&quot;JA&quot;/&gt;&lt;/w:rPr&gt;&lt;m:t&gt;‚àÇ&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Ä&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num&gt;&lt;m:den&gt;&lt;m:r&gt;&lt;w:rPr&gt;&lt;w:rFonts w:ascii=&quot;Cambria Math&quot; w:fareast=&quot;MS PGothic&quot; w:h-ansi=&quot;Cambria Math&quot;/&gt;&lt;wx:font wx:val=&quot;Cambria Math&quot;/&gt;&lt;w:i/&gt;&lt;w:sz w:val=&quot;20&quot;/&gt;&lt;w:lang w:val=&quot;EN-AU&quot; w:fareast=&quot;JA&quot;/&gt;&lt;/w:rPr&gt;&lt;m:t&gt;‚àÇM&lt;/m:t&gt;&lt;/m:r&gt;&lt;/m:den&gt;&lt;/m:f&gt;&lt;m:r&gt;&lt;w:rPr&gt;&lt;w:rFonts w:ascii=&quot;Cambria Math&quot; w:fareast=&quot;MS PGothic&quot; w:h-ansi=&quot;Cambria Math&quot;/&gt;&lt;wx:font wx:val=&quot;Cambria Math&quot;/&gt;&lt;w:i/&gt;&lt;w:sz w:val=&quot;20&quot;/&gt;&lt;w:lang w:val=&quot;EN-AU&quot; w:fareast=&quot;JA&quot;/&gt;&lt;/w:rPr&gt;&lt;m:t&gt;=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00E5556B" w:rsidRPr="00E5556B">
        <w:rPr>
          <w:rFonts w:ascii="Arial" w:hAnsi="Arial" w:cs="Arial"/>
          <w:bCs/>
          <w:sz w:val="22"/>
          <w:szCs w:val="22"/>
          <w:lang w:val="en-AU"/>
        </w:rPr>
        <w:instrText xml:space="preserve"> </w:instrText>
      </w:r>
      <w:r w:rsidR="00E5556B" w:rsidRPr="00E5556B">
        <w:rPr>
          <w:rFonts w:ascii="Arial" w:hAnsi="Arial" w:cs="Arial"/>
          <w:bCs/>
          <w:sz w:val="22"/>
          <w:szCs w:val="22"/>
          <w:lang w:val="en-AU"/>
        </w:rPr>
        <w:fldChar w:fldCharType="separate"/>
      </w:r>
      <w:r w:rsidR="0058651C">
        <w:rPr>
          <w:rFonts w:ascii="Arial" w:hAnsi="Arial" w:cs="Arial"/>
          <w:bCs/>
          <w:sz w:val="22"/>
          <w:szCs w:val="22"/>
        </w:rPr>
        <w:pict w14:anchorId="71D6410C">
          <v:shape id="_x0000_i1065" type="#_x0000_t75" style="width:31pt;height:18.3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87325&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D87325&quot; wsp:rsidP=&quot;00D87325&quot;&gt;&lt;m:oMathPara&gt;&lt;m:oMath&gt;&lt;m:f&gt;&lt;m:fPr&gt;&lt;m:ctrlPr&gt;&lt;w:rPr&gt;&lt;w:rFonts w:ascii=&quot;Cambria Math&quot; w:fareast=&quot;MS PGothic&quot; w:h-ansi=&quot;Cambria Math&quot;/&gt;&lt;wx:font wx:val=&quot;Cambria Math&quot;/&gt;&lt;w:i/&gt;&lt;w:sz w:val=&quot;20&quot;/&gt;&lt;w:lang w:val=&quot;EN-AU&quot; w:fareast=&quot;JA&quot;/&gt;&lt;/w:rPr&gt;&lt;/m:ctrlPr&gt;&lt;/m:fPr&gt;&lt;m:num&gt;&lt;m:r&gt;&lt;w:rPr&gt;&lt;w:rFonts w:ascii=&quot;Cambria Math&quot; w:fareast=&quot;MS PGothic&quot; w:h-ansi=&quot;Cambria Math&quot;/&gt;&lt;wx:font wx:val=&quot;Cambria Math&quot;/&gt;&lt;w:i/&gt;&lt;w:sz w:val=&quot;20&quot;/&gt;&lt;w:lang w:val=&quot;EN-AU&quot; w:fareast=&quot;JA&quot;/&gt;&lt;/w:rPr&gt;&lt;m:t&gt;‚àÇ&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œÄ&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num&gt;&lt;m:den&gt;&lt;m:r&gt;&lt;w:rPr&gt;&lt;w:rFonts w:ascii=&quot;Cambria Math&quot; w:fareast=&quot;MS PGothic&quot; w:h-ansi=&quot;Cambria Math&quot;/&gt;&lt;wx:font wx:val=&quot;Cambria Math&quot;/&gt;&lt;w:i/&gt;&lt;w:sz w:val=&quot;20&quot;/&gt;&lt;w:lang w:val=&quot;EN-AU&quot; w:fareast=&quot;JA&quot;/&gt;&lt;/w:rPr&gt;&lt;m:t&gt;‚àÇM&lt;/m:t&gt;&lt;/m:r&gt;&lt;/m:den&gt;&lt;/m:f&gt;&lt;m:r&gt;&lt;w:rPr&gt;&lt;w:rFonts w:ascii=&quot;Cambria Math&quot; w:fareast=&quot;MS PGothic&quot; w:h-ansi=&quot;Cambria Math&quot;/&gt;&lt;wx:font wx:val=&quot;Cambria Math&quot;/&gt;&lt;w:i/&gt;&lt;w:sz w:val=&quot;20&quot;/&gt;&lt;w:lang w:val=&quot;EN-AU&quot; w:fareast=&quot;JA&quot;/&gt;&lt;/w:rPr&gt;&lt;m:t&gt;=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00E5556B" w:rsidRPr="00E5556B">
        <w:rPr>
          <w:rFonts w:ascii="Arial" w:hAnsi="Arial" w:cs="Arial"/>
          <w:bCs/>
          <w:sz w:val="22"/>
          <w:szCs w:val="22"/>
          <w:lang w:val="en-AU"/>
        </w:rPr>
        <w:fldChar w:fldCharType="end"/>
      </w:r>
      <w:r w:rsidR="00E5556B" w:rsidRPr="00E5556B">
        <w:rPr>
          <w:rFonts w:ascii="Arial" w:hAnsi="Arial" w:cs="Arial"/>
          <w:bCs/>
          <w:sz w:val="22"/>
          <w:szCs w:val="22"/>
          <w:lang w:val="en-AU"/>
        </w:rPr>
        <w:t xml:space="preserve">) to </w:t>
      </w:r>
      <w:r>
        <w:rPr>
          <w:rFonts w:ascii="Arial" w:hAnsi="Arial" w:cs="Arial"/>
          <w:bCs/>
          <w:sz w:val="22"/>
          <w:szCs w:val="22"/>
          <w:lang w:val="en-AU"/>
        </w:rPr>
        <w:t>simplify the above formulae to the following expression for housing prices as a function of local land prices.</w:t>
      </w:r>
      <w:r>
        <w:rPr>
          <w:rStyle w:val="FootnoteReference"/>
          <w:rFonts w:ascii="Arial" w:hAnsi="Arial" w:cs="Arial"/>
          <w:bCs/>
          <w:sz w:val="22"/>
          <w:szCs w:val="22"/>
          <w:lang w:val="en-AU"/>
        </w:rPr>
        <w:footnoteReference w:id="14"/>
      </w:r>
      <w:r>
        <w:rPr>
          <w:rFonts w:ascii="Arial" w:hAnsi="Arial" w:cs="Arial"/>
          <w:bCs/>
          <w:sz w:val="22"/>
          <w:szCs w:val="22"/>
          <w:lang w:val="en-AU"/>
        </w:rPr>
        <w:t xml:space="preserve"> Details of this derivation are given in Severn (2019).</w:t>
      </w:r>
    </w:p>
    <w:p w14:paraId="1C21E829" w14:textId="77777777" w:rsidR="00E5556B" w:rsidRPr="00E5556B" w:rsidRDefault="00E5556B" w:rsidP="00E5556B">
      <w:pPr>
        <w:outlineLvl w:val="0"/>
        <w:rPr>
          <w:rFonts w:ascii="Arial" w:hAnsi="Arial" w:cs="Arial"/>
          <w:bCs/>
          <w:sz w:val="22"/>
          <w:szCs w:val="22"/>
          <w:lang w:val="en-AU"/>
        </w:rPr>
      </w:pPr>
    </w:p>
    <w:p w14:paraId="5BD42D33" w14:textId="77777777" w:rsidR="00E5556B" w:rsidRPr="00E5556B" w:rsidRDefault="00E5556B" w:rsidP="00E5556B">
      <w:pPr>
        <w:outlineLvl w:val="0"/>
        <w:rPr>
          <w:rFonts w:ascii="Arial" w:hAnsi="Arial" w:cs="Arial"/>
          <w:b/>
          <w:bCs/>
          <w:i/>
          <w:sz w:val="22"/>
          <w:szCs w:val="22"/>
          <w:lang w:val="en-AU"/>
        </w:rPr>
      </w:pPr>
      <w:bookmarkStart w:id="9" w:name="_Ref32440479"/>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9</w:t>
      </w:r>
      <w:r w:rsidRPr="00E5556B">
        <w:rPr>
          <w:rFonts w:ascii="Arial" w:hAnsi="Arial" w:cs="Arial"/>
          <w:bCs/>
          <w:sz w:val="22"/>
          <w:szCs w:val="22"/>
          <w:lang w:val="en-AU"/>
        </w:rPr>
        <w:fldChar w:fldCharType="end"/>
      </w:r>
      <w:bookmarkEnd w:id="9"/>
      <w:r w:rsidRPr="00E5556B">
        <w:rPr>
          <w:rFonts w:ascii="Arial" w:hAnsi="Arial" w:cs="Arial"/>
          <w:b/>
          <w:bCs/>
          <w:i/>
          <w:sz w:val="22"/>
          <w:szCs w:val="22"/>
          <w:lang w:val="en-AU"/>
        </w:rPr>
        <w:t>: Housing developer cost function</w:t>
      </w:r>
    </w:p>
    <w:p w14:paraId="75D6F004" w14:textId="4C57EC1C"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7478761B">
          <v:shape id="_x0000_i1066" type="#_x0000_t75" style="width:54.85pt;height:13.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2AD&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AC02AD&quot; wsp:rsidRDefault=&quot;00AC02AD&quot; wsp:rsidP=&quot;00AC02AD&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C&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lt;/m:t&gt;&lt;/m:r&gt;&lt;m:sSubSup&gt;&lt;m:sSubSupPr&gt;&lt;m:ctrlPr&gt;&lt;w:rPr&gt;&lt;w:rFonts w:ascii=&quot;Cambria Math&quot; w:fareast=&quot;MS PGothic&quot; w:h-ansi=&quot;Cambria Math&quot;/&gt;&lt;wx:font wx:val=&quot;Cambria Math&quot;/&gt;&lt;w:i/&gt;&lt;w:sz w:val=&quot;20&quot;/&gt;&lt;w:lang w:val=&quot;EN-AU&quot; w:fareast=&quot;JA&quot;/&gt;&lt;/w:rPr&gt;&lt;/m:ctrlPr&gt;&lt;/m:sSubSup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up&gt;&lt;m:r&gt;&lt;w:rPr&gt;&lt;w:rFonts w:ascii=&quot;Cambria Math&quot; w:fareast=&quot;MS PGothic&quot; w:h-ansi=&quot;Cambria Math&quot;/&gt;&lt;wx:font wx:val=&quot;Cambria Math&quot;/&gt;&lt;w:i/&gt;&lt;w:sz w:val=&quot;20&quot;/&gt;&lt;w:lang w:val=&quot;EN-AU&quot; w:fareast=&quot;JA&quot;/&gt;&lt;/w:rPr&gt;&lt;m:t&gt;L&lt;/m:t&gt;&lt;/m:r&gt;&lt;/m:sup&gt;&lt;/m:sSubSup&gt;&lt;m:r&gt;&lt;w:rPr&gt;&lt;w:rFonts w:ascii=&quot;Cambria Math&quot; w:fareast=&quot;MS PGothic&quot; w:h-ansi=&quot;Cambria Math&quot;/&gt;&lt;wx:font wx:val=&quot;Cambria Math&quot;/&gt;&lt;w:i/&gt;&lt;w:sz w:val=&quot;20&quot;/&gt;&lt;w:lang w:val=&quot;EN-AU&quot; w:fareast=&quot;JA&quot;/&gt;&lt;/w:rPr&gt;&lt;m:t&gt;)&lt;/m:t&gt;&lt;/m:r&gt;&lt;/m:e&gt;&lt;m:sup&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sup&gt;&lt;/m:sSup&gt;&lt;/m:oMath&gt;&lt;/m:oMathPara&gt;&lt;/w:p&gt;&lt;w:sectPr wsp:rsidR=&quot;00000000&quot; wsp:rsidRPr=&quot;00AC02AD&quot;&gt;&lt;w:pgSz w:w=&quot;12240&quot; w:h=&quot;15840&quot;/&gt;&lt;w:pgMar w:top=&quot;1440&quot; w:right=&quot;1440&quot; w:bottom=&quot;1440&quot; w:left=&quot;1440&quot; w:header=&quot;720&quot; w:footer=&quot;720&quot; w:gutter=&quot;0&quot;/&gt;&lt;w:cols w:space=&quot;720&quot;/&gt;&lt;/w:sectPr&gt;&lt;/wx:sect&gt;&lt;/w:body&gt;&lt;/w:wordDocument&gt;">
            <v:imagedata r:id="rId35" o:title="" chromakey="white"/>
          </v:shape>
        </w:pict>
      </w:r>
    </w:p>
    <w:p w14:paraId="51C2B845" w14:textId="77777777" w:rsidR="00E5556B" w:rsidRPr="00E5556B" w:rsidRDefault="00E5556B" w:rsidP="00E5556B">
      <w:pPr>
        <w:outlineLvl w:val="0"/>
        <w:rPr>
          <w:rFonts w:ascii="Arial" w:hAnsi="Arial" w:cs="Arial"/>
          <w:bCs/>
          <w:sz w:val="22"/>
          <w:szCs w:val="22"/>
          <w:lang w:val="en-AU"/>
        </w:rPr>
      </w:pPr>
    </w:p>
    <w:p w14:paraId="1B8A77A2" w14:textId="77777777" w:rsidR="00454559" w:rsidRDefault="00454559" w:rsidP="00E5556B">
      <w:pPr>
        <w:outlineLvl w:val="0"/>
        <w:rPr>
          <w:rFonts w:ascii="Arial" w:hAnsi="Arial" w:cs="Arial"/>
          <w:bCs/>
          <w:sz w:val="22"/>
          <w:szCs w:val="22"/>
          <w:lang w:val="en-AU"/>
        </w:rPr>
      </w:pPr>
      <w:r>
        <w:rPr>
          <w:rFonts w:ascii="Arial" w:hAnsi="Arial" w:cs="Arial"/>
          <w:bCs/>
          <w:sz w:val="22"/>
          <w:szCs w:val="22"/>
          <w:lang w:val="en-AU"/>
        </w:rPr>
        <w:fldChar w:fldCharType="begin"/>
      </w:r>
      <w:r>
        <w:rPr>
          <w:rFonts w:ascii="Arial" w:hAnsi="Arial" w:cs="Arial"/>
          <w:bCs/>
          <w:sz w:val="22"/>
          <w:szCs w:val="22"/>
          <w:lang w:val="en-AU"/>
        </w:rPr>
        <w:instrText xml:space="preserve"> REF _Ref32440479 \h </w:instrText>
      </w:r>
      <w:r>
        <w:rPr>
          <w:rFonts w:ascii="Arial" w:hAnsi="Arial" w:cs="Arial"/>
          <w:bCs/>
          <w:sz w:val="22"/>
          <w:szCs w:val="22"/>
          <w:lang w:val="en-AU"/>
        </w:rPr>
      </w:r>
      <w:r>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9</w:t>
      </w:r>
      <w:r>
        <w:rPr>
          <w:rFonts w:ascii="Arial" w:hAnsi="Arial" w:cs="Arial"/>
          <w:bCs/>
          <w:sz w:val="22"/>
          <w:szCs w:val="22"/>
          <w:lang w:val="en-AU"/>
        </w:rPr>
        <w:fldChar w:fldCharType="end"/>
      </w:r>
      <w:r>
        <w:rPr>
          <w:rFonts w:ascii="Arial" w:hAnsi="Arial" w:cs="Arial"/>
          <w:bCs/>
          <w:sz w:val="22"/>
          <w:szCs w:val="22"/>
          <w:lang w:val="en-AU"/>
        </w:rPr>
        <w:t xml:space="preserve"> </w:t>
      </w:r>
      <w:r w:rsidR="00E5556B" w:rsidRPr="00E5556B">
        <w:rPr>
          <w:rFonts w:ascii="Arial" w:hAnsi="Arial" w:cs="Arial"/>
          <w:bCs/>
          <w:sz w:val="22"/>
          <w:szCs w:val="22"/>
          <w:lang w:val="en-AU"/>
        </w:rPr>
        <w:t xml:space="preserve">relates prices for housing supplied by developers to local land prices. To close the model, </w:t>
      </w:r>
      <w:r>
        <w:rPr>
          <w:rFonts w:ascii="Arial" w:hAnsi="Arial" w:cs="Arial"/>
          <w:bCs/>
          <w:sz w:val="22"/>
          <w:szCs w:val="22"/>
          <w:lang w:val="en-AU"/>
        </w:rPr>
        <w:t>it is necessary to specify competitive dynamics in land markets</w:t>
      </w:r>
      <w:r w:rsidR="00E5556B" w:rsidRPr="00E5556B">
        <w:rPr>
          <w:rFonts w:ascii="Arial" w:hAnsi="Arial" w:cs="Arial"/>
          <w:bCs/>
          <w:sz w:val="22"/>
          <w:szCs w:val="22"/>
          <w:lang w:val="en-AU"/>
        </w:rPr>
        <w:t>.</w:t>
      </w:r>
      <w:r>
        <w:rPr>
          <w:rFonts w:ascii="Arial" w:hAnsi="Arial" w:cs="Arial"/>
          <w:bCs/>
          <w:sz w:val="22"/>
          <w:szCs w:val="22"/>
          <w:lang w:val="en-AU"/>
        </w:rPr>
        <w:t xml:space="preserve"> </w:t>
      </w:r>
      <w:r>
        <w:rPr>
          <w:rFonts w:ascii="Arial" w:hAnsi="Arial" w:cs="Arial"/>
          <w:bCs/>
          <w:sz w:val="22"/>
          <w:szCs w:val="22"/>
          <w:lang w:val="en-AU"/>
        </w:rPr>
        <w:fldChar w:fldCharType="begin"/>
      </w:r>
      <w:r>
        <w:rPr>
          <w:rFonts w:ascii="Arial" w:hAnsi="Arial" w:cs="Arial"/>
          <w:bCs/>
          <w:sz w:val="22"/>
          <w:szCs w:val="22"/>
          <w:lang w:val="en-AU"/>
        </w:rPr>
        <w:instrText xml:space="preserve"> REF _Ref32440472 \h </w:instrText>
      </w:r>
      <w:r>
        <w:rPr>
          <w:rFonts w:ascii="Arial" w:hAnsi="Arial" w:cs="Arial"/>
          <w:bCs/>
          <w:sz w:val="22"/>
          <w:szCs w:val="22"/>
          <w:lang w:val="en-AU"/>
        </w:rPr>
      </w:r>
      <w:r>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10</w:t>
      </w:r>
      <w:r>
        <w:rPr>
          <w:rFonts w:ascii="Arial" w:hAnsi="Arial" w:cs="Arial"/>
          <w:bCs/>
          <w:sz w:val="22"/>
          <w:szCs w:val="22"/>
          <w:lang w:val="en-AU"/>
        </w:rPr>
        <w:fldChar w:fldCharType="end"/>
      </w:r>
      <w:r>
        <w:rPr>
          <w:rFonts w:ascii="Arial" w:hAnsi="Arial" w:cs="Arial"/>
          <w:bCs/>
          <w:sz w:val="22"/>
          <w:szCs w:val="22"/>
          <w:lang w:val="en-AU"/>
        </w:rPr>
        <w:t xml:space="preserve"> outlines a proposed approach.</w:t>
      </w:r>
      <w:r w:rsidR="00E5556B" w:rsidRPr="00E5556B">
        <w:rPr>
          <w:rFonts w:ascii="Arial" w:hAnsi="Arial" w:cs="Arial"/>
          <w:bCs/>
          <w:sz w:val="22"/>
          <w:szCs w:val="22"/>
          <w:lang w:val="en-AU"/>
        </w:rPr>
        <w:t xml:space="preserve"> K</w:t>
      </w:r>
      <w:r w:rsidR="00E5556B" w:rsidRPr="00E5556B">
        <w:rPr>
          <w:rFonts w:ascii="Arial" w:hAnsi="Arial" w:cs="Arial"/>
          <w:bCs/>
          <w:sz w:val="22"/>
          <w:szCs w:val="22"/>
          <w:vertAlign w:val="subscript"/>
          <w:lang w:val="en-AU"/>
        </w:rPr>
        <w:t>j</w:t>
      </w:r>
      <w:r w:rsidR="00E5556B" w:rsidRPr="00E5556B">
        <w:rPr>
          <w:rFonts w:ascii="Arial" w:hAnsi="Arial" w:cs="Arial"/>
          <w:bCs/>
          <w:sz w:val="22"/>
          <w:szCs w:val="22"/>
          <w:lang w:val="en-AU"/>
        </w:rPr>
        <w:t xml:space="preserve"> is the quantity of development capacity in zone j, ie the total amount of dwellings that are allowed to be constructed under zoning rules, and other variables are as previously defined.</w:t>
      </w:r>
    </w:p>
    <w:p w14:paraId="1C826243" w14:textId="77777777" w:rsidR="00454559" w:rsidRPr="00E5556B" w:rsidRDefault="00454559" w:rsidP="00454559">
      <w:pPr>
        <w:outlineLvl w:val="0"/>
        <w:rPr>
          <w:rFonts w:ascii="Arial" w:hAnsi="Arial" w:cs="Arial"/>
          <w:bCs/>
          <w:sz w:val="22"/>
          <w:szCs w:val="22"/>
          <w:lang w:val="en-AU"/>
        </w:rPr>
      </w:pPr>
    </w:p>
    <w:p w14:paraId="51005485" w14:textId="77777777" w:rsidR="00454559" w:rsidRPr="00E5556B" w:rsidRDefault="00454559" w:rsidP="00454559">
      <w:pPr>
        <w:outlineLvl w:val="0"/>
        <w:rPr>
          <w:rFonts w:ascii="Arial" w:hAnsi="Arial" w:cs="Arial"/>
          <w:b/>
          <w:bCs/>
          <w:i/>
          <w:sz w:val="22"/>
          <w:szCs w:val="22"/>
          <w:lang w:val="en-AU"/>
        </w:rPr>
      </w:pPr>
      <w:bookmarkStart w:id="10" w:name="_Ref32440472"/>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10</w:t>
      </w:r>
      <w:r w:rsidRPr="00E5556B">
        <w:rPr>
          <w:rFonts w:ascii="Arial" w:hAnsi="Arial" w:cs="Arial"/>
          <w:bCs/>
          <w:sz w:val="22"/>
          <w:szCs w:val="22"/>
          <w:lang w:val="en-AU"/>
        </w:rPr>
        <w:fldChar w:fldCharType="end"/>
      </w:r>
      <w:bookmarkEnd w:id="10"/>
      <w:r w:rsidRPr="00E5556B">
        <w:rPr>
          <w:rFonts w:ascii="Arial" w:hAnsi="Arial" w:cs="Arial"/>
          <w:b/>
          <w:bCs/>
          <w:i/>
          <w:sz w:val="22"/>
          <w:szCs w:val="22"/>
          <w:lang w:val="en-AU"/>
        </w:rPr>
        <w:t>: Land pricing function</w:t>
      </w:r>
    </w:p>
    <w:p w14:paraId="14B7444A" w14:textId="77777777" w:rsidR="00454559" w:rsidRPr="00E5556B" w:rsidRDefault="0058651C" w:rsidP="00454559">
      <w:pPr>
        <w:outlineLvl w:val="0"/>
        <w:rPr>
          <w:rFonts w:ascii="Arial" w:hAnsi="Arial" w:cs="Arial"/>
          <w:bCs/>
          <w:sz w:val="22"/>
          <w:szCs w:val="22"/>
          <w:lang w:val="en-AU"/>
        </w:rPr>
      </w:pPr>
      <w:r>
        <w:rPr>
          <w:rFonts w:ascii="Arial" w:hAnsi="Arial" w:cs="Arial"/>
          <w:bCs/>
          <w:sz w:val="22"/>
          <w:szCs w:val="22"/>
        </w:rPr>
        <w:pict w14:anchorId="60F11A14">
          <v:shape id="_x0000_i1067" type="#_x0000_t75" style="width:104.1pt;height:32.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0DCF&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600DCF&quot; wsp:rsidRDefault=&quot;00600DCF&quot; wsp:rsidP=&quot;00600DCF&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L&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f&gt;&lt;m:fPr&gt;&lt;m:ctrlPr&gt;&lt;w:rPr&gt;&lt;w:rFonts w:ascii=&quot;Cambria Math&quot; w:fareast=&quot;MS PGothic&quot; w:h-ansi=&quot;Cambria Math&quot;/&gt;&lt;wx:font wx:val=&quot;Cambria Math&quot;/&gt;&lt;w:i/&gt;&lt;w:sz w:val=&quot;20&quot;/&gt;&lt;w:lang w:val=&quot;EN-AU&quot; w:fareast=&quot;JA&quot;/&gt;&lt;/w:rPr&gt;&lt;/m:ctrlPr&gt;&lt;/m:fPr&gt;&lt;m:num&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H&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num&gt;&lt;m:den&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K&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den&gt;&lt;/m:f&gt;&lt;/m:e&gt;&lt;m:sup&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r&gt;&lt;w:rPr&gt;&lt;w:rFonts w:ascii=&quot;Cambria Math&quot; w:fareast=&quot;MS PGothic&quot; w:h-ansi=&quot;Cambria Math&quot;/&gt;&lt;wx:font wx:val=&quot;Cambria Math&quot;/&gt;&lt;w:i/&gt;&lt;w:sz w:val=&quot;20&quot;/&gt;&lt;w:lang w:val=&quot;EN-AU&quot; w:fareast=&quot;JA&quot;/&gt;&lt;/w:rPr&gt;&lt;m:t&gt;œà&lt;/m:t&gt;&lt;/m:r&gt;&lt;/m:e&gt;&lt;/m:acc&gt;&lt;/m:sup&gt;&lt;/m:sSup&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lt;/m:t&gt;&lt;/m:r&gt;&lt;m:nary&gt;&lt;m:naryPr&gt;&lt;m:chr m:val=&quot;‚àë&quot;/&gt;&lt;m:limLoc m:val=&quot;subSup&quot;/&gt;&lt;m:supHide m:val=&quot;1&quot;/&gt;&lt;m:ctrlPr&gt;&lt;w:rPr&gt;&lt;w:rFonts w:ascii=&quot;Cambria Math&quot; w:fareast=&quot;MS PGothic&quot; w:h-ansi=&quot;Cambria Math&quot;/&gt;&lt;wx:font wx:val=&quot;Cambria Math&quot;/&gt;&lt;w:i/&gt;&lt;w:sz w:val=&quot;20&quot;/&gt;&lt;w:lang w:val=&quot;EN-AU&quot; w:fareast=&quot;JA&quot;/&gt;&lt;/w:rPr&gt;&lt;/m:ctrlPr&gt;&lt;/m:naryPr&gt;&lt;m:sub&gt;&lt;m:r&gt;&lt;w:rPr&gt;&lt;w:rFonts w:ascii=&quot;Cambria Math&quot; w:fareast=&quot;MS PGothic&quot; w:h-ansi=&quot;Cambria Math&quot;/&gt;&lt;wx:font wx:val=&quot;Cambria Math&quot;/&gt;&lt;w:i/&gt;&lt;w:sz w:val=&quot;20&quot;/&gt;&lt;w:lang w:val=&quot;EN-AU&quot; w:fareast=&quot;JA&quot;/&gt;&lt;/w:rPr&gt;&lt;m:t&gt;k‚â†j&lt;/m:t&gt;&lt;/m:r&gt;&lt;/m:sub&gt;&lt;m:sup/&gt;&lt;m:e&gt;&lt;m:f&gt;&lt;m:fPr&gt;&lt;m:ctrlPr&gt;&lt;w:rPr&gt;&lt;w:rFonts w:ascii=&quot;Cambria Math&quot; w:fareast=&quot;MS PGothic&quot; w:h-ansi=&quot;Cambria Math&quot;/&gt;&lt;wx:font wx:val=&quot;Cambria Math&quot;/&gt;&lt;w:i/&gt;&lt;w:sz w:val=&quot;20&quot;/&gt;&lt;w:lang w:val=&quot;EN-AU&quot; w:fareast=&quot;JA&quot;/&gt;&lt;/w:rPr&gt;&lt;/m:ctrlPr&gt;&lt;/m:fPr&gt;&lt;m:num&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K&lt;/m:t&gt;&lt;/m:r&gt;&lt;/m:e&gt;&lt;m:sub&gt;&lt;m:r&gt;&lt;w:rPr&gt;&lt;w:rFonts w:ascii=&quot;Cambria Math&quot; w:fareast=&quot;MS PGothic&quot; w:h-ansi=&quot;Cambria Math&quot;/&gt;&lt;wx:font wx:val=&quot;Cambria Math&quot;/&gt;&lt;w:i/&gt;&lt;w:sz w:val=&quot;20&quot;/&gt;&lt;w:lang w:val=&quot;EN-AU&quot; w:fareast=&quot;JA&quot;/&gt;&lt;/w:rPr&gt;&lt;m:t&gt;k&lt;/m:t&gt;&lt;/m:r&gt;&lt;/m:sub&gt;&lt;/m:sSub&gt;&lt;/m:num&gt;&lt;m:den&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GC&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e&gt;&lt;m:sup&gt;&lt;m:r&gt;&lt;w:rPr&gt;&lt;w:rFonts w:ascii=&quot;Cambria Math&quot; w:fareast=&quot;MS PGothic&quot; w:h-ansi=&quot;Cambria Math&quot;/&gt;&lt;wx:font wx:val=&quot;Cambria Math&quot;/&gt;&lt;w:i/&gt;&lt;w:sz w:val=&quot;20&quot;/&gt;&lt;w:lang w:val=&quot;EN-AU&quot; w:fareast=&quot;JA&quot;/&gt;&lt;/w:rPr&gt;&lt;m:t&gt;Œ∏&lt;/m:t&gt;&lt;/m:r&gt;&lt;/m:sup&gt;&lt;/m:sSup&gt;&lt;/m:den&gt;&lt;/m:f&gt;&lt;/m:e&gt;&lt;/m:nary&gt;&lt;m:r&gt;&lt;w:rPr&gt;&lt;w:rFonts w:ascii=&quot;Cambria Math&quot; w:fareast=&quot;MS PGothic&quot; w:h-ansi=&quot;Cambria Math&quot;/&gt;&lt;wx:font wx:val=&quot;Cambria Math&quot;/&gt;&lt;w:i/&gt;&lt;w:sz w:val=&quot;20&quot;/&gt;&lt;w:lang w:val=&quot;EN-AU&quot; w:fareast=&quot;JA&quot;/&gt;&lt;/w:rPr&gt;&lt;m:t&gt;)&lt;/m:t&gt;&lt;/m:r&gt;&lt;/m:e&gt;&lt;m:sup&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r&gt;&lt;w:rPr&gt;&lt;w:rFonts w:ascii=&quot;Cambria Math&quot; w:fareast=&quot;MS PGothic&quot; w:h-ansi=&quot;Cambria Math&quot;/&gt;&lt;wx:font wx:val=&quot;Cambria Math&quot;/&gt;&lt;w:i/&gt;&lt;w:sz w:val=&quot;20&quot;/&gt;&lt;w:lang w:val=&quot;EN-AU&quot; w:fareast=&quot;JA&quot;/&gt;&lt;/w:rPr&gt;&lt;m:t&gt;Œ¥&lt;/m:t&gt;&lt;/m:r&gt;&lt;/m:e&gt;&lt;/m:acc&gt;&lt;/m:sup&gt;&lt;/m:sSup&gt;&lt;/m:oMath&gt;&lt;/m:oMathPara&gt;&lt;/w:p&gt;&lt;w:sectPr wsp:rsidR=&quot;00000000&quot; wsp:rsidRPr=&quot;00600DCF&quot;&gt;&lt;w:pgSz w:w=&quot;12240&quot; w:h=&quot;15840&quot;/&gt;&lt;w:pgMar w:top=&quot;1440&quot; w:right=&quot;1440&quot; w:bottom=&quot;1440&quot; w:left=&quot;1440&quot; w:header=&quot;720&quot; w:footer=&quot;720&quot; w:gutter=&quot;0&quot;/&gt;&lt;w:cols w:space=&quot;720&quot;/&gt;&lt;/w:sectPr&gt;&lt;/wx:sect&gt;&lt;/w:body&gt;&lt;/w:wordDocument&gt;">
            <v:imagedata r:id="rId36" o:title="" chromakey="white"/>
          </v:shape>
        </w:pict>
      </w:r>
    </w:p>
    <w:p w14:paraId="15FE8997" w14:textId="77777777" w:rsidR="00454559" w:rsidRDefault="00454559" w:rsidP="00E5556B">
      <w:pPr>
        <w:outlineLvl w:val="0"/>
        <w:rPr>
          <w:rFonts w:ascii="Arial" w:hAnsi="Arial" w:cs="Arial"/>
          <w:bCs/>
          <w:sz w:val="22"/>
          <w:szCs w:val="22"/>
          <w:lang w:val="en-AU"/>
        </w:rPr>
      </w:pPr>
    </w:p>
    <w:p w14:paraId="231C26BB" w14:textId="36580EB5"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The first term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4B419D50">
          <v:shape id="_x0000_i1068" type="#_x0000_t75" style="width:14.95pt;height:24.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1FC5&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D31FC5&quot; wsp:rsidP=&quot;00D31FC5&quot;&gt;&lt;m:oMathPara&gt;&lt;m:oMath&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f&gt;&lt;m:fPr&gt;&lt;m:ctrlPr&gt;&lt;w:rPr&gt;&lt;w:rFonts w:ascii=&quot;Cambria Math&quot; w:fareast=&quot;MS PGothic&quot; w:h-ansi=&quot;Cambria Math&quot;/&gt;&lt;wx:font wx:val=&quot;Cambria Math&quot;/&gt;&lt;w:i/&gt;&lt;w:sz w:val=&quot;20&quot;/&gt;&lt;w:lang w:val=&quot;EN-AU&quot; w:fareast=&quot;JA&quot;/&gt;&lt;/w:rPr&gt;&lt;/m:ctrlPr&gt;&lt;/m:fPr&gt;&lt;m:num&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H&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num&gt;&lt;m:den&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K&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den&gt;&lt;/m:f&gt;&lt;/m:e&gt;&lt;m:sup&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r&gt;&lt;w:rPr&gt;&lt;w:rFonts w:ascii=&quot;Cambria Math&quot; w:fareast=&quot;MS PGothic&quot; w:h-ansi=&quot;Cambria Math&quot;/&gt;&lt;wx:font wx:val=&quot;Cambria Math&quot;/&gt;&lt;w:i/&gt;&lt;w:sz w:val=&quot;20&quot;/&gt;&lt;w:lang w:val=&quot;EN-AU&quot; w:fareast=&quot;JA&quot;/&gt;&lt;/w:rPr&gt;&lt;m:t&gt;œà&lt;/m:t&gt;&lt;/m:r&gt;&lt;/m:e&gt;&lt;/m:ac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7"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68BDD61B">
          <v:shape id="_x0000_i1069" type="#_x0000_t75" style="width:14.95pt;height:24.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1FC5&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D31FC5&quot; wsp:rsidP=&quot;00D31FC5&quot;&gt;&lt;m:oMathPara&gt;&lt;m:oMath&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f&gt;&lt;m:fPr&gt;&lt;m:ctrlPr&gt;&lt;w:rPr&gt;&lt;w:rFonts w:ascii=&quot;Cambria Math&quot; w:fareast=&quot;MS PGothic&quot; w:h-ansi=&quot;Cambria Math&quot;/&gt;&lt;wx:font wx:val=&quot;Cambria Math&quot;/&gt;&lt;w:i/&gt;&lt;w:sz w:val=&quot;20&quot;/&gt;&lt;w:lang w:val=&quot;EN-AU&quot; w:fareast=&quot;JA&quot;/&gt;&lt;/w:rPr&gt;&lt;/m:ctrlPr&gt;&lt;/m:fPr&gt;&lt;m:num&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H&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num&gt;&lt;m:den&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K&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den&gt;&lt;/m:f&gt;&lt;/m:e&gt;&lt;m:sup&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r&gt;&lt;w:rPr&gt;&lt;w:rFonts w:ascii=&quot;Cambria Math&quot; w:fareast=&quot;MS PGothic&quot; w:h-ansi=&quot;Cambria Math&quot;/&gt;&lt;wx:font wx:val=&quot;Cambria Math&quot;/&gt;&lt;w:i/&gt;&lt;w:sz w:val=&quot;20&quot;/&gt;&lt;w:lang w:val=&quot;EN-AU&quot; w:fareast=&quot;JA&quot;/&gt;&lt;/w:rPr&gt;&lt;m:t&gt;œà&lt;/m:t&gt;&lt;/m:r&gt;&lt;/m:e&gt;&lt;/m:ac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7"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is a ‘congestion factor’ that results in increased land prices in areas with higher local densities. This reflects the fact that, as densities rise, landowners can command higher prices due to the</w:t>
      </w:r>
      <w:r w:rsidR="00454559">
        <w:rPr>
          <w:rFonts w:ascii="Arial" w:hAnsi="Arial" w:cs="Arial"/>
          <w:bCs/>
          <w:sz w:val="22"/>
          <w:szCs w:val="22"/>
          <w:lang w:val="en-AU"/>
        </w:rPr>
        <w:t xml:space="preserve"> scarcity of development sites.</w:t>
      </w:r>
    </w:p>
    <w:p w14:paraId="0A06AB74" w14:textId="77777777" w:rsidR="00E5556B" w:rsidRPr="00E5556B" w:rsidRDefault="00E5556B" w:rsidP="00E5556B">
      <w:pPr>
        <w:outlineLvl w:val="0"/>
        <w:rPr>
          <w:rFonts w:ascii="Arial" w:hAnsi="Arial" w:cs="Arial"/>
          <w:bCs/>
          <w:sz w:val="22"/>
          <w:szCs w:val="22"/>
          <w:lang w:val="en-AU"/>
        </w:rPr>
      </w:pPr>
    </w:p>
    <w:p w14:paraId="3CEC3A9C" w14:textId="463E1C05"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The second term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7A9C88DB">
          <v:shape id="_x0000_i1070" type="#_x0000_t75" style="width:54.85pt;height:19.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0DDB&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070DDB&quot; wsp:rsidP=&quot;00070DDB&quot;&gt;&lt;m:oMathPara&gt;&lt;m:oMath&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lt;/m:t&gt;&lt;/m:r&gt;&lt;m:nary&gt;&lt;m:naryPr&gt;&lt;m:chr m:val=&quot;‚àë&quot;/&gt;&lt;m:limLoc m:val=&quot;subSup&quot;/&gt;&lt;m:supHide m:val=&quot;1&quot;/&gt;&lt;m:ctrlPr&gt;&lt;w:rPr&gt;&lt;w:rFonts w:ascii=&quot;Cambria Math&quot; w:fareast=&quot;MS PGothic&quot; w:h-ansi=&quot;Cambria Math&quot;/&gt;&lt;wx:font wx:val=&quot;Cambria Math&quot;/&gt;&lt;w:i/&gt;&lt;w:sz w:val=&quot;20&quot;/&gt;&lt;w:lang w:val=&quot;EN-AU&quot; w:fareast=&quot;JA&quot;/&gt;&lt;/w:rPr&gt;&lt;/m:ctrlPr&gt;&lt;/m:naryPr&gt;&lt;m:sub&gt;&lt;m:r&gt;&lt;w:rPr&gt;&lt;w:rFonts w:ascii=&quot;Cambria Math&quot; w:fareast=&quot;MS PGothic&quot; w:h-ansi=&quot;Cambria Math&quot;/&gt;&lt;wx:font wx:val=&quot;Cambria Math&quot;/&gt;&lt;w:i/&gt;&lt;w:sz w:val=&quot;20&quot;/&gt;&lt;w:lang w:val=&quot;EN-AU&quot; w:fareast=&quot;JA&quot;/&gt;&lt;/w:rPr&gt;&lt;m:t&gt;k‚â†j&lt;/m:t&gt;&lt;/m:r&gt;&lt;/m:sub&gt;&lt;m:sup/&gt;&lt;m:e&gt;&lt;m:f&gt;&lt;m:fPr&gt;&lt;m:ctrlPr&gt;&lt;w:rPr&gt;&lt;w:rFonts w:ascii=&quot;Cambria Math&quot; w:fareast=&quot;MS PGothic&quot; w:h-ansi=&quot;Cambria Math&quot;/&gt;&lt;wx:font wx:val=&quot;Cambria Math&quot;/&gt;&lt;w:i/&gt;&lt;w:sz w:val=&quot;20&quot;/&gt;&lt;w:lang w:val=&quot;EN-AU&quot; w:fareast=&quot;JA&quot;/&gt;&lt;/w:rPr&gt;&lt;/m:ctrlPr&gt;&lt;/m:fPr&gt;&lt;m:num&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K&lt;/m:t&gt;&lt;/m:r&gt;&lt;/m:e&gt;&lt;m:sub&gt;&lt;m:r&gt;&lt;w:rPr&gt;&lt;w:rFonts w:ascii=&quot;Cambria Math&quot; w:fareast=&quot;MS PGothic&quot; w:h-ansi=&quot;Cambria Math&quot;/&gt;&lt;wx:font wx:val=&quot;Cambria Math&quot;/&gt;&lt;w:i/&gt;&lt;w:sz w:val=&quot;20&quot;/&gt;&lt;w:lang w:val=&quot;EN-AU&quot; w:fareast=&quot;JA&quot;/&gt;&lt;/w:rPr&gt;&lt;m:t&gt;k&lt;/m:t&gt;&lt;/m:r&gt;&lt;/m:sub&gt;&lt;/m:sSub&gt;&lt;/m:num&gt;&lt;m:den&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GC&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e&gt;&lt;m:sup&gt;&lt;m:r&gt;&lt;w:rPr&gt;&lt;w:rFonts w:ascii=&quot;Cambria Math&quot; w:fareast=&quot;MS PGothic&quot; w:h-ansi=&quot;Cambria Math&quot;/&gt;&lt;wx:font wx:val=&quot;Cambria Math&quot;/&gt;&lt;w:i/&gt;&lt;w:sz w:val=&quot;20&quot;/&gt;&lt;w:lang w:val=&quot;EN-AU&quot; w:fareast=&quot;JA&quot;/&gt;&lt;/w:rPr&gt;&lt;m:t&gt;Œ∏&lt;/m:t&gt;&lt;/m:r&gt;&lt;/m:sup&gt;&lt;/m:sSup&gt;&lt;/m:den&gt;&lt;/m:f&gt;&lt;/m:e&gt;&lt;/m:nary&gt;&lt;m:r&gt;&lt;w:rPr&gt;&lt;w:rFonts w:ascii=&quot;Cambria Math&quot; w:fareast=&quot;MS PGothic&quot; w:h-ansi=&quot;Cambria Math&quot;/&gt;&lt;wx:font wx:val=&quot;Cambria Math&quot;/&gt;&lt;w:i/&gt;&lt;w:sz w:val=&quot;20&quot;/&gt;&lt;w:lang w:val=&quot;EN-AU&quot; w:fareast=&quot;JA&quot;/&gt;&lt;/w:rPr&gt;&lt;m:t&gt;)&lt;/m:t&gt;&lt;/m:r&gt;&lt;/m:e&gt;&lt;m:sup&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r&gt;&lt;w:rPr&gt;&lt;w:rFonts w:ascii=&quot;Cambria Math&quot; w:fareast=&quot;MS PGothic&quot; w:h-ansi=&quot;Cambria Math&quot;/&gt;&lt;wx:font wx:val=&quot;Cambria Math&quot;/&gt;&lt;w:i/&gt;&lt;w:sz w:val=&quot;20&quot;/&gt;&lt;w:lang w:val=&quot;EN-AU&quot; w:fareast=&quot;JA&quot;/&gt;&lt;/w:rPr&gt;&lt;m:t&gt;Œ¥&lt;/m:t&gt;&lt;/m:r&gt;&lt;/m:e&gt;&lt;/m:ac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8"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05FAA7CD">
          <v:shape id="_x0000_i1071" type="#_x0000_t75" style="width:54.85pt;height:19.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0DDB&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070DDB&quot; wsp:rsidP=&quot;00070DDB&quot;&gt;&lt;m:oMathPara&gt;&lt;m:oMath&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lt;/m:t&gt;&lt;/m:r&gt;&lt;m:nary&gt;&lt;m:naryPr&gt;&lt;m:chr m:val=&quot;‚àë&quot;/&gt;&lt;m:limLoc m:val=&quot;subSup&quot;/&gt;&lt;m:supHide m:val=&quot;1&quot;/&gt;&lt;m:ctrlPr&gt;&lt;w:rPr&gt;&lt;w:rFonts w:ascii=&quot;Cambria Math&quot; w:fareast=&quot;MS PGothic&quot; w:h-ansi=&quot;Cambria Math&quot;/&gt;&lt;wx:font wx:val=&quot;Cambria Math&quot;/&gt;&lt;w:i/&gt;&lt;w:sz w:val=&quot;20&quot;/&gt;&lt;w:lang w:val=&quot;EN-AU&quot; w:fareast=&quot;JA&quot;/&gt;&lt;/w:rPr&gt;&lt;/m:ctrlPr&gt;&lt;/m:naryPr&gt;&lt;m:sub&gt;&lt;m:r&gt;&lt;w:rPr&gt;&lt;w:rFonts w:ascii=&quot;Cambria Math&quot; w:fareast=&quot;MS PGothic&quot; w:h-ansi=&quot;Cambria Math&quot;/&gt;&lt;wx:font wx:val=&quot;Cambria Math&quot;/&gt;&lt;w:i/&gt;&lt;w:sz w:val=&quot;20&quot;/&gt;&lt;w:lang w:val=&quot;EN-AU&quot; w:fareast=&quot;JA&quot;/&gt;&lt;/w:rPr&gt;&lt;m:t&gt;k‚â†j&lt;/m:t&gt;&lt;/m:r&gt;&lt;/m:sub&gt;&lt;m:sup/&gt;&lt;m:e&gt;&lt;m:f&gt;&lt;m:fPr&gt;&lt;m:ctrlPr&gt;&lt;w:rPr&gt;&lt;w:rFonts w:ascii=&quot;Cambria Math&quot; w:fareast=&quot;MS PGothic&quot; w:h-ansi=&quot;Cambria Math&quot;/&gt;&lt;wx:font wx:val=&quot;Cambria Math&quot;/&gt;&lt;w:i/&gt;&lt;w:sz w:val=&quot;20&quot;/&gt;&lt;w:lang w:val=&quot;EN-AU&quot; w:fareast=&quot;JA&quot;/&gt;&lt;/w:rPr&gt;&lt;/m:ctrlPr&gt;&lt;/m:fPr&gt;&lt;m:num&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K&lt;/m:t&gt;&lt;/m:r&gt;&lt;/m:e&gt;&lt;m:sub&gt;&lt;m:r&gt;&lt;w:rPr&gt;&lt;w:rFonts w:ascii=&quot;Cambria Math&quot; w:fareast=&quot;MS PGothic&quot; w:h-ansi=&quot;Cambria Math&quot;/&gt;&lt;wx:font wx:val=&quot;Cambria Math&quot;/&gt;&lt;w:i/&gt;&lt;w:sz w:val=&quot;20&quot;/&gt;&lt;w:lang w:val=&quot;EN-AU&quot; w:fareast=&quot;JA&quot;/&gt;&lt;/w:rPr&gt;&lt;m:t&gt;k&lt;/m:t&gt;&lt;/m:r&gt;&lt;/m:sub&gt;&lt;/m:sSub&gt;&lt;/m:num&gt;&lt;m:den&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GC&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e&gt;&lt;m:sup&gt;&lt;m:r&gt;&lt;w:rPr&gt;&lt;w:rFonts w:ascii=&quot;Cambria Math&quot; w:fareast=&quot;MS PGothic&quot; w:h-ansi=&quot;Cambria Math&quot;/&gt;&lt;wx:font wx:val=&quot;Cambria Math&quot;/&gt;&lt;w:i/&gt;&lt;w:sz w:val=&quot;20&quot;/&gt;&lt;w:lang w:val=&quot;EN-AU&quot; w:fareast=&quot;JA&quot;/&gt;&lt;/w:rPr&gt;&lt;m:t&gt;Œ∏&lt;/m:t&gt;&lt;/m:r&gt;&lt;/m:sup&gt;&lt;/m:sSup&gt;&lt;/m:den&gt;&lt;/m:f&gt;&lt;/m:e&gt;&lt;/m:nary&gt;&lt;m:r&gt;&lt;w:rPr&gt;&lt;w:rFonts w:ascii=&quot;Cambria Math&quot; w:fareast=&quot;MS PGothic&quot; w:h-ansi=&quot;Cambria Math&quot;/&gt;&lt;wx:font wx:val=&quot;Cambria Math&quot;/&gt;&lt;w:i/&gt;&lt;w:sz w:val=&quot;20&quot;/&gt;&lt;w:lang w:val=&quot;EN-AU&quot; w:fareast=&quot;JA&quot;/&gt;&lt;/w:rPr&gt;&lt;m:t&gt;)&lt;/m:t&gt;&lt;/m:r&gt;&lt;/m:e&gt;&lt;m:sup&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r&gt;&lt;w:rPr&gt;&lt;w:rFonts w:ascii=&quot;Cambria Math&quot; w:fareast=&quot;MS PGothic&quot; w:h-ansi=&quot;Cambria Math&quot;/&gt;&lt;wx:font wx:val=&quot;Cambria Math&quot;/&gt;&lt;w:i/&gt;&lt;w:sz w:val=&quot;20&quot;/&gt;&lt;w:lang w:val=&quot;EN-AU&quot; w:fareast=&quot;JA&quot;/&gt;&lt;/w:rPr&gt;&lt;m:t&gt;Œ¥&lt;/m:t&gt;&lt;/m:r&gt;&lt;/m:e&gt;&lt;/m:acc&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8"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is a ‘competition factor’ that results in lower land prices when there is a greater supply of development opportunities in nearby areas that are accessible via transport networks. This is defined as the sum of development capacity in other model zones, weighted according to the inverse of travel costs between zones.</w:t>
      </w:r>
      <w:r w:rsidRPr="00E5556B">
        <w:rPr>
          <w:rFonts w:ascii="Arial" w:hAnsi="Arial" w:cs="Arial"/>
          <w:bCs/>
          <w:sz w:val="22"/>
          <w:szCs w:val="22"/>
          <w:vertAlign w:val="superscript"/>
          <w:lang w:val="en-AU"/>
        </w:rPr>
        <w:footnoteReference w:id="15"/>
      </w:r>
    </w:p>
    <w:p w14:paraId="4D9158B9" w14:textId="77777777" w:rsidR="00E5556B" w:rsidRPr="00E5556B" w:rsidRDefault="00E5556B" w:rsidP="00E5556B">
      <w:pPr>
        <w:outlineLvl w:val="0"/>
        <w:rPr>
          <w:rFonts w:ascii="Arial" w:hAnsi="Arial" w:cs="Arial"/>
          <w:bCs/>
          <w:sz w:val="22"/>
          <w:szCs w:val="22"/>
          <w:lang w:val="en-AU"/>
        </w:rPr>
      </w:pPr>
    </w:p>
    <w:p w14:paraId="5C059A2E" w14:textId="6B01869B"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lastRenderedPageBreak/>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760D682B">
          <v:shape id="_x0000_i1072" type="#_x0000_t75" style="width:7.2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E2A88&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7E2A88&quot; wsp:rsidP=&quot;007E2A88&quot;&gt;&lt;m:oMathPara&gt;&lt;m:oMath&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r&gt;&lt;w:rPr&gt;&lt;w:rFonts w:ascii=&quot;Cambria Math&quot; w:fareast=&quot;MS PGothic&quot; w:h-ansi=&quot;Cambria Math&quot;/&gt;&lt;wx:font wx:val=&quot;Cambria Math&quot;/&gt;&lt;w:i/&gt;&lt;w:sz w:val=&quot;20&quot;/&gt;&lt;w:lang w:val=&quot;EN-AU&quot; w:fareast=&quot;JA&quot;/&gt;&lt;/w:rPr&gt;&lt;m:t&gt;œà&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9"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43110409">
          <v:shape id="_x0000_i1073" type="#_x0000_t75" style="width:7.2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E2A88&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7E2A88&quot; wsp:rsidP=&quot;007E2A88&quot;&gt;&lt;m:oMathPara&gt;&lt;m:oMath&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r&gt;&lt;w:rPr&gt;&lt;w:rFonts w:ascii=&quot;Cambria Math&quot; w:fareast=&quot;MS PGothic&quot; w:h-ansi=&quot;Cambria Math&quot;/&gt;&lt;wx:font wx:val=&quot;Cambria Math&quot;/&gt;&lt;w:i/&gt;&lt;w:sz w:val=&quot;20&quot;/&gt;&lt;w:lang w:val=&quot;EN-AU&quot; w:fareast=&quot;JA&quot;/&gt;&lt;/w:rPr&gt;&lt;m:t&gt;œà&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9"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and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4D2428AD">
          <v:shape id="_x0000_i1074" type="#_x0000_t75" style="width:6.1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430E&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4F430E&quot; wsp:rsidP=&quot;004F430E&quot;&gt;&lt;m:oMathPara&gt;&lt;m:oMath&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r&gt;&lt;w:rPr&gt;&lt;w:rFonts w:ascii=&quot;Cambria Math&quot; w:fareast=&quot;MS PGothic&quot; w:h-ansi=&quot;Cambria Math&quot;/&gt;&lt;wx:font wx:val=&quot;Cambria Math&quot;/&gt;&lt;w:i/&gt;&lt;w:sz w:val=&quot;20&quot;/&gt;&lt;w:lang w:val=&quot;EN-AU&quot; w:fareast=&quot;JA&quot;/&gt;&lt;/w:rPr&gt;&lt;m:t&gt;Œ¥&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0"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41381688">
          <v:shape id="_x0000_i1075" type="#_x0000_t75" style="width:6.1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430E&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4F430E&quot; wsp:rsidP=&quot;004F430E&quot;&gt;&lt;m:oMathPara&gt;&lt;m:oMath&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r&gt;&lt;w:rPr&gt;&lt;w:rFonts w:ascii=&quot;Cambria Math&quot; w:fareast=&quot;MS PGothic&quot; w:h-ansi=&quot;Cambria Math&quot;/&gt;&lt;wx:font wx:val=&quot;Cambria Math&quot;/&gt;&lt;w:i/&gt;&lt;w:sz w:val=&quot;20&quot;/&gt;&lt;w:lang w:val=&quot;EN-AU&quot; w:fareast=&quot;JA&quot;/&gt;&lt;/w:rPr&gt;&lt;m:t&gt;Œ¥&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0"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are elasticities that measure the impact of local density and access to nearby development opportunities on land prices, and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QUOTE </w:instrText>
      </w:r>
      <w:r w:rsidR="0058651C">
        <w:rPr>
          <w:rFonts w:ascii="Arial" w:hAnsi="Arial" w:cs="Arial"/>
          <w:bCs/>
          <w:sz w:val="22"/>
          <w:szCs w:val="22"/>
        </w:rPr>
        <w:pict w14:anchorId="341FCD41">
          <v:shape id="_x0000_i1076"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879CD&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A879CD&quot; wsp:rsidP=&quot;00A879CD&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1" o:title="" chromakey="white"/>
          </v:shape>
        </w:pict>
      </w:r>
      <w:r w:rsidRPr="00E5556B">
        <w:rPr>
          <w:rFonts w:ascii="Arial" w:hAnsi="Arial" w:cs="Arial"/>
          <w:bCs/>
          <w:sz w:val="22"/>
          <w:szCs w:val="22"/>
          <w:lang w:val="en-AU"/>
        </w:rPr>
        <w:instrText xml:space="preserve"> </w:instrText>
      </w:r>
      <w:r w:rsidRPr="00E5556B">
        <w:rPr>
          <w:rFonts w:ascii="Arial" w:hAnsi="Arial" w:cs="Arial"/>
          <w:bCs/>
          <w:sz w:val="22"/>
          <w:szCs w:val="22"/>
          <w:lang w:val="en-AU"/>
        </w:rPr>
        <w:fldChar w:fldCharType="separate"/>
      </w:r>
      <w:r w:rsidR="0058651C">
        <w:rPr>
          <w:rFonts w:ascii="Arial" w:hAnsi="Arial" w:cs="Arial"/>
          <w:bCs/>
          <w:sz w:val="22"/>
          <w:szCs w:val="22"/>
        </w:rPr>
        <w:pict w14:anchorId="6B070502">
          <v:shape id="_x0000_i1077"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879CD&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A879CD&quot; wsp:rsidP=&quot;00A879CD&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1" o:title="" chromakey="white"/>
          </v:shape>
        </w:pic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is a distance decay parameter that defines how much weight is placed on near vs far model zones.</w:t>
      </w:r>
    </w:p>
    <w:p w14:paraId="3E369808" w14:textId="77777777" w:rsidR="00E5556B" w:rsidRPr="00E5556B" w:rsidRDefault="00E5556B" w:rsidP="00E5556B">
      <w:pPr>
        <w:outlineLvl w:val="0"/>
        <w:rPr>
          <w:rFonts w:ascii="Arial" w:hAnsi="Arial" w:cs="Arial"/>
          <w:bCs/>
          <w:sz w:val="22"/>
          <w:szCs w:val="22"/>
          <w:lang w:val="en-AU"/>
        </w:rPr>
      </w:pPr>
    </w:p>
    <w:p w14:paraId="4F734A37" w14:textId="5AC89D2A"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REF _Ref32440472 \h </w:instrText>
      </w:r>
      <w:r w:rsidRPr="00E5556B">
        <w:rPr>
          <w:rFonts w:ascii="Arial" w:hAnsi="Arial" w:cs="Arial"/>
          <w:bCs/>
          <w:sz w:val="22"/>
          <w:szCs w:val="22"/>
          <w:lang w:val="en-AU"/>
        </w:rPr>
      </w:r>
      <w:r w:rsidRPr="00E5556B">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10</w: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w:t>
      </w:r>
      <w:r w:rsidR="00454559">
        <w:rPr>
          <w:rFonts w:ascii="Arial" w:hAnsi="Arial" w:cs="Arial"/>
          <w:bCs/>
          <w:sz w:val="22"/>
          <w:szCs w:val="22"/>
          <w:lang w:val="en-AU"/>
        </w:rPr>
        <w:t xml:space="preserve">is substituted </w:t>
      </w:r>
      <w:r w:rsidRPr="00E5556B">
        <w:rPr>
          <w:rFonts w:ascii="Arial" w:hAnsi="Arial" w:cs="Arial"/>
          <w:bCs/>
          <w:sz w:val="22"/>
          <w:szCs w:val="22"/>
          <w:lang w:val="en-AU"/>
        </w:rPr>
        <w:t xml:space="preserve">into </w:t>
      </w:r>
      <w:r w:rsidRPr="00E5556B">
        <w:rPr>
          <w:rFonts w:ascii="Arial" w:hAnsi="Arial" w:cs="Arial"/>
          <w:bCs/>
          <w:sz w:val="22"/>
          <w:szCs w:val="22"/>
          <w:lang w:val="en-AU"/>
        </w:rPr>
        <w:fldChar w:fldCharType="begin"/>
      </w:r>
      <w:r w:rsidRPr="00E5556B">
        <w:rPr>
          <w:rFonts w:ascii="Arial" w:hAnsi="Arial" w:cs="Arial"/>
          <w:bCs/>
          <w:sz w:val="22"/>
          <w:szCs w:val="22"/>
          <w:lang w:val="en-AU"/>
        </w:rPr>
        <w:instrText xml:space="preserve"> REF _Ref32440479 \h </w:instrText>
      </w:r>
      <w:r w:rsidRPr="00E5556B">
        <w:rPr>
          <w:rFonts w:ascii="Arial" w:hAnsi="Arial" w:cs="Arial"/>
          <w:bCs/>
          <w:sz w:val="22"/>
          <w:szCs w:val="22"/>
          <w:lang w:val="en-AU"/>
        </w:rPr>
      </w:r>
      <w:r w:rsidRPr="00E5556B">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9</w:t>
      </w:r>
      <w:r w:rsidRPr="00E5556B">
        <w:rPr>
          <w:rFonts w:ascii="Arial" w:hAnsi="Arial" w:cs="Arial"/>
          <w:bCs/>
          <w:sz w:val="22"/>
          <w:szCs w:val="22"/>
          <w:lang w:val="en-AU"/>
        </w:rPr>
        <w:fldChar w:fldCharType="end"/>
      </w:r>
      <w:r w:rsidRPr="00E5556B">
        <w:rPr>
          <w:rFonts w:ascii="Arial" w:hAnsi="Arial" w:cs="Arial"/>
          <w:bCs/>
          <w:sz w:val="22"/>
          <w:szCs w:val="22"/>
          <w:lang w:val="en-AU"/>
        </w:rPr>
        <w:t xml:space="preserve"> to derive the local housing supply function</w:t>
      </w:r>
      <w:r w:rsidR="00454559">
        <w:rPr>
          <w:rFonts w:ascii="Arial" w:hAnsi="Arial" w:cs="Arial"/>
          <w:bCs/>
          <w:sz w:val="22"/>
          <w:szCs w:val="22"/>
          <w:lang w:val="en-AU"/>
        </w:rPr>
        <w:t xml:space="preserve">, shown in </w:t>
      </w:r>
      <w:r w:rsidR="00454559">
        <w:rPr>
          <w:rFonts w:ascii="Arial" w:hAnsi="Arial" w:cs="Arial"/>
          <w:bCs/>
          <w:sz w:val="22"/>
          <w:szCs w:val="22"/>
          <w:lang w:val="en-AU"/>
        </w:rPr>
        <w:fldChar w:fldCharType="begin"/>
      </w:r>
      <w:r w:rsidR="00454559">
        <w:rPr>
          <w:rFonts w:ascii="Arial" w:hAnsi="Arial" w:cs="Arial"/>
          <w:bCs/>
          <w:sz w:val="22"/>
          <w:szCs w:val="22"/>
          <w:lang w:val="en-AU"/>
        </w:rPr>
        <w:instrText xml:space="preserve"> REF _Ref32525070 \h </w:instrText>
      </w:r>
      <w:r w:rsidR="00454559">
        <w:rPr>
          <w:rFonts w:ascii="Arial" w:hAnsi="Arial" w:cs="Arial"/>
          <w:bCs/>
          <w:sz w:val="22"/>
          <w:szCs w:val="22"/>
          <w:lang w:val="en-AU"/>
        </w:rPr>
      </w:r>
      <w:r w:rsidR="00454559">
        <w:rPr>
          <w:rFonts w:ascii="Arial" w:hAnsi="Arial" w:cs="Arial"/>
          <w:bCs/>
          <w:sz w:val="22"/>
          <w:szCs w:val="22"/>
          <w:lang w:val="en-AU"/>
        </w:rPr>
        <w:fldChar w:fldCharType="separate"/>
      </w:r>
      <w:r w:rsidR="00454559" w:rsidRPr="00E5556B">
        <w:rPr>
          <w:rFonts w:ascii="Arial" w:hAnsi="Arial" w:cs="Arial"/>
          <w:b/>
          <w:bCs/>
          <w:i/>
          <w:sz w:val="22"/>
          <w:szCs w:val="22"/>
          <w:lang w:val="en-AU"/>
        </w:rPr>
        <w:t xml:space="preserve">Equation </w:t>
      </w:r>
      <w:r w:rsidR="00454559">
        <w:rPr>
          <w:rFonts w:ascii="Arial" w:hAnsi="Arial" w:cs="Arial"/>
          <w:b/>
          <w:bCs/>
          <w:i/>
          <w:noProof/>
          <w:sz w:val="22"/>
          <w:szCs w:val="22"/>
          <w:lang w:val="en-AU"/>
        </w:rPr>
        <w:t>11</w:t>
      </w:r>
      <w:r w:rsidR="00454559">
        <w:rPr>
          <w:rFonts w:ascii="Arial" w:hAnsi="Arial" w:cs="Arial"/>
          <w:bCs/>
          <w:sz w:val="22"/>
          <w:szCs w:val="22"/>
          <w:lang w:val="en-AU"/>
        </w:rPr>
        <w:fldChar w:fldCharType="end"/>
      </w:r>
      <w:r w:rsidRPr="00E5556B">
        <w:rPr>
          <w:rFonts w:ascii="Arial" w:hAnsi="Arial" w:cs="Arial"/>
          <w:bCs/>
          <w:sz w:val="22"/>
          <w:szCs w:val="22"/>
          <w:lang w:val="en-AU"/>
        </w:rPr>
        <w:t xml:space="preserve">. </w:t>
      </w:r>
      <w:r w:rsidR="00454559">
        <w:rPr>
          <w:rFonts w:ascii="Arial" w:hAnsi="Arial" w:cs="Arial"/>
          <w:bCs/>
          <w:sz w:val="22"/>
          <w:szCs w:val="22"/>
          <w:lang w:val="en-AU"/>
        </w:rPr>
        <w:t>T</w:t>
      </w:r>
      <w:r w:rsidRPr="00E5556B">
        <w:rPr>
          <w:rFonts w:ascii="Arial" w:hAnsi="Arial" w:cs="Arial"/>
          <w:bCs/>
          <w:sz w:val="22"/>
          <w:szCs w:val="22"/>
          <w:lang w:val="en-AU"/>
        </w:rPr>
        <w:t>his function is m</w:t>
      </w:r>
      <w:r w:rsidR="00454559">
        <w:rPr>
          <w:rFonts w:ascii="Arial" w:hAnsi="Arial" w:cs="Arial"/>
          <w:bCs/>
          <w:sz w:val="22"/>
          <w:szCs w:val="22"/>
          <w:lang w:val="en-AU"/>
        </w:rPr>
        <w:t xml:space="preserve">ore complex than Severn (2019) but </w:t>
      </w:r>
      <w:r w:rsidRPr="00E5556B">
        <w:rPr>
          <w:rFonts w:ascii="Arial" w:hAnsi="Arial" w:cs="Arial"/>
          <w:bCs/>
          <w:sz w:val="22"/>
          <w:szCs w:val="22"/>
          <w:lang w:val="en-AU"/>
        </w:rPr>
        <w:t>has several key advantages:</w:t>
      </w:r>
    </w:p>
    <w:p w14:paraId="14F2FB9F" w14:textId="77777777" w:rsidR="00E5556B" w:rsidRPr="00E5556B" w:rsidRDefault="00E5556B" w:rsidP="00E5556B">
      <w:pPr>
        <w:outlineLvl w:val="0"/>
        <w:rPr>
          <w:rFonts w:ascii="Arial" w:hAnsi="Arial" w:cs="Arial"/>
          <w:bCs/>
          <w:sz w:val="22"/>
          <w:szCs w:val="22"/>
          <w:lang w:val="en-AU"/>
        </w:rPr>
      </w:pPr>
    </w:p>
    <w:p w14:paraId="48ABBBDB" w14:textId="77777777" w:rsidR="00E5556B" w:rsidRPr="00E5556B" w:rsidRDefault="00E5556B" w:rsidP="00E5556B">
      <w:pPr>
        <w:numPr>
          <w:ilvl w:val="0"/>
          <w:numId w:val="16"/>
        </w:numPr>
        <w:outlineLvl w:val="0"/>
        <w:rPr>
          <w:rFonts w:ascii="Arial" w:hAnsi="Arial" w:cs="Arial"/>
          <w:bCs/>
          <w:sz w:val="22"/>
          <w:szCs w:val="22"/>
          <w:lang w:val="en-AU"/>
        </w:rPr>
      </w:pPr>
      <w:r w:rsidRPr="00E5556B">
        <w:rPr>
          <w:rFonts w:ascii="Arial" w:hAnsi="Arial" w:cs="Arial"/>
          <w:bCs/>
          <w:sz w:val="22"/>
          <w:szCs w:val="22"/>
          <w:lang w:val="en-AU"/>
        </w:rPr>
        <w:t xml:space="preserve">First, it allows transport improvements to affect local housing supply dynamics by changing the degree of competitive pressure that local landowners operate under. Reductions in </w:t>
      </w:r>
      <w:r w:rsidRPr="00E5556B">
        <w:rPr>
          <w:rFonts w:ascii="Arial" w:hAnsi="Arial" w:cs="Arial"/>
          <w:bCs/>
          <w:i/>
          <w:sz w:val="22"/>
          <w:szCs w:val="22"/>
          <w:lang w:val="en-AU"/>
        </w:rPr>
        <w:t>GC</w:t>
      </w:r>
      <w:r w:rsidRPr="00E5556B">
        <w:rPr>
          <w:rFonts w:ascii="Arial" w:hAnsi="Arial" w:cs="Arial"/>
          <w:bCs/>
          <w:i/>
          <w:sz w:val="22"/>
          <w:szCs w:val="22"/>
          <w:vertAlign w:val="subscript"/>
          <w:lang w:val="en-AU"/>
        </w:rPr>
        <w:t>jk</w:t>
      </w:r>
      <w:r w:rsidRPr="00E5556B">
        <w:rPr>
          <w:rFonts w:ascii="Arial" w:hAnsi="Arial" w:cs="Arial"/>
          <w:bCs/>
          <w:sz w:val="22"/>
          <w:szCs w:val="22"/>
          <w:lang w:val="en-AU"/>
        </w:rPr>
        <w:t xml:space="preserve"> increase access to development opportunities in nearby zones, thereby placing downward pressure on local prices.</w:t>
      </w:r>
    </w:p>
    <w:p w14:paraId="7F52AA21" w14:textId="77777777" w:rsidR="00E5556B" w:rsidRPr="00E5556B" w:rsidRDefault="00E5556B" w:rsidP="00E5556B">
      <w:pPr>
        <w:numPr>
          <w:ilvl w:val="0"/>
          <w:numId w:val="16"/>
        </w:numPr>
        <w:outlineLvl w:val="0"/>
        <w:rPr>
          <w:rFonts w:ascii="Arial" w:hAnsi="Arial" w:cs="Arial"/>
          <w:bCs/>
          <w:sz w:val="22"/>
          <w:szCs w:val="22"/>
          <w:lang w:val="en-AU"/>
        </w:rPr>
      </w:pPr>
      <w:r w:rsidRPr="00E5556B">
        <w:rPr>
          <w:rFonts w:ascii="Arial" w:hAnsi="Arial" w:cs="Arial"/>
          <w:bCs/>
          <w:sz w:val="22"/>
          <w:szCs w:val="22"/>
          <w:lang w:val="en-AU"/>
        </w:rPr>
        <w:t>Second, it allows zoning policies to affect local housing supply dynamics. Increases in K</w:t>
      </w:r>
      <w:r w:rsidRPr="00E5556B">
        <w:rPr>
          <w:rFonts w:ascii="Arial" w:hAnsi="Arial" w:cs="Arial"/>
          <w:bCs/>
          <w:sz w:val="22"/>
          <w:szCs w:val="22"/>
          <w:vertAlign w:val="subscript"/>
          <w:lang w:val="en-AU"/>
        </w:rPr>
        <w:t>j</w:t>
      </w:r>
      <w:r w:rsidRPr="00E5556B">
        <w:rPr>
          <w:rFonts w:ascii="Arial" w:hAnsi="Arial" w:cs="Arial"/>
          <w:bCs/>
          <w:sz w:val="22"/>
          <w:szCs w:val="22"/>
          <w:lang w:val="en-AU"/>
        </w:rPr>
        <w:t xml:space="preserve"> also place downward pressure on local prices.</w:t>
      </w:r>
    </w:p>
    <w:p w14:paraId="2155B192" w14:textId="77777777"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 xml:space="preserve"> </w:t>
      </w:r>
    </w:p>
    <w:p w14:paraId="6F89F1FF" w14:textId="77777777" w:rsidR="00E5556B" w:rsidRPr="00E5556B" w:rsidRDefault="00E5556B" w:rsidP="00E5556B">
      <w:pPr>
        <w:outlineLvl w:val="0"/>
        <w:rPr>
          <w:rFonts w:ascii="Arial" w:hAnsi="Arial" w:cs="Arial"/>
          <w:b/>
          <w:bCs/>
          <w:i/>
          <w:sz w:val="22"/>
          <w:szCs w:val="22"/>
          <w:lang w:val="en-AU"/>
        </w:rPr>
      </w:pPr>
      <w:bookmarkStart w:id="11" w:name="_Ref32525070"/>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11</w:t>
      </w:r>
      <w:r w:rsidRPr="00E5556B">
        <w:rPr>
          <w:rFonts w:ascii="Arial" w:hAnsi="Arial" w:cs="Arial"/>
          <w:bCs/>
          <w:sz w:val="22"/>
          <w:szCs w:val="22"/>
          <w:lang w:val="en-AU"/>
        </w:rPr>
        <w:fldChar w:fldCharType="end"/>
      </w:r>
      <w:bookmarkEnd w:id="11"/>
      <w:r w:rsidRPr="00E5556B">
        <w:rPr>
          <w:rFonts w:ascii="Arial" w:hAnsi="Arial" w:cs="Arial"/>
          <w:b/>
          <w:bCs/>
          <w:i/>
          <w:sz w:val="22"/>
          <w:szCs w:val="22"/>
          <w:lang w:val="en-AU"/>
        </w:rPr>
        <w:t>: Local housing supply function</w:t>
      </w:r>
    </w:p>
    <w:p w14:paraId="1A15BA2D" w14:textId="7EEC2AE3"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4CF57090">
          <v:shape id="_x0000_i1078" type="#_x0000_t75" style="width:114.1pt;height:29.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169B8&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A169B8&quot; wsp:rsidRDefault=&quot;00A169B8&quot; wsp:rsidP=&quot;00A169B8&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P&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C&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f&gt;&lt;m:fPr&gt;&lt;m:ctrlPr&gt;&lt;w:rPr&gt;&lt;w:rFonts w:ascii=&quot;Cambria Math&quot; w:fareast=&quot;MS PGothic&quot; w:h-ansi=&quot;Cambria Math&quot;/&gt;&lt;wx:font wx:val=&quot;Cambria Math&quot;/&gt;&lt;w:i/&gt;&lt;w:sz w:val=&quot;20&quot;/&gt;&lt;w:lang w:val=&quot;EN-AU&quot; w:fareast=&quot;JA&quot;/&gt;&lt;/w:rPr&gt;&lt;/m:ctrlPr&gt;&lt;/m:fPr&gt;&lt;m:num&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H&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num&gt;&lt;m:den&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K&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den&gt;&lt;/m:f&gt;&lt;/m:e&gt;&lt;m:sup&gt;&lt;m:r&gt;&lt;w:rPr&gt;&lt;w:rFonts w:ascii=&quot;Cambria Math&quot; w:fareast=&quot;MS PGothic&quot; w:h-ansi=&quot;Cambria Math&quot;/&gt;&lt;wx:font wx:val=&quot;Cambria Math&quot;/&gt;&lt;w:i/&gt;&lt;w:sz w:val=&quot;20&quot;/&gt;&lt;w:lang w:val=&quot;EN-AU&quot; w:fareast=&quot;JA&quot;/&gt;&lt;/w:rPr&gt;&lt;m:t&gt;œà&lt;/m:t&gt;&lt;/m:r&gt;&lt;/m:sup&gt;&lt;/m:sSup&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lt;/m:t&gt;&lt;/m:r&gt;&lt;m:nary&gt;&lt;m:naryPr&gt;&lt;m:chr m:val=&quot;‚àë&quot;/&gt;&lt;m:limLoc m:val=&quot;subSup&quot;/&gt;&lt;m:supHide m:val=&quot;1&quot;/&gt;&lt;m:ctrlPr&gt;&lt;w:rPr&gt;&lt;w:rFonts w:ascii=&quot;Cambria Math&quot; w:fareast=&quot;MS PGothic&quot; w:h-ansi=&quot;Cambria Math&quot;/&gt;&lt;wx:font wx:val=&quot;Cambria Math&quot;/&gt;&lt;w:i/&gt;&lt;w:sz w:val=&quot;20&quot;/&gt;&lt;w:lang w:val=&quot;EN-AU&quot; w:fareast=&quot;JA&quot;/&gt;&lt;/w:rPr&gt;&lt;/m:ctrlPr&gt;&lt;/m:naryPr&gt;&lt;m:sub&gt;&lt;m:r&gt;&lt;w:rPr&gt;&lt;w:rFonts w:ascii=&quot;Cambria Math&quot; w:fareast=&quot;MS PGothic&quot; w:h-ansi=&quot;Cambria Math&quot;/&gt;&lt;wx:font wx:val=&quot;Cambria Math&quot;/&gt;&lt;w:i/&gt;&lt;w:sz w:val=&quot;20&quot;/&gt;&lt;w:lang w:val=&quot;EN-AU&quot; w:fareast=&quot;JA&quot;/&gt;&lt;/w:rPr&gt;&lt;m:t&gt;k‚â†j&lt;/m:t&gt;&lt;/m:r&gt;&lt;/m:sub&gt;&lt;m:sup/&gt;&lt;m:e&gt;&lt;m:f&gt;&lt;m:fPr&gt;&lt;m:ctrlPr&gt;&lt;w:rPr&gt;&lt;w:rFonts w:ascii=&quot;Cambria Math&quot; w:fareast=&quot;MS PGothic&quot; w:h-ansi=&quot;Cambria Math&quot;/&gt;&lt;wx:font wx:val=&quot;Cambria Math&quot;/&gt;&lt;w:i/&gt;&lt;w:sz w:val=&quot;20&quot;/&gt;&lt;w:lang w:val=&quot;EN-AU&quot; w:fareast=&quot;JA&quot;/&gt;&lt;/w:rPr&gt;&lt;/m:ctrlPr&gt;&lt;/m:fPr&gt;&lt;m:num&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K&lt;/m:t&gt;&lt;/m:r&gt;&lt;/m:e&gt;&lt;m:sub&gt;&lt;m:r&gt;&lt;w:rPr&gt;&lt;w:rFonts w:ascii=&quot;Cambria Math&quot; w:fareast=&quot;MS PGothic&quot; w:h-ansi=&quot;Cambria Math&quot;/&gt;&lt;wx:font wx:val=&quot;Cambria Math&quot;/&gt;&lt;w:i/&gt;&lt;w:sz w:val=&quot;20&quot;/&gt;&lt;w:lang w:val=&quot;EN-AU&quot; w:fareast=&quot;JA&quot;/&gt;&lt;/w:rPr&gt;&lt;m:t&gt;k&lt;/m:t&gt;&lt;/m:r&gt;&lt;/m:sub&gt;&lt;/m:sSub&gt;&lt;/m:num&gt;&lt;m:den&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GC&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e&gt;&lt;m:sup&gt;&lt;m:r&gt;&lt;w:rPr&gt;&lt;w:rFonts w:ascii=&quot;Cambria Math&quot; w:fareast=&quot;MS PGothic&quot; w:h-ansi=&quot;Cambria Math&quot;/&gt;&lt;wx:font wx:val=&quot;Cambria Math&quot;/&gt;&lt;w:i/&gt;&lt;w:sz w:val=&quot;20&quot;/&gt;&lt;w:lang w:val=&quot;EN-AU&quot; w:fareast=&quot;JA&quot;/&gt;&lt;/w:rPr&gt;&lt;m:t&gt;Œ∏&lt;/m:t&gt;&lt;/m:r&gt;&lt;/m:sup&gt;&lt;/m:sSup&gt;&lt;/m:den&gt;&lt;/m:f&gt;&lt;/m:e&gt;&lt;/m:nary&gt;&lt;m:r&gt;&lt;w:rPr&gt;&lt;w:rFonts w:ascii=&quot;Cambria Math&quot; w:fareast=&quot;MS PGothic&quot; w:h-ansi=&quot;Cambria Math&quot;/&gt;&lt;wx:font wx:val=&quot;Cambria Math&quot;/&gt;&lt;w:i/&gt;&lt;w:sz w:val=&quot;20&quot;/&gt;&lt;w:lang w:val=&quot;EN-AU&quot; w:fareast=&quot;JA&quot;/&gt;&lt;/w:rPr&gt;&lt;m:t&gt;)&lt;/m:t&gt;&lt;/m:r&gt;&lt;/m:e&gt;&lt;m:sup&gt;&lt;m:r&gt;&lt;w:rPr&gt;&lt;w:rFonts w:ascii=&quot;Cambria Math&quot; w:fareast=&quot;MS PGothic&quot; w:h-ansi=&quot;Cambria Math&quot;/&gt;&lt;wx:font wx:val=&quot;Cambria Math&quot;/&gt;&lt;w:i/&gt;&lt;w:sz w:val=&quot;20&quot;/&gt;&lt;w:lang w:val=&quot;EN-AU&quot; w:fareast=&quot;JA&quot;/&gt;&lt;/w:rPr&gt;&lt;m:t&gt;Œ¥&lt;/m:t&gt;&lt;/m:r&gt;&lt;/m:sup&gt;&lt;/m:sSup&gt;&lt;/m:oMath&gt;&lt;/m:oMathPara&gt;&lt;/w:p&gt;&lt;w:sectPr wsp:rsidR=&quot;00000000&quot; wsp:rsidRPr=&quot;00A169B8&quot;&gt;&lt;w:pgSz w:w=&quot;12240&quot; w:h=&quot;15840&quot;/&gt;&lt;w:pgMar w:top=&quot;1440&quot; w:right=&quot;1440&quot; w:bottom=&quot;1440&quot; w:left=&quot;1440&quot; w:header=&quot;720&quot; w:footer=&quot;720&quot; w:gutter=&quot;0&quot;/&gt;&lt;w:cols w:space=&quot;720&quot;/&gt;&lt;/w:sectPr&gt;&lt;/wx:sect&gt;&lt;/w:body&gt;&lt;/w:wordDocument&gt;">
            <v:imagedata r:id="rId42" o:title="" chromakey="white"/>
          </v:shape>
        </w:pict>
      </w:r>
    </w:p>
    <w:p w14:paraId="4E94119C" w14:textId="77777777" w:rsidR="00E5556B" w:rsidRPr="00E5556B" w:rsidRDefault="00E5556B" w:rsidP="00E5556B">
      <w:pPr>
        <w:outlineLvl w:val="0"/>
        <w:rPr>
          <w:rFonts w:ascii="Arial" w:hAnsi="Arial" w:cs="Arial"/>
          <w:bCs/>
          <w:sz w:val="22"/>
          <w:szCs w:val="22"/>
          <w:lang w:val="en-AU"/>
        </w:rPr>
      </w:pPr>
    </w:p>
    <w:p w14:paraId="0AEBA8F3" w14:textId="77777777" w:rsidR="00383B28" w:rsidRDefault="00E5556B" w:rsidP="00E5556B">
      <w:pPr>
        <w:outlineLvl w:val="0"/>
        <w:rPr>
          <w:rFonts w:ascii="Arial" w:hAnsi="Arial" w:cs="Arial"/>
          <w:bCs/>
          <w:sz w:val="22"/>
          <w:szCs w:val="22"/>
          <w:lang w:val="en-AU"/>
        </w:rPr>
      </w:pPr>
      <w:r w:rsidRPr="00E5556B">
        <w:rPr>
          <w:rFonts w:ascii="Arial" w:hAnsi="Arial" w:cs="Arial"/>
          <w:bCs/>
          <w:sz w:val="22"/>
          <w:szCs w:val="22"/>
          <w:lang w:val="en-AU"/>
        </w:rPr>
        <w:t xml:space="preserve">Empirical research provides some support for this modelling approach. In an analysis of price and zoning data from Montgomery County, Maryland, Pollakowski and Wachter (1990) </w:t>
      </w:r>
    </w:p>
    <w:p w14:paraId="21746F88" w14:textId="0DBD2921"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 xml:space="preserve">show that more restrictive zoning raises land prices in adjacent parcels. Byun, Waldorf and Esparza (2005) show that development restrictions in California local governments increase home-building in adjacent areas. Turner, Haughwout, and van der Klaauw (2014) investigate various impacts of land use regulation differentials near municipal boundaries, finding evidence that </w:t>
      </w:r>
      <w:r w:rsidR="00454559">
        <w:rPr>
          <w:rFonts w:ascii="Arial" w:hAnsi="Arial" w:cs="Arial"/>
          <w:bCs/>
          <w:sz w:val="22"/>
          <w:szCs w:val="22"/>
          <w:lang w:val="en-AU"/>
        </w:rPr>
        <w:t>tighter land use regulations</w:t>
      </w:r>
      <w:r w:rsidRPr="00E5556B">
        <w:rPr>
          <w:rFonts w:ascii="Arial" w:hAnsi="Arial" w:cs="Arial"/>
          <w:bCs/>
          <w:sz w:val="22"/>
          <w:szCs w:val="22"/>
          <w:lang w:val="en-AU"/>
        </w:rPr>
        <w:t xml:space="preserve"> </w:t>
      </w:r>
      <w:r w:rsidR="00454559">
        <w:rPr>
          <w:rFonts w:ascii="Arial" w:hAnsi="Arial" w:cs="Arial"/>
          <w:bCs/>
          <w:sz w:val="22"/>
          <w:szCs w:val="22"/>
          <w:lang w:val="en-AU"/>
        </w:rPr>
        <w:t>raise land values and the</w:t>
      </w:r>
      <w:r w:rsidRPr="00E5556B">
        <w:rPr>
          <w:rFonts w:ascii="Arial" w:hAnsi="Arial" w:cs="Arial"/>
          <w:bCs/>
          <w:sz w:val="22"/>
          <w:szCs w:val="22"/>
          <w:lang w:val="en-AU"/>
        </w:rPr>
        <w:t xml:space="preserve"> share of land that is developed</w:t>
      </w:r>
      <w:r w:rsidR="00454559">
        <w:rPr>
          <w:rFonts w:ascii="Arial" w:hAnsi="Arial" w:cs="Arial"/>
          <w:bCs/>
          <w:sz w:val="22"/>
          <w:szCs w:val="22"/>
          <w:lang w:val="en-AU"/>
        </w:rPr>
        <w:t xml:space="preserve"> in neighbouring areas, relative to more restrictively regulated areas</w:t>
      </w:r>
      <w:r w:rsidRPr="00E5556B">
        <w:rPr>
          <w:rFonts w:ascii="Arial" w:hAnsi="Arial" w:cs="Arial"/>
          <w:bCs/>
          <w:sz w:val="22"/>
          <w:szCs w:val="22"/>
          <w:lang w:val="en-AU"/>
        </w:rPr>
        <w:t>.</w:t>
      </w:r>
    </w:p>
    <w:p w14:paraId="0AE7706D" w14:textId="77777777" w:rsidR="00E5556B" w:rsidRPr="00E5556B" w:rsidRDefault="00E5556B" w:rsidP="00E5556B">
      <w:pPr>
        <w:outlineLvl w:val="0"/>
        <w:rPr>
          <w:rFonts w:ascii="Arial" w:hAnsi="Arial" w:cs="Arial"/>
          <w:bCs/>
          <w:sz w:val="22"/>
          <w:szCs w:val="22"/>
          <w:lang w:val="en-AU"/>
        </w:rPr>
      </w:pPr>
    </w:p>
    <w:p w14:paraId="44301EDB" w14:textId="74C5183B" w:rsidR="00E5556B" w:rsidRPr="00454559" w:rsidRDefault="00E5556B" w:rsidP="00E5556B">
      <w:pPr>
        <w:numPr>
          <w:ilvl w:val="1"/>
          <w:numId w:val="6"/>
        </w:numPr>
        <w:tabs>
          <w:tab w:val="num" w:pos="851"/>
        </w:tabs>
        <w:outlineLvl w:val="0"/>
        <w:rPr>
          <w:rFonts w:ascii="Arial" w:hAnsi="Arial" w:cs="Arial"/>
          <w:b/>
          <w:bCs/>
          <w:i/>
          <w:iCs/>
          <w:sz w:val="22"/>
          <w:szCs w:val="22"/>
          <w:lang w:val="en-AU"/>
        </w:rPr>
      </w:pPr>
      <w:r w:rsidRPr="00454559">
        <w:rPr>
          <w:rFonts w:ascii="Arial" w:hAnsi="Arial" w:cs="Arial"/>
          <w:b/>
          <w:bCs/>
          <w:i/>
          <w:iCs/>
          <w:sz w:val="22"/>
          <w:szCs w:val="22"/>
          <w:lang w:val="en-AU"/>
        </w:rPr>
        <w:t>Summary and model closure</w:t>
      </w:r>
    </w:p>
    <w:p w14:paraId="0BF60C62" w14:textId="31F9712B" w:rsidR="00E5556B" w:rsidRPr="00E5556B" w:rsidRDefault="00454559" w:rsidP="001E131F">
      <w:pPr>
        <w:outlineLvl w:val="0"/>
        <w:rPr>
          <w:rFonts w:ascii="Arial" w:hAnsi="Arial" w:cs="Arial"/>
          <w:bCs/>
          <w:sz w:val="22"/>
          <w:szCs w:val="22"/>
          <w:lang w:val="en-AU"/>
        </w:rPr>
      </w:pPr>
      <w:r>
        <w:rPr>
          <w:rFonts w:ascii="Arial" w:hAnsi="Arial" w:cs="Arial"/>
          <w:bCs/>
          <w:sz w:val="22"/>
          <w:szCs w:val="22"/>
          <w:lang w:val="en-AU"/>
        </w:rPr>
        <w:fldChar w:fldCharType="begin"/>
      </w:r>
      <w:r>
        <w:rPr>
          <w:rFonts w:ascii="Arial" w:hAnsi="Arial" w:cs="Arial"/>
          <w:bCs/>
          <w:sz w:val="22"/>
          <w:szCs w:val="22"/>
          <w:lang w:val="en-AU"/>
        </w:rPr>
        <w:instrText xml:space="preserve"> REF _Ref32436087 \h </w:instrText>
      </w:r>
      <w:r>
        <w:rPr>
          <w:rFonts w:ascii="Arial" w:hAnsi="Arial" w:cs="Arial"/>
          <w:bCs/>
          <w:sz w:val="22"/>
          <w:szCs w:val="22"/>
          <w:lang w:val="en-AU"/>
        </w:rPr>
      </w:r>
      <w:r>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5</w:t>
      </w:r>
      <w:r>
        <w:rPr>
          <w:rFonts w:ascii="Arial" w:hAnsi="Arial" w:cs="Arial"/>
          <w:bCs/>
          <w:sz w:val="22"/>
          <w:szCs w:val="22"/>
          <w:lang w:val="en-AU"/>
        </w:rPr>
        <w:fldChar w:fldCharType="end"/>
      </w:r>
      <w:r>
        <w:rPr>
          <w:rFonts w:ascii="Arial" w:hAnsi="Arial" w:cs="Arial"/>
          <w:bCs/>
          <w:sz w:val="22"/>
          <w:szCs w:val="22"/>
          <w:lang w:val="en-AU"/>
        </w:rPr>
        <w:t xml:space="preserve"> and </w:t>
      </w:r>
      <w:r>
        <w:rPr>
          <w:rFonts w:ascii="Arial" w:hAnsi="Arial" w:cs="Arial"/>
          <w:bCs/>
          <w:sz w:val="22"/>
          <w:szCs w:val="22"/>
          <w:lang w:val="en-AU"/>
        </w:rPr>
        <w:fldChar w:fldCharType="begin"/>
      </w:r>
      <w:r>
        <w:rPr>
          <w:rFonts w:ascii="Arial" w:hAnsi="Arial" w:cs="Arial"/>
          <w:bCs/>
          <w:sz w:val="22"/>
          <w:szCs w:val="22"/>
          <w:lang w:val="en-AU"/>
        </w:rPr>
        <w:instrText xml:space="preserve"> REF _Ref32525070 \h </w:instrText>
      </w:r>
      <w:r>
        <w:rPr>
          <w:rFonts w:ascii="Arial" w:hAnsi="Arial" w:cs="Arial"/>
          <w:bCs/>
          <w:sz w:val="22"/>
          <w:szCs w:val="22"/>
          <w:lang w:val="en-AU"/>
        </w:rPr>
      </w:r>
      <w:r>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11</w:t>
      </w:r>
      <w:r>
        <w:rPr>
          <w:rFonts w:ascii="Arial" w:hAnsi="Arial" w:cs="Arial"/>
          <w:bCs/>
          <w:sz w:val="22"/>
          <w:szCs w:val="22"/>
          <w:lang w:val="en-AU"/>
        </w:rPr>
        <w:fldChar w:fldCharType="end"/>
      </w:r>
      <w:r>
        <w:rPr>
          <w:rFonts w:ascii="Arial" w:hAnsi="Arial" w:cs="Arial"/>
          <w:bCs/>
          <w:sz w:val="22"/>
          <w:szCs w:val="22"/>
          <w:lang w:val="en-AU"/>
        </w:rPr>
        <w:t xml:space="preserve"> constitute a </w:t>
      </w:r>
      <w:r w:rsidR="00E5556B" w:rsidRPr="00E5556B">
        <w:rPr>
          <w:rFonts w:ascii="Arial" w:hAnsi="Arial" w:cs="Arial"/>
          <w:bCs/>
          <w:sz w:val="22"/>
          <w:szCs w:val="22"/>
          <w:lang w:val="en-AU"/>
        </w:rPr>
        <w:t xml:space="preserve">system of equations </w:t>
      </w:r>
      <w:r>
        <w:rPr>
          <w:rFonts w:ascii="Arial" w:hAnsi="Arial" w:cs="Arial"/>
          <w:bCs/>
          <w:sz w:val="22"/>
          <w:szCs w:val="22"/>
          <w:lang w:val="en-AU"/>
        </w:rPr>
        <w:t>that defines</w:t>
      </w:r>
      <w:r w:rsidR="00E5556B" w:rsidRPr="00E5556B">
        <w:rPr>
          <w:rFonts w:ascii="Arial" w:hAnsi="Arial" w:cs="Arial"/>
          <w:bCs/>
          <w:sz w:val="22"/>
          <w:szCs w:val="22"/>
          <w:lang w:val="en-AU"/>
        </w:rPr>
        <w:t xml:space="preserve"> housing demand and housing supply as a function of transport costs (GC</w:t>
      </w:r>
      <w:r w:rsidR="00E5556B" w:rsidRPr="00E5556B">
        <w:rPr>
          <w:rFonts w:ascii="Arial" w:hAnsi="Arial" w:cs="Arial"/>
          <w:bCs/>
          <w:sz w:val="22"/>
          <w:szCs w:val="22"/>
          <w:vertAlign w:val="subscript"/>
          <w:lang w:val="en-AU"/>
        </w:rPr>
        <w:t>jk</w:t>
      </w:r>
      <w:r w:rsidR="00E5556B" w:rsidRPr="00E5556B">
        <w:rPr>
          <w:rFonts w:ascii="Arial" w:hAnsi="Arial" w:cs="Arial"/>
          <w:bCs/>
          <w:sz w:val="22"/>
          <w:szCs w:val="22"/>
          <w:lang w:val="en-AU"/>
        </w:rPr>
        <w:t>), fixed effects for the attractiveness of home and work locations (e</w:t>
      </w:r>
      <w:r w:rsidR="00E5556B" w:rsidRPr="00E5556B">
        <w:rPr>
          <w:rFonts w:ascii="Arial" w:hAnsi="Arial" w:cs="Arial"/>
          <w:bCs/>
          <w:sz w:val="22"/>
          <w:szCs w:val="22"/>
          <w:vertAlign w:val="subscript"/>
          <w:lang w:val="en-AU"/>
        </w:rPr>
        <w:t>j</w:t>
      </w:r>
      <w:r w:rsidR="00E5556B" w:rsidRPr="00E5556B">
        <w:rPr>
          <w:rFonts w:ascii="Arial" w:hAnsi="Arial" w:cs="Arial"/>
          <w:bCs/>
          <w:sz w:val="22"/>
          <w:szCs w:val="22"/>
          <w:lang w:val="en-AU"/>
        </w:rPr>
        <w:t xml:space="preserve"> and W</w:t>
      </w:r>
      <w:r w:rsidR="00E5556B" w:rsidRPr="00E5556B">
        <w:rPr>
          <w:rFonts w:ascii="Arial" w:hAnsi="Arial" w:cs="Arial"/>
          <w:bCs/>
          <w:sz w:val="22"/>
          <w:szCs w:val="22"/>
          <w:vertAlign w:val="subscript"/>
          <w:lang w:val="en-AU"/>
        </w:rPr>
        <w:t>k</w:t>
      </w:r>
      <w:r w:rsidR="00E5556B" w:rsidRPr="00E5556B">
        <w:rPr>
          <w:rFonts w:ascii="Arial" w:hAnsi="Arial" w:cs="Arial"/>
          <w:bCs/>
          <w:sz w:val="22"/>
          <w:szCs w:val="22"/>
          <w:lang w:val="en-AU"/>
        </w:rPr>
        <w:t>), development capacity in each model zone (</w:t>
      </w:r>
      <w:r w:rsidR="00E5556B" w:rsidRPr="00E5556B">
        <w:rPr>
          <w:rFonts w:ascii="Arial" w:hAnsi="Arial" w:cs="Arial"/>
          <w:bCs/>
          <w:sz w:val="22"/>
          <w:szCs w:val="22"/>
          <w:lang w:val="en-AU"/>
        </w:rPr>
        <w:fldChar w:fldCharType="begin"/>
      </w:r>
      <w:r w:rsidR="00E5556B" w:rsidRPr="00E5556B">
        <w:rPr>
          <w:rFonts w:ascii="Arial" w:hAnsi="Arial" w:cs="Arial"/>
          <w:bCs/>
          <w:sz w:val="22"/>
          <w:szCs w:val="22"/>
          <w:lang w:val="en-AU"/>
        </w:rPr>
        <w:instrText xml:space="preserve"> QUOTE </w:instrText>
      </w:r>
      <w:r w:rsidR="0058651C">
        <w:rPr>
          <w:rFonts w:ascii="Arial" w:hAnsi="Arial" w:cs="Arial"/>
          <w:bCs/>
          <w:sz w:val="22"/>
          <w:szCs w:val="22"/>
        </w:rPr>
        <w:pict w14:anchorId="1DA464F4">
          <v:shape id="_x0000_i1079" type="#_x0000_t75" style="width:8.8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2636B&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82636B&quot; wsp:rsidP=&quot;0082636B&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K&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3" o:title="" chromakey="white"/>
          </v:shape>
        </w:pict>
      </w:r>
      <w:r w:rsidR="00E5556B" w:rsidRPr="00E5556B">
        <w:rPr>
          <w:rFonts w:ascii="Arial" w:hAnsi="Arial" w:cs="Arial"/>
          <w:bCs/>
          <w:sz w:val="22"/>
          <w:szCs w:val="22"/>
          <w:lang w:val="en-AU"/>
        </w:rPr>
        <w:instrText xml:space="preserve"> </w:instrText>
      </w:r>
      <w:r w:rsidR="00E5556B" w:rsidRPr="00E5556B">
        <w:rPr>
          <w:rFonts w:ascii="Arial" w:hAnsi="Arial" w:cs="Arial"/>
          <w:bCs/>
          <w:sz w:val="22"/>
          <w:szCs w:val="22"/>
          <w:lang w:val="en-AU"/>
        </w:rPr>
        <w:fldChar w:fldCharType="separate"/>
      </w:r>
      <w:r w:rsidR="0058651C">
        <w:rPr>
          <w:rFonts w:ascii="Arial" w:hAnsi="Arial" w:cs="Arial"/>
          <w:bCs/>
          <w:sz w:val="22"/>
          <w:szCs w:val="22"/>
        </w:rPr>
        <w:pict w14:anchorId="55ACFCD1">
          <v:shape id="_x0000_i1080" type="#_x0000_t75" style="width:8.8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2636B&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82636B&quot; wsp:rsidP=&quot;0082636B&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K&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3" o:title="" chromakey="white"/>
          </v:shape>
        </w:pict>
      </w:r>
      <w:r w:rsidR="00E5556B" w:rsidRPr="00E5556B">
        <w:rPr>
          <w:rFonts w:ascii="Arial" w:hAnsi="Arial" w:cs="Arial"/>
          <w:bCs/>
          <w:sz w:val="22"/>
          <w:szCs w:val="22"/>
          <w:lang w:val="en-AU"/>
        </w:rPr>
        <w:fldChar w:fldCharType="end"/>
      </w:r>
      <w:r w:rsidR="00E5556B" w:rsidRPr="00E5556B">
        <w:rPr>
          <w:rFonts w:ascii="Arial" w:hAnsi="Arial" w:cs="Arial"/>
          <w:bCs/>
          <w:sz w:val="22"/>
          <w:szCs w:val="22"/>
          <w:lang w:val="en-AU"/>
        </w:rPr>
        <w:t xml:space="preserve">), and model parameters </w:t>
      </w:r>
      <w:r w:rsidR="00E5556B" w:rsidRPr="00E5556B">
        <w:rPr>
          <w:rFonts w:ascii="Arial" w:hAnsi="Arial" w:cs="Arial"/>
          <w:bCs/>
          <w:sz w:val="22"/>
          <w:szCs w:val="22"/>
          <w:lang w:val="en-AU"/>
        </w:rPr>
        <w:fldChar w:fldCharType="begin"/>
      </w:r>
      <w:r w:rsidR="00E5556B" w:rsidRPr="00E5556B">
        <w:rPr>
          <w:rFonts w:ascii="Arial" w:hAnsi="Arial" w:cs="Arial"/>
          <w:bCs/>
          <w:sz w:val="22"/>
          <w:szCs w:val="22"/>
          <w:lang w:val="en-AU"/>
        </w:rPr>
        <w:instrText xml:space="preserve"> QUOTE </w:instrText>
      </w:r>
      <w:r w:rsidR="0058651C">
        <w:rPr>
          <w:rFonts w:ascii="Arial" w:hAnsi="Arial" w:cs="Arial"/>
          <w:bCs/>
          <w:sz w:val="22"/>
          <w:szCs w:val="22"/>
        </w:rPr>
        <w:pict w14:anchorId="70217099">
          <v:shape id="_x0000_i1081"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C324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CC3246&quot; wsp:rsidP=&quot;00CC3246&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4" o:title="" chromakey="white"/>
          </v:shape>
        </w:pict>
      </w:r>
      <w:r w:rsidR="00E5556B" w:rsidRPr="00E5556B">
        <w:rPr>
          <w:rFonts w:ascii="Arial" w:hAnsi="Arial" w:cs="Arial"/>
          <w:bCs/>
          <w:sz w:val="22"/>
          <w:szCs w:val="22"/>
          <w:lang w:val="en-AU"/>
        </w:rPr>
        <w:instrText xml:space="preserve"> </w:instrText>
      </w:r>
      <w:r w:rsidR="00E5556B" w:rsidRPr="00E5556B">
        <w:rPr>
          <w:rFonts w:ascii="Arial" w:hAnsi="Arial" w:cs="Arial"/>
          <w:bCs/>
          <w:sz w:val="22"/>
          <w:szCs w:val="22"/>
          <w:lang w:val="en-AU"/>
        </w:rPr>
        <w:fldChar w:fldCharType="separate"/>
      </w:r>
      <w:r w:rsidR="0058651C">
        <w:rPr>
          <w:rFonts w:ascii="Arial" w:hAnsi="Arial" w:cs="Arial"/>
          <w:bCs/>
          <w:sz w:val="22"/>
          <w:szCs w:val="22"/>
        </w:rPr>
        <w:pict w14:anchorId="098973F4">
          <v:shape id="_x0000_i1082"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C324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CC3246&quot; wsp:rsidP=&quot;00CC3246&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4" o:title="" chromakey="white"/>
          </v:shape>
        </w:pict>
      </w:r>
      <w:r w:rsidR="00E5556B" w:rsidRPr="00E5556B">
        <w:rPr>
          <w:rFonts w:ascii="Arial" w:hAnsi="Arial" w:cs="Arial"/>
          <w:bCs/>
          <w:sz w:val="22"/>
          <w:szCs w:val="22"/>
          <w:lang w:val="en-AU"/>
        </w:rPr>
        <w:fldChar w:fldCharType="end"/>
      </w:r>
      <w:r w:rsidR="00E5556B" w:rsidRPr="00E5556B">
        <w:rPr>
          <w:rFonts w:ascii="Arial" w:hAnsi="Arial" w:cs="Arial"/>
          <w:bCs/>
          <w:sz w:val="22"/>
          <w:szCs w:val="22"/>
          <w:lang w:val="en-AU"/>
        </w:rPr>
        <w:t xml:space="preserve">, </w:t>
      </w:r>
      <w:r w:rsidR="00E5556B" w:rsidRPr="00E5556B">
        <w:rPr>
          <w:rFonts w:ascii="Arial" w:hAnsi="Arial" w:cs="Arial"/>
          <w:bCs/>
          <w:sz w:val="22"/>
          <w:szCs w:val="22"/>
          <w:lang w:val="en-AU"/>
        </w:rPr>
        <w:fldChar w:fldCharType="begin"/>
      </w:r>
      <w:r w:rsidR="00E5556B" w:rsidRPr="00E5556B">
        <w:rPr>
          <w:rFonts w:ascii="Arial" w:hAnsi="Arial" w:cs="Arial"/>
          <w:bCs/>
          <w:sz w:val="22"/>
          <w:szCs w:val="22"/>
          <w:lang w:val="en-AU"/>
        </w:rPr>
        <w:instrText xml:space="preserve"> QUOTE </w:instrText>
      </w:r>
      <w:r w:rsidR="0058651C">
        <w:rPr>
          <w:rFonts w:ascii="Arial" w:hAnsi="Arial" w:cs="Arial"/>
          <w:bCs/>
          <w:sz w:val="22"/>
          <w:szCs w:val="22"/>
        </w:rPr>
        <w:pict w14:anchorId="7DE7F235">
          <v:shape id="_x0000_i1083"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558BF&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D558BF&quot; wsp:rsidP=&quot;00D558BF&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5" o:title="" chromakey="white"/>
          </v:shape>
        </w:pict>
      </w:r>
      <w:r w:rsidR="00E5556B" w:rsidRPr="00E5556B">
        <w:rPr>
          <w:rFonts w:ascii="Arial" w:hAnsi="Arial" w:cs="Arial"/>
          <w:bCs/>
          <w:sz w:val="22"/>
          <w:szCs w:val="22"/>
          <w:lang w:val="en-AU"/>
        </w:rPr>
        <w:instrText xml:space="preserve"> </w:instrText>
      </w:r>
      <w:r w:rsidR="00E5556B" w:rsidRPr="00E5556B">
        <w:rPr>
          <w:rFonts w:ascii="Arial" w:hAnsi="Arial" w:cs="Arial"/>
          <w:bCs/>
          <w:sz w:val="22"/>
          <w:szCs w:val="22"/>
          <w:lang w:val="en-AU"/>
        </w:rPr>
        <w:fldChar w:fldCharType="separate"/>
      </w:r>
      <w:r w:rsidR="0058651C">
        <w:rPr>
          <w:rFonts w:ascii="Arial" w:hAnsi="Arial" w:cs="Arial"/>
          <w:bCs/>
          <w:sz w:val="22"/>
          <w:szCs w:val="22"/>
        </w:rPr>
        <w:pict w14:anchorId="108AE7F1">
          <v:shape id="_x0000_i1084"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558BF&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D558BF&quot; wsp:rsidP=&quot;00D558BF&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5" o:title="" chromakey="white"/>
          </v:shape>
        </w:pict>
      </w:r>
      <w:r w:rsidR="00E5556B" w:rsidRPr="00E5556B">
        <w:rPr>
          <w:rFonts w:ascii="Arial" w:hAnsi="Arial" w:cs="Arial"/>
          <w:bCs/>
          <w:sz w:val="22"/>
          <w:szCs w:val="22"/>
          <w:lang w:val="en-AU"/>
        </w:rPr>
        <w:fldChar w:fldCharType="end"/>
      </w:r>
      <w:r w:rsidR="00E5556B" w:rsidRPr="00E5556B">
        <w:rPr>
          <w:rFonts w:ascii="Arial" w:hAnsi="Arial" w:cs="Arial"/>
          <w:bCs/>
          <w:sz w:val="22"/>
          <w:szCs w:val="22"/>
          <w:lang w:val="en-AU"/>
        </w:rPr>
        <w:t xml:space="preserve">, </w:t>
      </w:r>
      <w:r w:rsidR="00E5556B" w:rsidRPr="00E5556B">
        <w:rPr>
          <w:rFonts w:ascii="Arial" w:hAnsi="Arial" w:cs="Arial"/>
          <w:bCs/>
          <w:sz w:val="22"/>
          <w:szCs w:val="22"/>
          <w:lang w:val="en-AU"/>
        </w:rPr>
        <w:fldChar w:fldCharType="begin"/>
      </w:r>
      <w:r w:rsidR="00E5556B" w:rsidRPr="00E5556B">
        <w:rPr>
          <w:rFonts w:ascii="Arial" w:hAnsi="Arial" w:cs="Arial"/>
          <w:bCs/>
          <w:sz w:val="22"/>
          <w:szCs w:val="22"/>
          <w:lang w:val="en-AU"/>
        </w:rPr>
        <w:instrText xml:space="preserve"> QUOTE </w:instrText>
      </w:r>
      <w:r w:rsidR="0058651C">
        <w:rPr>
          <w:rFonts w:ascii="Arial" w:hAnsi="Arial" w:cs="Arial"/>
          <w:bCs/>
          <w:sz w:val="22"/>
          <w:szCs w:val="22"/>
        </w:rPr>
        <w:pict w14:anchorId="602EEEC3">
          <v:shape id="_x0000_i1085" type="#_x0000_t75" style="width:7.2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7608E&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57608E&quot; wsp:rsidP=&quot;0057608E&quot;&gt;&lt;m:oMathPara&gt;&lt;m:oMath&gt;&lt;m:r&gt;&lt;w:rPr&gt;&lt;w:rFonts w:ascii=&quot;Cambria Math&quot; w:fareast=&quot;MS PGothic&quot; w:h-ansi=&quot;Cambria Math&quot;/&gt;&lt;wx:font wx:val=&quot;Cambria Math&quot;/&gt;&lt;w:i/&gt;&lt;w:sz w:val=&quot;20&quot;/&gt;&lt;w:lang w:val=&quot;EN-AU&quot; w:fareast=&quot;JA&quot;/&gt;&lt;/w:rPr&gt;&lt;m:t&gt;œà&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6" o:title="" chromakey="white"/>
          </v:shape>
        </w:pict>
      </w:r>
      <w:r w:rsidR="00E5556B" w:rsidRPr="00E5556B">
        <w:rPr>
          <w:rFonts w:ascii="Arial" w:hAnsi="Arial" w:cs="Arial"/>
          <w:bCs/>
          <w:sz w:val="22"/>
          <w:szCs w:val="22"/>
          <w:lang w:val="en-AU"/>
        </w:rPr>
        <w:instrText xml:space="preserve"> </w:instrText>
      </w:r>
      <w:r w:rsidR="00E5556B" w:rsidRPr="00E5556B">
        <w:rPr>
          <w:rFonts w:ascii="Arial" w:hAnsi="Arial" w:cs="Arial"/>
          <w:bCs/>
          <w:sz w:val="22"/>
          <w:szCs w:val="22"/>
          <w:lang w:val="en-AU"/>
        </w:rPr>
        <w:fldChar w:fldCharType="separate"/>
      </w:r>
      <w:r w:rsidR="0058651C">
        <w:rPr>
          <w:rFonts w:ascii="Arial" w:hAnsi="Arial" w:cs="Arial"/>
          <w:bCs/>
          <w:sz w:val="22"/>
          <w:szCs w:val="22"/>
        </w:rPr>
        <w:pict w14:anchorId="212A3F06">
          <v:shape id="_x0000_i1086" type="#_x0000_t75" style="width:7.2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7608E&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57608E&quot; wsp:rsidP=&quot;0057608E&quot;&gt;&lt;m:oMathPara&gt;&lt;m:oMath&gt;&lt;m:r&gt;&lt;w:rPr&gt;&lt;w:rFonts w:ascii=&quot;Cambria Math&quot; w:fareast=&quot;MS PGothic&quot; w:h-ansi=&quot;Cambria Math&quot;/&gt;&lt;wx:font wx:val=&quot;Cambria Math&quot;/&gt;&lt;w:i/&gt;&lt;w:sz w:val=&quot;20&quot;/&gt;&lt;w:lang w:val=&quot;EN-AU&quot; w:fareast=&quot;JA&quot;/&gt;&lt;/w:rPr&gt;&lt;m:t&gt;œà&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6" o:title="" chromakey="white"/>
          </v:shape>
        </w:pict>
      </w:r>
      <w:r w:rsidR="00E5556B" w:rsidRPr="00E5556B">
        <w:rPr>
          <w:rFonts w:ascii="Arial" w:hAnsi="Arial" w:cs="Arial"/>
          <w:bCs/>
          <w:sz w:val="22"/>
          <w:szCs w:val="22"/>
          <w:lang w:val="en-AU"/>
        </w:rPr>
        <w:fldChar w:fldCharType="end"/>
      </w:r>
      <w:r w:rsidR="00E5556B" w:rsidRPr="00E5556B">
        <w:rPr>
          <w:rFonts w:ascii="Arial" w:hAnsi="Arial" w:cs="Arial"/>
          <w:bCs/>
          <w:sz w:val="22"/>
          <w:szCs w:val="22"/>
          <w:lang w:val="en-AU"/>
        </w:rPr>
        <w:t xml:space="preserve">, and </w:t>
      </w:r>
      <w:r w:rsidR="00E5556B" w:rsidRPr="00E5556B">
        <w:rPr>
          <w:rFonts w:ascii="Arial" w:hAnsi="Arial" w:cs="Arial"/>
          <w:bCs/>
          <w:sz w:val="22"/>
          <w:szCs w:val="22"/>
          <w:lang w:val="en-AU"/>
        </w:rPr>
        <w:fldChar w:fldCharType="begin"/>
      </w:r>
      <w:r w:rsidR="00E5556B" w:rsidRPr="00E5556B">
        <w:rPr>
          <w:rFonts w:ascii="Arial" w:hAnsi="Arial" w:cs="Arial"/>
          <w:bCs/>
          <w:sz w:val="22"/>
          <w:szCs w:val="22"/>
          <w:lang w:val="en-AU"/>
        </w:rPr>
        <w:instrText xml:space="preserve"> QUOTE </w:instrText>
      </w:r>
      <w:r w:rsidR="0058651C">
        <w:rPr>
          <w:rFonts w:ascii="Arial" w:hAnsi="Arial" w:cs="Arial"/>
          <w:bCs/>
          <w:sz w:val="22"/>
          <w:szCs w:val="22"/>
        </w:rPr>
        <w:pict w14:anchorId="412DB887">
          <v:shape id="_x0000_i1087"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 wsp:val=&quot;00FE6334&quot;/&gt;&lt;/wsp:rsids&gt;&lt;/w:docPr&gt;&lt;w:body&gt;&lt;wx:sect&gt;&lt;w:p wsp:rsidR=&quot;00000000&quot; wsp:rsidRDefault=&quot;00FE6334&quot; wsp:rsidP=&quot;00FE6334&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r w:rsidR="00E5556B" w:rsidRPr="00E5556B">
        <w:rPr>
          <w:rFonts w:ascii="Arial" w:hAnsi="Arial" w:cs="Arial"/>
          <w:bCs/>
          <w:sz w:val="22"/>
          <w:szCs w:val="22"/>
          <w:lang w:val="en-AU"/>
        </w:rPr>
        <w:instrText xml:space="preserve"> </w:instrText>
      </w:r>
      <w:r w:rsidR="00E5556B" w:rsidRPr="00E5556B">
        <w:rPr>
          <w:rFonts w:ascii="Arial" w:hAnsi="Arial" w:cs="Arial"/>
          <w:bCs/>
          <w:sz w:val="22"/>
          <w:szCs w:val="22"/>
          <w:lang w:val="en-AU"/>
        </w:rPr>
        <w:fldChar w:fldCharType="separate"/>
      </w:r>
      <w:r w:rsidR="0058651C">
        <w:rPr>
          <w:rFonts w:ascii="Arial" w:hAnsi="Arial" w:cs="Arial"/>
          <w:bCs/>
          <w:sz w:val="22"/>
          <w:szCs w:val="22"/>
        </w:rPr>
        <w:pict w14:anchorId="301C0376">
          <v:shape id="_x0000_i1088" type="#_x0000_t75" style="width:6.1pt;height:12.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 wsp:val=&quot;00FE6334&quot;/&gt;&lt;/wsp:rsids&gt;&lt;/w:docPr&gt;&lt;w:body&gt;&lt;wx:sect&gt;&lt;w:p wsp:rsidR=&quot;00000000&quot; wsp:rsidRDefault=&quot;00FE6334&quot; wsp:rsidP=&quot;00FE6334&quot;&gt;&lt;m:oMathPara&gt;&lt;m:oMath&gt;&lt;m:r&gt;&lt;w:rPr&gt;&lt;w:rFonts w:ascii=&quot;Cambria Math&quot; w:fareast=&quot;MS PGothic&quot; w:h-ansi=&quot;Cambria Math&quot;/&gt;&lt;wx:font wx:val=&quot;Cambria Math&quot;/&gt;&lt;w:i/&gt;&lt;w:sz w:val=&quot;20&quot;/&gt;&lt;w:lang w:val=&quot;EN-AU&quot; w:fareast=&quot;JA&quot;/&gt;&lt;/w:rPr&gt;&lt;m:t&gt;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r w:rsidR="00E5556B" w:rsidRPr="00E5556B">
        <w:rPr>
          <w:rFonts w:ascii="Arial" w:hAnsi="Arial" w:cs="Arial"/>
          <w:bCs/>
          <w:sz w:val="22"/>
          <w:szCs w:val="22"/>
          <w:lang w:val="en-AU"/>
        </w:rPr>
        <w:fldChar w:fldCharType="end"/>
      </w:r>
      <w:r w:rsidR="00E5556B" w:rsidRPr="00E5556B">
        <w:rPr>
          <w:rFonts w:ascii="Arial" w:hAnsi="Arial" w:cs="Arial"/>
          <w:bCs/>
          <w:sz w:val="22"/>
          <w:szCs w:val="22"/>
          <w:lang w:val="en-AU"/>
        </w:rPr>
        <w:t>, which can be estimated econometrically. The endogenous variables of this model are local housing prices (P</w:t>
      </w:r>
      <w:r w:rsidR="00E5556B" w:rsidRPr="00E5556B">
        <w:rPr>
          <w:rFonts w:ascii="Arial" w:hAnsi="Arial" w:cs="Arial"/>
          <w:bCs/>
          <w:sz w:val="22"/>
          <w:szCs w:val="22"/>
          <w:vertAlign w:val="subscript"/>
          <w:lang w:val="en-AU"/>
        </w:rPr>
        <w:t>j</w:t>
      </w:r>
      <w:r w:rsidR="00E5556B" w:rsidRPr="00E5556B">
        <w:rPr>
          <w:rFonts w:ascii="Arial" w:hAnsi="Arial" w:cs="Arial"/>
          <w:bCs/>
          <w:sz w:val="22"/>
          <w:szCs w:val="22"/>
          <w:lang w:val="en-AU"/>
        </w:rPr>
        <w:t>), number of people commuting between each pair of home and work locations (N</w:t>
      </w:r>
      <w:r w:rsidR="00E5556B" w:rsidRPr="00E5556B">
        <w:rPr>
          <w:rFonts w:ascii="Arial" w:hAnsi="Arial" w:cs="Arial"/>
          <w:bCs/>
          <w:sz w:val="22"/>
          <w:szCs w:val="22"/>
          <w:vertAlign w:val="subscript"/>
          <w:lang w:val="en-AU"/>
        </w:rPr>
        <w:t>jk</w:t>
      </w:r>
      <w:r w:rsidR="00E5556B" w:rsidRPr="00E5556B">
        <w:rPr>
          <w:rFonts w:ascii="Arial" w:hAnsi="Arial" w:cs="Arial"/>
          <w:bCs/>
          <w:sz w:val="22"/>
          <w:szCs w:val="22"/>
          <w:lang w:val="en-AU"/>
        </w:rPr>
        <w:t>), and total quantity of housing supplied in each zone (H</w:t>
      </w:r>
      <w:r w:rsidR="00E5556B" w:rsidRPr="00E5556B">
        <w:rPr>
          <w:rFonts w:ascii="Arial" w:hAnsi="Arial" w:cs="Arial"/>
          <w:bCs/>
          <w:sz w:val="22"/>
          <w:szCs w:val="22"/>
          <w:vertAlign w:val="subscript"/>
          <w:lang w:val="en-AU"/>
        </w:rPr>
        <w:t>j</w:t>
      </w:r>
      <w:r w:rsidR="00E5556B" w:rsidRPr="00E5556B">
        <w:rPr>
          <w:rFonts w:ascii="Arial" w:hAnsi="Arial" w:cs="Arial"/>
          <w:bCs/>
          <w:sz w:val="22"/>
          <w:szCs w:val="22"/>
          <w:lang w:val="en-AU"/>
        </w:rPr>
        <w:t>).</w:t>
      </w:r>
    </w:p>
    <w:p w14:paraId="7945BC27" w14:textId="77777777" w:rsidR="00E5556B" w:rsidRPr="00E5556B" w:rsidRDefault="00E5556B" w:rsidP="001E131F">
      <w:pPr>
        <w:jc w:val="center"/>
        <w:outlineLvl w:val="0"/>
        <w:rPr>
          <w:rFonts w:ascii="Arial" w:hAnsi="Arial" w:cs="Arial"/>
          <w:bCs/>
          <w:sz w:val="22"/>
          <w:szCs w:val="22"/>
          <w:lang w:val="en-AU"/>
        </w:rPr>
      </w:pPr>
    </w:p>
    <w:p w14:paraId="035018FC" w14:textId="7A3495A6" w:rsidR="00E5556B" w:rsidRPr="00E5556B" w:rsidRDefault="001E131F" w:rsidP="00E5556B">
      <w:pPr>
        <w:outlineLvl w:val="0"/>
        <w:rPr>
          <w:rFonts w:ascii="Arial" w:hAnsi="Arial" w:cs="Arial"/>
          <w:bCs/>
          <w:sz w:val="22"/>
          <w:szCs w:val="22"/>
          <w:lang w:val="en-AU"/>
        </w:rPr>
      </w:pPr>
      <w:r>
        <w:rPr>
          <w:rFonts w:ascii="Arial" w:hAnsi="Arial" w:cs="Arial"/>
          <w:bCs/>
          <w:sz w:val="22"/>
          <w:szCs w:val="22"/>
          <w:lang w:val="en-AU"/>
        </w:rPr>
        <w:t>The following assumptions close the model</w:t>
      </w:r>
      <w:r w:rsidR="00E5556B" w:rsidRPr="00E5556B">
        <w:rPr>
          <w:rFonts w:ascii="Arial" w:hAnsi="Arial" w:cs="Arial"/>
          <w:bCs/>
          <w:sz w:val="22"/>
          <w:szCs w:val="22"/>
          <w:lang w:val="en-AU"/>
        </w:rPr>
        <w:t xml:space="preserve"> First, local housing markets </w:t>
      </w:r>
      <w:r>
        <w:rPr>
          <w:rFonts w:ascii="Arial" w:hAnsi="Arial" w:cs="Arial"/>
          <w:bCs/>
          <w:sz w:val="22"/>
          <w:szCs w:val="22"/>
          <w:lang w:val="en-AU"/>
        </w:rPr>
        <w:t xml:space="preserve">are assumed to </w:t>
      </w:r>
      <w:r w:rsidR="00E5556B" w:rsidRPr="00E5556B">
        <w:rPr>
          <w:rFonts w:ascii="Arial" w:hAnsi="Arial" w:cs="Arial"/>
          <w:bCs/>
          <w:sz w:val="22"/>
          <w:szCs w:val="22"/>
          <w:lang w:val="en-AU"/>
        </w:rPr>
        <w:t>clear, meaning that the quantity of housing supplied is equal to the number of people living in the zone (</w:t>
      </w:r>
      <w:r w:rsidR="00E5556B" w:rsidRPr="00E5556B">
        <w:rPr>
          <w:rFonts w:ascii="Arial" w:hAnsi="Arial" w:cs="Arial"/>
          <w:bCs/>
          <w:sz w:val="22"/>
          <w:szCs w:val="22"/>
          <w:lang w:val="en-AU"/>
        </w:rPr>
        <w:fldChar w:fldCharType="begin"/>
      </w:r>
      <w:r w:rsidR="00E5556B" w:rsidRPr="00E5556B">
        <w:rPr>
          <w:rFonts w:ascii="Arial" w:hAnsi="Arial" w:cs="Arial"/>
          <w:bCs/>
          <w:sz w:val="22"/>
          <w:szCs w:val="22"/>
          <w:lang w:val="en-AU"/>
        </w:rPr>
        <w:instrText xml:space="preserve"> REF _Ref32521498 \h </w:instrText>
      </w:r>
      <w:r w:rsidR="00E5556B" w:rsidRPr="00E5556B">
        <w:rPr>
          <w:rFonts w:ascii="Arial" w:hAnsi="Arial" w:cs="Arial"/>
          <w:bCs/>
          <w:sz w:val="22"/>
          <w:szCs w:val="22"/>
          <w:lang w:val="en-AU"/>
        </w:rPr>
      </w:r>
      <w:r w:rsidR="00E5556B" w:rsidRPr="00E5556B">
        <w:rPr>
          <w:rFonts w:ascii="Arial" w:hAnsi="Arial" w:cs="Arial"/>
          <w:bCs/>
          <w:sz w:val="22"/>
          <w:szCs w:val="22"/>
          <w:lang w:val="en-AU"/>
        </w:rPr>
        <w:fldChar w:fldCharType="separate"/>
      </w:r>
      <w:r w:rsidR="00E5556B" w:rsidRPr="00E5556B">
        <w:rPr>
          <w:rFonts w:ascii="Arial" w:hAnsi="Arial" w:cs="Arial"/>
          <w:b/>
          <w:bCs/>
          <w:i/>
          <w:sz w:val="22"/>
          <w:szCs w:val="22"/>
          <w:lang w:val="en-AU"/>
        </w:rPr>
        <w:t xml:space="preserve">Equation </w:t>
      </w:r>
      <w:r w:rsidR="00E5556B">
        <w:rPr>
          <w:rFonts w:ascii="Arial" w:hAnsi="Arial" w:cs="Arial"/>
          <w:b/>
          <w:bCs/>
          <w:i/>
          <w:noProof/>
          <w:sz w:val="22"/>
          <w:szCs w:val="22"/>
          <w:lang w:val="en-AU"/>
        </w:rPr>
        <w:t>14</w:t>
      </w:r>
      <w:r w:rsidR="00E5556B" w:rsidRPr="00E5556B">
        <w:rPr>
          <w:rFonts w:ascii="Arial" w:hAnsi="Arial" w:cs="Arial"/>
          <w:bCs/>
          <w:sz w:val="22"/>
          <w:szCs w:val="22"/>
          <w:lang w:val="en-AU"/>
        </w:rPr>
        <w:fldChar w:fldCharType="end"/>
      </w:r>
      <w:r>
        <w:rPr>
          <w:rFonts w:ascii="Arial" w:hAnsi="Arial" w:cs="Arial"/>
          <w:bCs/>
          <w:sz w:val="22"/>
          <w:szCs w:val="22"/>
          <w:lang w:val="en-AU"/>
        </w:rPr>
        <w:t>).</w:t>
      </w:r>
      <w:r>
        <w:rPr>
          <w:rStyle w:val="FootnoteReference"/>
          <w:rFonts w:ascii="Arial" w:hAnsi="Arial" w:cs="Arial"/>
          <w:bCs/>
          <w:sz w:val="22"/>
          <w:szCs w:val="22"/>
          <w:lang w:val="en-AU"/>
        </w:rPr>
        <w:footnoteReference w:id="16"/>
      </w:r>
      <w:r w:rsidR="00E5556B" w:rsidRPr="00E5556B">
        <w:rPr>
          <w:rFonts w:ascii="Arial" w:hAnsi="Arial" w:cs="Arial"/>
          <w:bCs/>
          <w:sz w:val="22"/>
          <w:szCs w:val="22"/>
          <w:lang w:val="en-AU"/>
        </w:rPr>
        <w:t xml:space="preserve"> Second, I assume that total city size is fixed (</w:t>
      </w:r>
      <w:r w:rsidR="00E5556B" w:rsidRPr="00E5556B">
        <w:rPr>
          <w:rFonts w:ascii="Arial" w:hAnsi="Arial" w:cs="Arial"/>
          <w:bCs/>
          <w:sz w:val="22"/>
          <w:szCs w:val="22"/>
          <w:lang w:val="en-AU"/>
        </w:rPr>
        <w:fldChar w:fldCharType="begin"/>
      </w:r>
      <w:r w:rsidR="00E5556B" w:rsidRPr="00E5556B">
        <w:rPr>
          <w:rFonts w:ascii="Arial" w:hAnsi="Arial" w:cs="Arial"/>
          <w:bCs/>
          <w:sz w:val="22"/>
          <w:szCs w:val="22"/>
          <w:lang w:val="en-AU"/>
        </w:rPr>
        <w:instrText xml:space="preserve"> REF _Ref32521598 \h </w:instrText>
      </w:r>
      <w:r w:rsidR="00E5556B" w:rsidRPr="00E5556B">
        <w:rPr>
          <w:rFonts w:ascii="Arial" w:hAnsi="Arial" w:cs="Arial"/>
          <w:bCs/>
          <w:sz w:val="22"/>
          <w:szCs w:val="22"/>
          <w:lang w:val="en-AU"/>
        </w:rPr>
      </w:r>
      <w:r w:rsidR="00E5556B" w:rsidRPr="00E5556B">
        <w:rPr>
          <w:rFonts w:ascii="Arial" w:hAnsi="Arial" w:cs="Arial"/>
          <w:bCs/>
          <w:sz w:val="22"/>
          <w:szCs w:val="22"/>
          <w:lang w:val="en-AU"/>
        </w:rPr>
        <w:fldChar w:fldCharType="separate"/>
      </w:r>
      <w:r w:rsidR="00E5556B" w:rsidRPr="00E5556B">
        <w:rPr>
          <w:rFonts w:ascii="Arial" w:hAnsi="Arial" w:cs="Arial"/>
          <w:b/>
          <w:bCs/>
          <w:i/>
          <w:sz w:val="22"/>
          <w:szCs w:val="22"/>
          <w:lang w:val="en-AU"/>
        </w:rPr>
        <w:t xml:space="preserve">Equation </w:t>
      </w:r>
      <w:r w:rsidR="00E5556B">
        <w:rPr>
          <w:rFonts w:ascii="Arial" w:hAnsi="Arial" w:cs="Arial"/>
          <w:b/>
          <w:bCs/>
          <w:i/>
          <w:noProof/>
          <w:sz w:val="22"/>
          <w:szCs w:val="22"/>
          <w:lang w:val="en-AU"/>
        </w:rPr>
        <w:t>15</w:t>
      </w:r>
      <w:r w:rsidR="00E5556B" w:rsidRPr="00E5556B">
        <w:rPr>
          <w:rFonts w:ascii="Arial" w:hAnsi="Arial" w:cs="Arial"/>
          <w:bCs/>
          <w:sz w:val="22"/>
          <w:szCs w:val="22"/>
          <w:lang w:val="en-AU"/>
        </w:rPr>
        <w:fldChar w:fldCharType="end"/>
      </w:r>
      <w:r w:rsidR="00E5556B" w:rsidRPr="00E5556B">
        <w:rPr>
          <w:rFonts w:ascii="Arial" w:hAnsi="Arial" w:cs="Arial"/>
          <w:bCs/>
          <w:sz w:val="22"/>
          <w:szCs w:val="22"/>
          <w:lang w:val="en-AU"/>
        </w:rPr>
        <w:t>). This is achieved by scaling up or down overall utility levels until city s</w:t>
      </w:r>
      <w:r>
        <w:rPr>
          <w:rFonts w:ascii="Arial" w:hAnsi="Arial" w:cs="Arial"/>
          <w:bCs/>
          <w:sz w:val="22"/>
          <w:szCs w:val="22"/>
          <w:lang w:val="en-AU"/>
        </w:rPr>
        <w:t>ize returns to its fixed level.</w:t>
      </w:r>
      <w:r>
        <w:rPr>
          <w:rStyle w:val="FootnoteReference"/>
          <w:rFonts w:ascii="Arial" w:hAnsi="Arial" w:cs="Arial"/>
          <w:bCs/>
          <w:sz w:val="22"/>
          <w:szCs w:val="22"/>
          <w:lang w:val="en-AU"/>
        </w:rPr>
        <w:footnoteReference w:id="17"/>
      </w:r>
    </w:p>
    <w:p w14:paraId="32DB35EB" w14:textId="77777777" w:rsidR="00E5556B" w:rsidRPr="00E5556B" w:rsidRDefault="00E5556B" w:rsidP="00E5556B">
      <w:pPr>
        <w:outlineLvl w:val="0"/>
        <w:rPr>
          <w:rFonts w:ascii="Arial" w:hAnsi="Arial" w:cs="Arial"/>
          <w:bCs/>
          <w:sz w:val="22"/>
          <w:szCs w:val="22"/>
          <w:lang w:val="en-AU"/>
        </w:rPr>
      </w:pPr>
    </w:p>
    <w:p w14:paraId="1EB03EF5" w14:textId="77777777" w:rsidR="00E5556B" w:rsidRPr="00E5556B" w:rsidRDefault="00E5556B" w:rsidP="00E5556B">
      <w:pPr>
        <w:outlineLvl w:val="0"/>
        <w:rPr>
          <w:rFonts w:ascii="Arial" w:hAnsi="Arial" w:cs="Arial"/>
          <w:b/>
          <w:bCs/>
          <w:i/>
          <w:sz w:val="22"/>
          <w:szCs w:val="22"/>
          <w:lang w:val="en-AU"/>
        </w:rPr>
      </w:pPr>
      <w:bookmarkStart w:id="12" w:name="_Ref32521498"/>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14</w:t>
      </w:r>
      <w:r w:rsidRPr="00E5556B">
        <w:rPr>
          <w:rFonts w:ascii="Arial" w:hAnsi="Arial" w:cs="Arial"/>
          <w:bCs/>
          <w:sz w:val="22"/>
          <w:szCs w:val="22"/>
          <w:lang w:val="en-AU"/>
        </w:rPr>
        <w:fldChar w:fldCharType="end"/>
      </w:r>
      <w:bookmarkEnd w:id="12"/>
      <w:r w:rsidRPr="00E5556B">
        <w:rPr>
          <w:rFonts w:ascii="Arial" w:hAnsi="Arial" w:cs="Arial"/>
          <w:b/>
          <w:bCs/>
          <w:i/>
          <w:sz w:val="22"/>
          <w:szCs w:val="22"/>
          <w:lang w:val="en-AU"/>
        </w:rPr>
        <w:t>: Local housing market clearance condition</w:t>
      </w:r>
    </w:p>
    <w:p w14:paraId="6A6C0B87" w14:textId="4D1FA862"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3A3CE4BB">
          <v:shape id="_x0000_i1089" type="#_x0000_t75" style="width:77pt;height:22.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97D71&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097D71&quot; wsp:rsidRDefault=&quot;00097D71&quot; wsp:rsidP=&quot;00097D71&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nary&gt;&lt;m:naryPr&gt;&lt;m:chr m:val=&quot;‚àë&quot;/&gt;&lt;m:limLoc m:val=&quot;subSup&quot;/&gt;&lt;m:supHide m:val=&quot;1&quot;/&gt;&lt;m:ctrlPr&gt;&lt;w:rPr&gt;&lt;w:rFonts w:ascii=&quot;Cambria Math&quot; w:fareast=&quot;MS PGothic&quot; w:h-ansi=&quot;Cambria Math&quot;/&gt;&lt;wx:font wx:val=&quot;Cambria Math&quot;/&gt;&lt;w:i/&gt;&lt;w:sz w:val=&quot;20&quot;/&gt;&lt;w:lang w:val=&quot;EN-AU&quot; w:fareast=&quot;JA&quot;/&gt;&lt;/w:rPr&gt;&lt;/m:ctrlPr&gt;&lt;/m:naryPr&gt;&lt;m:sub&gt;&lt;m:r&gt;&lt;w:rPr&gt;&lt;w:rFonts w:ascii=&quot;Cambria Math&quot; w:fareast=&quot;MS PGothic&quot; w:h-ansi=&quot;Cambria Math&quot;/&gt;&lt;wx:font wx:val=&quot;Cambria Math&quot;/&gt;&lt;w:i/&gt;&lt;w:sz w:val=&quot;20&quot;/&gt;&lt;w:lang w:val=&quot;EN-AU&quot; w:fareast=&quot;JA&quot;/&gt;&lt;/w:rPr&gt;&lt;m:t&gt;k&lt;/m:t&gt;&lt;/m:r&gt;&lt;/m:sub&gt;&lt;m:sup/&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e&gt;&lt;/m:nary&gt;&lt;m:r&gt;&lt;w:rPr&gt;&lt;w:rFonts w:ascii=&quot;Cambria Math&quot; w:fareast=&quot;MS PGothic&quot; w:h-ansi=&quot;Cambria Math&quot;/&gt;&lt;wx:font wx:val=&quot;Cambria Math&quot;/&gt;&lt;w:i/&gt;&lt;w:sz w:val=&quot;20&quot;/&gt;&lt;w:lang w:val=&quot;EN-AU&quot; w:fareast=&quot;JA&quot;/&gt;&lt;/w:rPr&gt;&lt;m:t&gt;=&lt;/m:t&gt;&lt;/m:r&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H&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oMath&gt;&lt;/m:oMathPara&gt;&lt;/w:p&gt;&lt;w:sectPr wsp:rsidR=&quot;00000000&quot; wsp:rsidRPr=&quot;00097D71&quot;&gt;&lt;w:pgSz w:w=&quot;12240&quot; w:h=&quot;15840&quot;/&gt;&lt;w:pgMar w:top=&quot;1440&quot; w:right=&quot;1440&quot; w:bottom=&quot;1440&quot; w:left=&quot;1440&quot; w:header=&quot;720&quot; w:footer=&quot;720&quot; w:gutter=&quot;0&quot;/&gt;&lt;w:cols w:space=&quot;720&quot;/&gt;&lt;/w:sectPr&gt;&lt;/wx:sect&gt;&lt;/w:body&gt;&lt;/w:wordDocument&gt;">
            <v:imagedata r:id="rId48" o:title="" chromakey="white"/>
          </v:shape>
        </w:pict>
      </w:r>
    </w:p>
    <w:p w14:paraId="4E0321AB" w14:textId="77777777" w:rsidR="00E5556B" w:rsidRPr="00E5556B" w:rsidRDefault="00E5556B" w:rsidP="00E5556B">
      <w:pPr>
        <w:outlineLvl w:val="0"/>
        <w:rPr>
          <w:rFonts w:ascii="Arial" w:hAnsi="Arial" w:cs="Arial"/>
          <w:b/>
          <w:bCs/>
          <w:i/>
          <w:sz w:val="22"/>
          <w:szCs w:val="22"/>
          <w:lang w:val="en-AU"/>
        </w:rPr>
      </w:pPr>
      <w:bookmarkStart w:id="13" w:name="_Ref32521598"/>
      <w:r w:rsidRPr="00E5556B">
        <w:rPr>
          <w:rFonts w:ascii="Arial" w:hAnsi="Arial" w:cs="Arial"/>
          <w:b/>
          <w:bCs/>
          <w:i/>
          <w:sz w:val="22"/>
          <w:szCs w:val="22"/>
          <w:lang w:val="en-AU"/>
        </w:rPr>
        <w:t xml:space="preserve">Equation </w:t>
      </w:r>
      <w:r w:rsidRPr="00E5556B">
        <w:rPr>
          <w:rFonts w:ascii="Arial" w:hAnsi="Arial" w:cs="Arial"/>
          <w:b/>
          <w:bCs/>
          <w:i/>
          <w:sz w:val="22"/>
          <w:szCs w:val="22"/>
          <w:lang w:val="en-AU"/>
        </w:rPr>
        <w:fldChar w:fldCharType="begin"/>
      </w:r>
      <w:r w:rsidRPr="00E5556B">
        <w:rPr>
          <w:rFonts w:ascii="Arial" w:hAnsi="Arial" w:cs="Arial"/>
          <w:b/>
          <w:bCs/>
          <w:i/>
          <w:sz w:val="22"/>
          <w:szCs w:val="22"/>
          <w:lang w:val="en-AU"/>
        </w:rPr>
        <w:instrText xml:space="preserve"> SEQ Equation \* ARABIC </w:instrText>
      </w:r>
      <w:r w:rsidRPr="00E5556B">
        <w:rPr>
          <w:rFonts w:ascii="Arial" w:hAnsi="Arial" w:cs="Arial"/>
          <w:b/>
          <w:bCs/>
          <w:i/>
          <w:sz w:val="22"/>
          <w:szCs w:val="22"/>
          <w:lang w:val="en-AU"/>
        </w:rPr>
        <w:fldChar w:fldCharType="separate"/>
      </w:r>
      <w:r>
        <w:rPr>
          <w:rFonts w:ascii="Arial" w:hAnsi="Arial" w:cs="Arial"/>
          <w:b/>
          <w:bCs/>
          <w:i/>
          <w:noProof/>
          <w:sz w:val="22"/>
          <w:szCs w:val="22"/>
          <w:lang w:val="en-AU"/>
        </w:rPr>
        <w:t>15</w:t>
      </w:r>
      <w:r w:rsidRPr="00E5556B">
        <w:rPr>
          <w:rFonts w:ascii="Arial" w:hAnsi="Arial" w:cs="Arial"/>
          <w:bCs/>
          <w:sz w:val="22"/>
          <w:szCs w:val="22"/>
          <w:lang w:val="en-AU"/>
        </w:rPr>
        <w:fldChar w:fldCharType="end"/>
      </w:r>
      <w:bookmarkEnd w:id="13"/>
      <w:r w:rsidRPr="00E5556B">
        <w:rPr>
          <w:rFonts w:ascii="Arial" w:hAnsi="Arial" w:cs="Arial"/>
          <w:b/>
          <w:bCs/>
          <w:i/>
          <w:sz w:val="22"/>
          <w:szCs w:val="22"/>
          <w:lang w:val="en-AU"/>
        </w:rPr>
        <w:t>: Fixed city size assumption</w:t>
      </w:r>
    </w:p>
    <w:p w14:paraId="692F7EFA" w14:textId="3A615E0E" w:rsidR="00E5556B" w:rsidRPr="00E5556B" w:rsidRDefault="0058651C" w:rsidP="00E5556B">
      <w:pPr>
        <w:outlineLvl w:val="0"/>
        <w:rPr>
          <w:rFonts w:ascii="Arial" w:hAnsi="Arial" w:cs="Arial"/>
          <w:bCs/>
          <w:sz w:val="22"/>
          <w:szCs w:val="22"/>
          <w:lang w:val="en-AU"/>
        </w:rPr>
      </w:pPr>
      <w:r>
        <w:rPr>
          <w:rFonts w:ascii="Arial" w:hAnsi="Arial" w:cs="Arial"/>
          <w:bCs/>
          <w:sz w:val="22"/>
          <w:szCs w:val="22"/>
        </w:rPr>
        <w:pict w14:anchorId="2C89B7EA">
          <v:shape id="_x0000_i1090" type="#_x0000_t75" style="width:57.05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C346A&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Pr=&quot;006C346A&quot; wsp:rsidRDefault=&quot;006C346A&quot; wsp:rsidP=&quot;006C346A&quot;&gt;&lt;m:oMathPara&gt;&lt;m:oMath&gt;&lt;m:nary&gt;&lt;m:naryPr&gt;&lt;m:chr m:val=&quot;‚àë&quot;/&gt;&lt;m:limLoc m:val=&quot;subSup&quot;/&gt;&lt;m:supHide m:val=&quot;1&quot;/&gt;&lt;m:ctrlPr&gt;&lt;w:rPr&gt;&lt;w:rFonts w:ascii=&quot;Cambria Math&quot; w:fareast=&quot;MS PGothic&quot; w:h-ansi=&quot;Cambria Math&quot;/&gt;&lt;wx:font wx:val=&quot;Cambria Math&quot;/&gt;&lt;w:i/&gt;&lt;w:sz w:val=&quot;20&quot;/&gt;&lt;w:lang w:val=&quot;EN-AU&quot; w:fareast=&quot;JA&quot;/&gt;&lt;/w:rPr&gt;&lt;/m:ctrlPr&gt;&lt;/m:naryPr&gt;&lt;m:sub&gt;&lt;m:r&gt;&lt;w:rPr&gt;&lt;w:rFonts w:ascii=&quot;Cambria Math&quot; w:fareast=&quot;MS PGothic&quot; w:h-ansi=&quot;Cambria Math&quot;/&gt;&lt;wx:font wx:val=&quot;Cambria Math&quot;/&gt;&lt;w:i/&gt;&lt;w:sz w:val=&quot;20&quot;/&gt;&lt;w:lang w:val=&quot;EN-AU&quot; w:fareast=&quot;JA&quot;/&gt;&lt;/w:rPr&gt;&lt;m:t&gt;j,k&lt;/m:t&gt;&lt;/m:r&gt;&lt;/m:sub&gt;&lt;m:sup/&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N&lt;/m:t&gt;&lt;/m:r&gt;&lt;/m:e&gt;&lt;m:sub&gt;&lt;m:r&gt;&lt;w:rPr&gt;&lt;w:rFonts w:ascii=&quot;Cambria Math&quot; w:fareast=&quot;MS PGothic&quot; w:h-ansi=&quot;Cambria Math&quot;/&gt;&lt;wx:font wx:val=&quot;Cambria Math&quot;/&gt;&lt;w:i/&gt;&lt;w:sz w:val=&quot;20&quot;/&gt;&lt;w:lang w:val=&quot;EN-AU&quot; w:fareast=&quot;JA&quot;/&gt;&lt;/w:rPr&gt;&lt;m:t&gt;jk&lt;/m:t&gt;&lt;/m:r&gt;&lt;/m:sub&gt;&lt;/m:sSub&gt;&lt;/m:e&gt;&lt;/m:nary&gt;&lt;m:r&gt;&lt;w:rPr&gt;&lt;w:rFonts w:ascii=&quot;Cambria Math&quot; w:fareast=&quot;MS PGothic&quot; w:h-ansi=&quot;Cambria Math&quot;/&gt;&lt;wx:font wx:val=&quot;Cambria Math&quot;/&gt;&lt;w:i/&gt;&lt;w:sz w:val=&quot;20&quot;/&gt;&lt;w:lang w:val=&quot;EN-AU&quot; w:fareast=&quot;JA&quot;/&gt;&lt;/w:rPr&gt;&lt;m:t&gt;=&lt;/m:t&gt;&lt;/m:r&gt;&lt;m:acc&gt;&lt;m:accPr&gt;&lt;m:chr m:val=&quot;ÃÖ&quot;/&gt;&lt;m:ctrlPr&gt;&lt;w:rPr&gt;&lt;w:rFonts w:ascii=&quot;Cambria Math&quot; w:fareast=&quot;MS PGothic&quot; w:h-ansi=&quot;Cambria Math&quot;/&gt;&lt;wx:font wx:val=&quot;Cambria Math&quot;/&gt;&lt;w:i/&gt;&lt;w:sz w:val=&quot;20&quot;/&gt;&lt;w:lang w:val=&quot;EN-AU&quot; w:fareast=&quot;JA&quot;/&gt;&lt;/w:rPr&gt;&lt;/m:ctrlPr&gt;&lt;/m:accPr&gt;&lt;m:e&gt;&lt;m:r&gt;&lt;w:rPr&gt;&lt;w:rFonts w:ascii=&quot;Cambria Math&quot; w:fareast=&quot;MS PGothic&quot; w:h-ansi=&quot;Cambria Math&quot;/&gt;&lt;wx:font wx:val=&quot;Cambria Math&quot;/&gt;&lt;w:i/&gt;&lt;w:sz w:val=&quot;20&quot;/&gt;&lt;w:lang w:val=&quot;EN-AU&quot; w:fareast=&quot;JA&quot;/&gt;&lt;/w:rPr&gt;&lt;m:t&gt;N&lt;/m:t&gt;&lt;/m:r&gt;&lt;/m:e&gt;&lt;/m:acc&gt;&lt;/m:oMath&gt;&lt;/m:oMathPara&gt;&lt;/w:p&gt;&lt;w:sectPr wsp:rsidR=&quot;00000000&quot; wsp:rsidRPr=&quot;006C346A&quot;&gt;&lt;w:pgSz w:w=&quot;12240&quot; w:h=&quot;15840&quot;/&gt;&lt;w:pgMar w:top=&quot;1440&quot; w:right=&quot;1440&quot; w:bottom=&quot;1440&quot; w:left=&quot;1440&quot; w:header=&quot;720&quot; w:footer=&quot;720&quot; w:gutter=&quot;0&quot;/&gt;&lt;w:cols w:space=&quot;720&quot;/&gt;&lt;/w:sectPr&gt;&lt;/wx:sect&gt;&lt;/w:body&gt;&lt;/w:wordDocument&gt;">
            <v:imagedata r:id="rId49" o:title="" chromakey="white"/>
          </v:shape>
        </w:pict>
      </w:r>
    </w:p>
    <w:p w14:paraId="5E271F33" w14:textId="77777777" w:rsidR="00E5556B" w:rsidRPr="00E5556B" w:rsidRDefault="00E5556B" w:rsidP="00E5556B">
      <w:pPr>
        <w:outlineLvl w:val="0"/>
        <w:rPr>
          <w:rFonts w:ascii="Arial" w:hAnsi="Arial" w:cs="Arial"/>
          <w:bCs/>
          <w:sz w:val="22"/>
          <w:szCs w:val="22"/>
          <w:lang w:val="en-AU"/>
        </w:rPr>
      </w:pPr>
    </w:p>
    <w:p w14:paraId="1DE4D453" w14:textId="7060EC8D" w:rsidR="00E5556B" w:rsidRPr="00E5556B" w:rsidRDefault="00E5556B" w:rsidP="00E5556B">
      <w:pPr>
        <w:outlineLvl w:val="0"/>
        <w:rPr>
          <w:rFonts w:ascii="Arial" w:hAnsi="Arial" w:cs="Arial"/>
          <w:bCs/>
          <w:sz w:val="22"/>
          <w:szCs w:val="22"/>
          <w:lang w:val="en-AU"/>
        </w:rPr>
      </w:pPr>
      <w:r w:rsidRPr="00E5556B">
        <w:rPr>
          <w:rFonts w:ascii="Arial" w:hAnsi="Arial" w:cs="Arial"/>
          <w:bCs/>
          <w:sz w:val="22"/>
          <w:szCs w:val="22"/>
          <w:lang w:val="en-AU"/>
        </w:rPr>
        <w:t xml:space="preserve">Finally, numerical methods are needed to solve this model. This entails running a strategic transport model to predict the impact of a project on travel costs, and then </w:t>
      </w:r>
      <w:r w:rsidR="001E131F">
        <w:rPr>
          <w:rFonts w:ascii="Arial" w:hAnsi="Arial" w:cs="Arial"/>
          <w:bCs/>
          <w:sz w:val="22"/>
          <w:szCs w:val="22"/>
          <w:lang w:val="en-AU"/>
        </w:rPr>
        <w:t xml:space="preserve">updating </w:t>
      </w:r>
      <w:r w:rsidR="001E131F">
        <w:rPr>
          <w:rFonts w:ascii="Arial" w:hAnsi="Arial" w:cs="Arial"/>
          <w:bCs/>
          <w:sz w:val="22"/>
          <w:szCs w:val="22"/>
          <w:lang w:val="en-AU"/>
        </w:rPr>
        <w:fldChar w:fldCharType="begin"/>
      </w:r>
      <w:r w:rsidR="001E131F">
        <w:rPr>
          <w:rFonts w:ascii="Arial" w:hAnsi="Arial" w:cs="Arial"/>
          <w:bCs/>
          <w:sz w:val="22"/>
          <w:szCs w:val="22"/>
          <w:lang w:val="en-AU"/>
        </w:rPr>
        <w:instrText xml:space="preserve"> REF _Ref32436087 \h </w:instrText>
      </w:r>
      <w:r w:rsidR="001E131F">
        <w:rPr>
          <w:rFonts w:ascii="Arial" w:hAnsi="Arial" w:cs="Arial"/>
          <w:bCs/>
          <w:sz w:val="22"/>
          <w:szCs w:val="22"/>
          <w:lang w:val="en-AU"/>
        </w:rPr>
      </w:r>
      <w:r w:rsidR="001E131F">
        <w:rPr>
          <w:rFonts w:ascii="Arial" w:hAnsi="Arial" w:cs="Arial"/>
          <w:bCs/>
          <w:sz w:val="22"/>
          <w:szCs w:val="22"/>
          <w:lang w:val="en-AU"/>
        </w:rPr>
        <w:fldChar w:fldCharType="separate"/>
      </w:r>
      <w:r w:rsidR="001E131F" w:rsidRPr="00E5556B">
        <w:rPr>
          <w:rFonts w:ascii="Arial" w:hAnsi="Arial" w:cs="Arial"/>
          <w:b/>
          <w:bCs/>
          <w:i/>
          <w:sz w:val="22"/>
          <w:szCs w:val="22"/>
          <w:lang w:val="en-AU"/>
        </w:rPr>
        <w:t xml:space="preserve">Equation </w:t>
      </w:r>
      <w:r w:rsidR="001E131F">
        <w:rPr>
          <w:rFonts w:ascii="Arial" w:hAnsi="Arial" w:cs="Arial"/>
          <w:b/>
          <w:bCs/>
          <w:i/>
          <w:noProof/>
          <w:sz w:val="22"/>
          <w:szCs w:val="22"/>
          <w:lang w:val="en-AU"/>
        </w:rPr>
        <w:t>5</w:t>
      </w:r>
      <w:r w:rsidR="001E131F">
        <w:rPr>
          <w:rFonts w:ascii="Arial" w:hAnsi="Arial" w:cs="Arial"/>
          <w:bCs/>
          <w:sz w:val="22"/>
          <w:szCs w:val="22"/>
          <w:lang w:val="en-AU"/>
        </w:rPr>
        <w:fldChar w:fldCharType="end"/>
      </w:r>
      <w:r w:rsidR="001E131F">
        <w:rPr>
          <w:rFonts w:ascii="Arial" w:hAnsi="Arial" w:cs="Arial"/>
          <w:bCs/>
          <w:sz w:val="22"/>
          <w:szCs w:val="22"/>
          <w:lang w:val="en-AU"/>
        </w:rPr>
        <w:t xml:space="preserve"> and </w:t>
      </w:r>
      <w:r w:rsidR="001E131F">
        <w:rPr>
          <w:rFonts w:ascii="Arial" w:hAnsi="Arial" w:cs="Arial"/>
          <w:bCs/>
          <w:sz w:val="22"/>
          <w:szCs w:val="22"/>
          <w:lang w:val="en-AU"/>
        </w:rPr>
        <w:fldChar w:fldCharType="begin"/>
      </w:r>
      <w:r w:rsidR="001E131F">
        <w:rPr>
          <w:rFonts w:ascii="Arial" w:hAnsi="Arial" w:cs="Arial"/>
          <w:bCs/>
          <w:sz w:val="22"/>
          <w:szCs w:val="22"/>
          <w:lang w:val="en-AU"/>
        </w:rPr>
        <w:instrText xml:space="preserve"> REF _Ref32525070 \h </w:instrText>
      </w:r>
      <w:r w:rsidR="001E131F">
        <w:rPr>
          <w:rFonts w:ascii="Arial" w:hAnsi="Arial" w:cs="Arial"/>
          <w:bCs/>
          <w:sz w:val="22"/>
          <w:szCs w:val="22"/>
          <w:lang w:val="en-AU"/>
        </w:rPr>
      </w:r>
      <w:r w:rsidR="001E131F">
        <w:rPr>
          <w:rFonts w:ascii="Arial" w:hAnsi="Arial" w:cs="Arial"/>
          <w:bCs/>
          <w:sz w:val="22"/>
          <w:szCs w:val="22"/>
          <w:lang w:val="en-AU"/>
        </w:rPr>
        <w:fldChar w:fldCharType="separate"/>
      </w:r>
      <w:r w:rsidR="001E131F" w:rsidRPr="00E5556B">
        <w:rPr>
          <w:rFonts w:ascii="Arial" w:hAnsi="Arial" w:cs="Arial"/>
          <w:b/>
          <w:bCs/>
          <w:i/>
          <w:sz w:val="22"/>
          <w:szCs w:val="22"/>
          <w:lang w:val="en-AU"/>
        </w:rPr>
        <w:t xml:space="preserve">Equation </w:t>
      </w:r>
      <w:r w:rsidR="001E131F">
        <w:rPr>
          <w:rFonts w:ascii="Arial" w:hAnsi="Arial" w:cs="Arial"/>
          <w:b/>
          <w:bCs/>
          <w:i/>
          <w:noProof/>
          <w:sz w:val="22"/>
          <w:szCs w:val="22"/>
          <w:lang w:val="en-AU"/>
        </w:rPr>
        <w:t>11</w:t>
      </w:r>
      <w:r w:rsidR="001E131F">
        <w:rPr>
          <w:rFonts w:ascii="Arial" w:hAnsi="Arial" w:cs="Arial"/>
          <w:bCs/>
          <w:sz w:val="22"/>
          <w:szCs w:val="22"/>
          <w:lang w:val="en-AU"/>
        </w:rPr>
        <w:fldChar w:fldCharType="end"/>
      </w:r>
      <w:r w:rsidRPr="00E5556B">
        <w:rPr>
          <w:rFonts w:ascii="Arial" w:hAnsi="Arial" w:cs="Arial"/>
          <w:bCs/>
          <w:sz w:val="22"/>
          <w:szCs w:val="22"/>
          <w:lang w:val="en-AU"/>
        </w:rPr>
        <w:t xml:space="preserve"> in iterative fashion until they converge on a single solution. Ideally, this would also involve iteration between the above land use change model and the strategic transport model.</w:t>
      </w:r>
    </w:p>
    <w:p w14:paraId="6B103D15" w14:textId="77777777" w:rsidR="00E5556B" w:rsidRDefault="00E5556B" w:rsidP="0051052A">
      <w:pPr>
        <w:outlineLvl w:val="0"/>
        <w:rPr>
          <w:rFonts w:ascii="Arial" w:hAnsi="Arial" w:cs="Arial"/>
          <w:bCs/>
          <w:sz w:val="22"/>
          <w:szCs w:val="22"/>
          <w:lang w:val="en-AU"/>
        </w:rPr>
      </w:pPr>
    </w:p>
    <w:p w14:paraId="23843C39" w14:textId="2790A5CD" w:rsidR="00054CD6" w:rsidRPr="00454559" w:rsidRDefault="00054CD6" w:rsidP="00054CD6">
      <w:pPr>
        <w:numPr>
          <w:ilvl w:val="1"/>
          <w:numId w:val="6"/>
        </w:numPr>
        <w:outlineLvl w:val="0"/>
        <w:rPr>
          <w:rFonts w:ascii="Arial" w:hAnsi="Arial" w:cs="Arial"/>
          <w:b/>
          <w:bCs/>
          <w:i/>
          <w:iCs/>
          <w:sz w:val="22"/>
          <w:szCs w:val="22"/>
          <w:lang w:val="en-AU"/>
        </w:rPr>
      </w:pPr>
      <w:r>
        <w:rPr>
          <w:rFonts w:ascii="Arial" w:hAnsi="Arial" w:cs="Arial"/>
          <w:b/>
          <w:bCs/>
          <w:i/>
          <w:iCs/>
          <w:sz w:val="22"/>
          <w:szCs w:val="22"/>
          <w:lang w:val="en-AU"/>
        </w:rPr>
        <w:t>Notes on model estimation</w:t>
      </w:r>
    </w:p>
    <w:p w14:paraId="0B851BE4" w14:textId="17AFB395" w:rsidR="004021C5" w:rsidRPr="004021C5" w:rsidRDefault="005411F5" w:rsidP="005411F5">
      <w:pPr>
        <w:outlineLvl w:val="0"/>
        <w:rPr>
          <w:rFonts w:ascii="Arial" w:hAnsi="Arial" w:cs="Arial"/>
          <w:bCs/>
          <w:sz w:val="22"/>
          <w:szCs w:val="22"/>
          <w:lang w:val="en-AU"/>
        </w:rPr>
      </w:pPr>
      <w:r>
        <w:rPr>
          <w:rFonts w:ascii="Arial" w:hAnsi="Arial" w:cs="Arial"/>
          <w:bCs/>
          <w:sz w:val="22"/>
          <w:szCs w:val="22"/>
          <w:lang w:val="en-AU"/>
        </w:rPr>
        <w:lastRenderedPageBreak/>
        <w:t>The next step is to estimate the key parameters of this model and apply it to a case study project. The model can be estimated using the following key sources of data, which are either currently available or expected to be available upon request for the Wellington region.</w:t>
      </w:r>
    </w:p>
    <w:p w14:paraId="0C8BBB65" w14:textId="77777777" w:rsidR="004021C5" w:rsidRPr="004021C5" w:rsidRDefault="004021C5" w:rsidP="004021C5">
      <w:pPr>
        <w:outlineLvl w:val="0"/>
        <w:rPr>
          <w:rFonts w:ascii="Arial" w:hAnsi="Arial" w:cs="Arial"/>
          <w:bCs/>
          <w:sz w:val="22"/>
          <w:szCs w:val="22"/>
          <w:lang w:val="en-AU"/>
        </w:rPr>
      </w:pPr>
    </w:p>
    <w:p w14:paraId="67A0C2B1" w14:textId="77777777" w:rsidR="004021C5" w:rsidRPr="004021C5" w:rsidRDefault="004021C5" w:rsidP="004021C5">
      <w:pPr>
        <w:outlineLvl w:val="0"/>
        <w:rPr>
          <w:rFonts w:ascii="Arial" w:hAnsi="Arial" w:cs="Arial"/>
          <w:b/>
          <w:bCs/>
          <w:i/>
          <w:sz w:val="22"/>
          <w:szCs w:val="22"/>
          <w:lang w:val="en-AU"/>
        </w:rPr>
      </w:pPr>
      <w:r w:rsidRPr="004021C5">
        <w:rPr>
          <w:rFonts w:ascii="Arial" w:hAnsi="Arial" w:cs="Arial"/>
          <w:b/>
          <w:bCs/>
          <w:i/>
          <w:sz w:val="22"/>
          <w:szCs w:val="22"/>
          <w:lang w:val="en-AU"/>
        </w:rPr>
        <w:t xml:space="preserve">Table </w:t>
      </w:r>
      <w:r w:rsidRPr="004021C5">
        <w:rPr>
          <w:rFonts w:ascii="Arial" w:hAnsi="Arial" w:cs="Arial"/>
          <w:b/>
          <w:bCs/>
          <w:i/>
          <w:sz w:val="22"/>
          <w:szCs w:val="22"/>
          <w:lang w:val="en-AU"/>
        </w:rPr>
        <w:fldChar w:fldCharType="begin"/>
      </w:r>
      <w:r w:rsidRPr="004021C5">
        <w:rPr>
          <w:rFonts w:ascii="Arial" w:hAnsi="Arial" w:cs="Arial"/>
          <w:b/>
          <w:bCs/>
          <w:i/>
          <w:sz w:val="22"/>
          <w:szCs w:val="22"/>
          <w:lang w:val="en-AU"/>
        </w:rPr>
        <w:instrText xml:space="preserve"> SEQ Table \* ARABIC </w:instrText>
      </w:r>
      <w:r w:rsidRPr="004021C5">
        <w:rPr>
          <w:rFonts w:ascii="Arial" w:hAnsi="Arial" w:cs="Arial"/>
          <w:b/>
          <w:bCs/>
          <w:i/>
          <w:sz w:val="22"/>
          <w:szCs w:val="22"/>
          <w:lang w:val="en-AU"/>
        </w:rPr>
        <w:fldChar w:fldCharType="separate"/>
      </w:r>
      <w:r>
        <w:rPr>
          <w:rFonts w:ascii="Arial" w:hAnsi="Arial" w:cs="Arial"/>
          <w:b/>
          <w:bCs/>
          <w:i/>
          <w:noProof/>
          <w:sz w:val="22"/>
          <w:szCs w:val="22"/>
          <w:lang w:val="en-AU"/>
        </w:rPr>
        <w:t>3</w:t>
      </w:r>
      <w:r w:rsidRPr="004021C5">
        <w:rPr>
          <w:rFonts w:ascii="Arial" w:hAnsi="Arial" w:cs="Arial"/>
          <w:bCs/>
          <w:sz w:val="22"/>
          <w:szCs w:val="22"/>
          <w:lang w:val="en-AU"/>
        </w:rPr>
        <w:fldChar w:fldCharType="end"/>
      </w:r>
      <w:r w:rsidRPr="004021C5">
        <w:rPr>
          <w:rFonts w:ascii="Arial" w:hAnsi="Arial" w:cs="Arial"/>
          <w:b/>
          <w:bCs/>
          <w:i/>
          <w:sz w:val="22"/>
          <w:szCs w:val="22"/>
          <w:lang w:val="en-AU"/>
        </w:rPr>
        <w:t>: Required data for model estimation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4341"/>
        <w:gridCol w:w="4344"/>
      </w:tblGrid>
      <w:tr w:rsidR="00921B28" w:rsidRPr="00921B28" w14:paraId="520DD0A0" w14:textId="77777777" w:rsidTr="00921B28">
        <w:tc>
          <w:tcPr>
            <w:tcW w:w="1176" w:type="dxa"/>
            <w:shd w:val="clear" w:color="auto" w:fill="auto"/>
          </w:tcPr>
          <w:p w14:paraId="1D59F890" w14:textId="77777777" w:rsidR="004021C5" w:rsidRPr="00921B28" w:rsidRDefault="004021C5" w:rsidP="00921B28">
            <w:pPr>
              <w:outlineLvl w:val="0"/>
              <w:rPr>
                <w:rFonts w:ascii="Arial" w:hAnsi="Arial" w:cs="Arial"/>
                <w:b/>
                <w:bCs/>
                <w:sz w:val="22"/>
                <w:szCs w:val="22"/>
                <w:lang w:val="en-AU"/>
              </w:rPr>
            </w:pPr>
            <w:r w:rsidRPr="00921B28">
              <w:rPr>
                <w:rFonts w:ascii="Arial" w:hAnsi="Arial" w:cs="Arial"/>
                <w:b/>
                <w:bCs/>
                <w:sz w:val="22"/>
                <w:szCs w:val="22"/>
                <w:lang w:val="en-AU"/>
              </w:rPr>
              <w:t>Variable</w:t>
            </w:r>
          </w:p>
        </w:tc>
        <w:tc>
          <w:tcPr>
            <w:tcW w:w="4509" w:type="dxa"/>
            <w:shd w:val="clear" w:color="auto" w:fill="auto"/>
          </w:tcPr>
          <w:p w14:paraId="1FA1743F" w14:textId="77777777" w:rsidR="004021C5" w:rsidRPr="00921B28" w:rsidRDefault="004021C5" w:rsidP="00921B28">
            <w:pPr>
              <w:outlineLvl w:val="0"/>
              <w:rPr>
                <w:rFonts w:ascii="Arial" w:hAnsi="Arial" w:cs="Arial"/>
                <w:b/>
                <w:bCs/>
                <w:sz w:val="22"/>
                <w:szCs w:val="22"/>
                <w:lang w:val="en-AU"/>
              </w:rPr>
            </w:pPr>
            <w:r w:rsidRPr="00921B28">
              <w:rPr>
                <w:rFonts w:ascii="Arial" w:hAnsi="Arial" w:cs="Arial"/>
                <w:b/>
                <w:bCs/>
                <w:sz w:val="22"/>
                <w:szCs w:val="22"/>
                <w:lang w:val="en-AU"/>
              </w:rPr>
              <w:t>Source</w:t>
            </w:r>
          </w:p>
        </w:tc>
        <w:tc>
          <w:tcPr>
            <w:tcW w:w="4510" w:type="dxa"/>
            <w:shd w:val="clear" w:color="auto" w:fill="auto"/>
          </w:tcPr>
          <w:p w14:paraId="0FF556C0" w14:textId="77777777" w:rsidR="004021C5" w:rsidRPr="00921B28" w:rsidRDefault="004021C5" w:rsidP="00921B28">
            <w:pPr>
              <w:outlineLvl w:val="0"/>
              <w:rPr>
                <w:rFonts w:ascii="Arial" w:hAnsi="Arial" w:cs="Arial"/>
                <w:b/>
                <w:bCs/>
                <w:sz w:val="22"/>
                <w:szCs w:val="22"/>
                <w:lang w:val="en-AU"/>
              </w:rPr>
            </w:pPr>
            <w:r w:rsidRPr="00921B28">
              <w:rPr>
                <w:rFonts w:ascii="Arial" w:hAnsi="Arial" w:cs="Arial"/>
                <w:b/>
                <w:bCs/>
                <w:sz w:val="22"/>
                <w:szCs w:val="22"/>
                <w:lang w:val="en-AU"/>
              </w:rPr>
              <w:t>Status</w:t>
            </w:r>
          </w:p>
        </w:tc>
      </w:tr>
      <w:tr w:rsidR="00921B28" w:rsidRPr="00921B28" w14:paraId="5D7C6D23" w14:textId="77777777" w:rsidTr="00921B28">
        <w:tc>
          <w:tcPr>
            <w:tcW w:w="1176" w:type="dxa"/>
            <w:shd w:val="clear" w:color="auto" w:fill="auto"/>
          </w:tcPr>
          <w:p w14:paraId="770971E6"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N</w:t>
            </w:r>
            <w:r w:rsidRPr="00921B28">
              <w:rPr>
                <w:rFonts w:ascii="Arial" w:hAnsi="Arial" w:cs="Arial"/>
                <w:bCs/>
                <w:sz w:val="22"/>
                <w:szCs w:val="22"/>
                <w:vertAlign w:val="subscript"/>
                <w:lang w:val="en-AU"/>
              </w:rPr>
              <w:t>jk</w:t>
            </w:r>
          </w:p>
        </w:tc>
        <w:tc>
          <w:tcPr>
            <w:tcW w:w="4509" w:type="dxa"/>
            <w:shd w:val="clear" w:color="auto" w:fill="auto"/>
          </w:tcPr>
          <w:p w14:paraId="40637459"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2013 Census (custom data request)</w:t>
            </w:r>
          </w:p>
        </w:tc>
        <w:tc>
          <w:tcPr>
            <w:tcW w:w="4510" w:type="dxa"/>
            <w:shd w:val="clear" w:color="auto" w:fill="auto"/>
          </w:tcPr>
          <w:p w14:paraId="42735479"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Available as this data was used in previous research (Nunns, 2019)</w:t>
            </w:r>
          </w:p>
        </w:tc>
      </w:tr>
      <w:tr w:rsidR="00921B28" w:rsidRPr="00921B28" w14:paraId="17723D5E" w14:textId="77777777" w:rsidTr="00921B28">
        <w:tc>
          <w:tcPr>
            <w:tcW w:w="1176" w:type="dxa"/>
            <w:shd w:val="clear" w:color="auto" w:fill="auto"/>
          </w:tcPr>
          <w:p w14:paraId="0973C6FD"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GC</w:t>
            </w:r>
            <w:r w:rsidRPr="00921B28">
              <w:rPr>
                <w:rFonts w:ascii="Arial" w:hAnsi="Arial" w:cs="Arial"/>
                <w:bCs/>
                <w:sz w:val="22"/>
                <w:szCs w:val="22"/>
                <w:vertAlign w:val="subscript"/>
                <w:lang w:val="en-AU"/>
              </w:rPr>
              <w:t>jk</w:t>
            </w:r>
          </w:p>
        </w:tc>
        <w:tc>
          <w:tcPr>
            <w:tcW w:w="4509" w:type="dxa"/>
            <w:shd w:val="clear" w:color="auto" w:fill="auto"/>
          </w:tcPr>
          <w:p w14:paraId="39A58145"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Wellington Transport Strategy Model (WTSM) 2013 base year outputs</w:t>
            </w:r>
          </w:p>
        </w:tc>
        <w:tc>
          <w:tcPr>
            <w:tcW w:w="4510" w:type="dxa"/>
            <w:shd w:val="clear" w:color="auto" w:fill="auto"/>
          </w:tcPr>
          <w:p w14:paraId="1D5D1819"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Available as this data was used in previous research (Nunns, 2019). Code to analyse WTSM model outputs is available but will need to be adapted.</w:t>
            </w:r>
          </w:p>
        </w:tc>
      </w:tr>
      <w:tr w:rsidR="00921B28" w:rsidRPr="00921B28" w14:paraId="7630D55D" w14:textId="77777777" w:rsidTr="00921B28">
        <w:tc>
          <w:tcPr>
            <w:tcW w:w="1176" w:type="dxa"/>
            <w:shd w:val="clear" w:color="auto" w:fill="auto"/>
          </w:tcPr>
          <w:p w14:paraId="14A9012A"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P</w:t>
            </w:r>
            <w:r w:rsidRPr="00921B28">
              <w:rPr>
                <w:rFonts w:ascii="Arial" w:hAnsi="Arial" w:cs="Arial"/>
                <w:bCs/>
                <w:sz w:val="22"/>
                <w:szCs w:val="22"/>
                <w:vertAlign w:val="subscript"/>
                <w:lang w:val="en-AU"/>
              </w:rPr>
              <w:t>j</w:t>
            </w:r>
          </w:p>
        </w:tc>
        <w:tc>
          <w:tcPr>
            <w:tcW w:w="4509" w:type="dxa"/>
            <w:shd w:val="clear" w:color="auto" w:fill="auto"/>
          </w:tcPr>
          <w:p w14:paraId="329E5CB5"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Preferred source: Quality-adjusted house price estimates based on house sale microdata (Wellington City Council and other councils)</w:t>
            </w:r>
          </w:p>
          <w:p w14:paraId="00576B4B"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Alternative source: Mean dwelling rents from 2013 Census</w:t>
            </w:r>
          </w:p>
        </w:tc>
        <w:tc>
          <w:tcPr>
            <w:tcW w:w="4510" w:type="dxa"/>
            <w:shd w:val="clear" w:color="auto" w:fill="auto"/>
          </w:tcPr>
          <w:p w14:paraId="34BBC010"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House sale microdata potentially available from Wellington City Council; similar data previously analysed in Nunns (2018)</w:t>
            </w:r>
          </w:p>
          <w:p w14:paraId="21C3F8E9"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Census rent data is readily available</w:t>
            </w:r>
          </w:p>
        </w:tc>
      </w:tr>
      <w:tr w:rsidR="00921B28" w:rsidRPr="00921B28" w14:paraId="28249FE5" w14:textId="77777777" w:rsidTr="00921B28">
        <w:tc>
          <w:tcPr>
            <w:tcW w:w="1176" w:type="dxa"/>
            <w:shd w:val="clear" w:color="auto" w:fill="auto"/>
          </w:tcPr>
          <w:p w14:paraId="4A763F01"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K</w:t>
            </w:r>
            <w:r w:rsidRPr="00921B28">
              <w:rPr>
                <w:rFonts w:ascii="Arial" w:hAnsi="Arial" w:cs="Arial"/>
                <w:bCs/>
                <w:sz w:val="22"/>
                <w:szCs w:val="22"/>
                <w:vertAlign w:val="subscript"/>
                <w:lang w:val="en-AU"/>
              </w:rPr>
              <w:t>j</w:t>
            </w:r>
          </w:p>
        </w:tc>
        <w:tc>
          <w:tcPr>
            <w:tcW w:w="4509" w:type="dxa"/>
            <w:shd w:val="clear" w:color="auto" w:fill="auto"/>
          </w:tcPr>
          <w:p w14:paraId="355BEAB2"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Preferred source: Wellington development capacity modelling (from 2019 NPS-UDC Housing and Business Assessment)</w:t>
            </w:r>
          </w:p>
          <w:p w14:paraId="224786A2"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Alternative source: If development capacity / zoning data is not available, simply use land area</w:t>
            </w:r>
          </w:p>
        </w:tc>
        <w:tc>
          <w:tcPr>
            <w:tcW w:w="4510" w:type="dxa"/>
            <w:shd w:val="clear" w:color="auto" w:fill="auto"/>
          </w:tcPr>
          <w:p w14:paraId="2D04B1C5" w14:textId="77777777" w:rsidR="004021C5" w:rsidRPr="00921B28" w:rsidRDefault="004021C5" w:rsidP="00921B28">
            <w:pPr>
              <w:outlineLvl w:val="0"/>
              <w:rPr>
                <w:rFonts w:ascii="Arial" w:hAnsi="Arial" w:cs="Arial"/>
                <w:bCs/>
                <w:sz w:val="22"/>
                <w:szCs w:val="22"/>
                <w:lang w:val="en-AU"/>
              </w:rPr>
            </w:pPr>
            <w:r w:rsidRPr="00921B28">
              <w:rPr>
                <w:rFonts w:ascii="Arial" w:hAnsi="Arial" w:cs="Arial"/>
                <w:bCs/>
                <w:sz w:val="22"/>
                <w:szCs w:val="22"/>
                <w:lang w:val="en-AU"/>
              </w:rPr>
              <w:t>Development capacity data potentially available from Wellington City Council</w:t>
            </w:r>
          </w:p>
        </w:tc>
      </w:tr>
    </w:tbl>
    <w:p w14:paraId="188587C6" w14:textId="77777777" w:rsidR="004021C5" w:rsidRPr="004021C5" w:rsidRDefault="004021C5" w:rsidP="004021C5">
      <w:pPr>
        <w:outlineLvl w:val="0"/>
        <w:rPr>
          <w:rFonts w:ascii="Arial" w:hAnsi="Arial" w:cs="Arial"/>
          <w:bCs/>
          <w:sz w:val="22"/>
          <w:szCs w:val="22"/>
          <w:lang w:val="en-AU"/>
        </w:rPr>
      </w:pPr>
    </w:p>
    <w:p w14:paraId="55B668FB" w14:textId="476F6D1C" w:rsidR="004021C5" w:rsidRPr="004021C5" w:rsidRDefault="004021C5" w:rsidP="004021C5">
      <w:pPr>
        <w:outlineLvl w:val="0"/>
        <w:rPr>
          <w:rFonts w:ascii="Arial" w:hAnsi="Arial" w:cs="Arial"/>
          <w:bCs/>
          <w:sz w:val="22"/>
          <w:szCs w:val="22"/>
          <w:lang w:val="en-AU"/>
        </w:rPr>
      </w:pPr>
      <w:r w:rsidRPr="004021C5">
        <w:rPr>
          <w:rFonts w:ascii="Arial" w:hAnsi="Arial" w:cs="Arial"/>
          <w:bCs/>
          <w:sz w:val="22"/>
          <w:szCs w:val="22"/>
          <w:lang w:val="en-AU"/>
        </w:rPr>
        <w:t xml:space="preserve">The parameters of </w:t>
      </w:r>
      <w:r>
        <w:rPr>
          <w:rFonts w:ascii="Arial" w:hAnsi="Arial" w:cs="Arial"/>
          <w:bCs/>
          <w:sz w:val="22"/>
          <w:szCs w:val="22"/>
          <w:lang w:val="en-AU"/>
        </w:rPr>
        <w:fldChar w:fldCharType="begin"/>
      </w:r>
      <w:r>
        <w:rPr>
          <w:rFonts w:ascii="Arial" w:hAnsi="Arial" w:cs="Arial"/>
          <w:bCs/>
          <w:sz w:val="22"/>
          <w:szCs w:val="22"/>
          <w:lang w:val="en-AU"/>
        </w:rPr>
        <w:instrText xml:space="preserve"> REF _Ref32436087 \h </w:instrText>
      </w:r>
      <w:r>
        <w:rPr>
          <w:rFonts w:ascii="Arial" w:hAnsi="Arial" w:cs="Arial"/>
          <w:bCs/>
          <w:sz w:val="22"/>
          <w:szCs w:val="22"/>
          <w:lang w:val="en-AU"/>
        </w:rPr>
      </w:r>
      <w:r>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5</w:t>
      </w:r>
      <w:r>
        <w:rPr>
          <w:rFonts w:ascii="Arial" w:hAnsi="Arial" w:cs="Arial"/>
          <w:bCs/>
          <w:sz w:val="22"/>
          <w:szCs w:val="22"/>
          <w:lang w:val="en-AU"/>
        </w:rPr>
        <w:fldChar w:fldCharType="end"/>
      </w:r>
      <w:r>
        <w:rPr>
          <w:rFonts w:ascii="Arial" w:hAnsi="Arial" w:cs="Arial"/>
          <w:bCs/>
          <w:sz w:val="22"/>
          <w:szCs w:val="22"/>
          <w:lang w:val="en-AU"/>
        </w:rPr>
        <w:t xml:space="preserve"> and </w:t>
      </w:r>
      <w:r>
        <w:rPr>
          <w:rFonts w:ascii="Arial" w:hAnsi="Arial" w:cs="Arial"/>
          <w:bCs/>
          <w:sz w:val="22"/>
          <w:szCs w:val="22"/>
          <w:lang w:val="en-AU"/>
        </w:rPr>
        <w:fldChar w:fldCharType="begin"/>
      </w:r>
      <w:r>
        <w:rPr>
          <w:rFonts w:ascii="Arial" w:hAnsi="Arial" w:cs="Arial"/>
          <w:bCs/>
          <w:sz w:val="22"/>
          <w:szCs w:val="22"/>
          <w:lang w:val="en-AU"/>
        </w:rPr>
        <w:instrText xml:space="preserve"> REF _Ref32525070 \h </w:instrText>
      </w:r>
      <w:r>
        <w:rPr>
          <w:rFonts w:ascii="Arial" w:hAnsi="Arial" w:cs="Arial"/>
          <w:bCs/>
          <w:sz w:val="22"/>
          <w:szCs w:val="22"/>
          <w:lang w:val="en-AU"/>
        </w:rPr>
      </w:r>
      <w:r>
        <w:rPr>
          <w:rFonts w:ascii="Arial" w:hAnsi="Arial" w:cs="Arial"/>
          <w:bCs/>
          <w:sz w:val="22"/>
          <w:szCs w:val="22"/>
          <w:lang w:val="en-AU"/>
        </w:rPr>
        <w:fldChar w:fldCharType="separate"/>
      </w:r>
      <w:r w:rsidRPr="00E5556B">
        <w:rPr>
          <w:rFonts w:ascii="Arial" w:hAnsi="Arial" w:cs="Arial"/>
          <w:b/>
          <w:bCs/>
          <w:i/>
          <w:sz w:val="22"/>
          <w:szCs w:val="22"/>
          <w:lang w:val="en-AU"/>
        </w:rPr>
        <w:t xml:space="preserve">Equation </w:t>
      </w:r>
      <w:r>
        <w:rPr>
          <w:rFonts w:ascii="Arial" w:hAnsi="Arial" w:cs="Arial"/>
          <w:b/>
          <w:bCs/>
          <w:i/>
          <w:noProof/>
          <w:sz w:val="22"/>
          <w:szCs w:val="22"/>
          <w:lang w:val="en-AU"/>
        </w:rPr>
        <w:t>11</w:t>
      </w:r>
      <w:r>
        <w:rPr>
          <w:rFonts w:ascii="Arial" w:hAnsi="Arial" w:cs="Arial"/>
          <w:bCs/>
          <w:sz w:val="22"/>
          <w:szCs w:val="22"/>
          <w:lang w:val="en-AU"/>
        </w:rPr>
        <w:fldChar w:fldCharType="end"/>
      </w:r>
      <w:r>
        <w:rPr>
          <w:rFonts w:ascii="Arial" w:hAnsi="Arial" w:cs="Arial"/>
          <w:bCs/>
          <w:sz w:val="22"/>
          <w:szCs w:val="22"/>
          <w:lang w:val="en-AU"/>
        </w:rPr>
        <w:t xml:space="preserve"> </w:t>
      </w:r>
      <w:r w:rsidRPr="004021C5">
        <w:rPr>
          <w:rFonts w:ascii="Arial" w:hAnsi="Arial" w:cs="Arial"/>
          <w:bCs/>
          <w:sz w:val="22"/>
          <w:szCs w:val="22"/>
          <w:lang w:val="en-AU"/>
        </w:rPr>
        <w:t>can be estimated on observed data using econometric techniques. The primary challenge is that several parameters are likely to be endogenous – that is, there is a potential ‘chicken and egg’ relationship between commuting flows and travel costs, and between local density and house prices.</w:t>
      </w:r>
    </w:p>
    <w:p w14:paraId="51E64BE9" w14:textId="77777777" w:rsidR="004021C5" w:rsidRPr="004021C5" w:rsidRDefault="004021C5" w:rsidP="004021C5">
      <w:pPr>
        <w:outlineLvl w:val="0"/>
        <w:rPr>
          <w:rFonts w:ascii="Arial" w:hAnsi="Arial" w:cs="Arial"/>
          <w:bCs/>
          <w:sz w:val="22"/>
          <w:szCs w:val="22"/>
          <w:lang w:val="en-AU"/>
        </w:rPr>
      </w:pPr>
    </w:p>
    <w:p w14:paraId="25D0F1CC" w14:textId="77777777" w:rsidR="00176E4C" w:rsidRDefault="004021C5" w:rsidP="00176E4C">
      <w:pPr>
        <w:outlineLvl w:val="0"/>
        <w:rPr>
          <w:rFonts w:ascii="Arial" w:hAnsi="Arial" w:cs="Arial"/>
          <w:bCs/>
          <w:sz w:val="22"/>
          <w:szCs w:val="22"/>
          <w:lang w:val="en-AU"/>
        </w:rPr>
      </w:pPr>
      <w:r w:rsidRPr="004021C5">
        <w:rPr>
          <w:rFonts w:ascii="Arial" w:hAnsi="Arial" w:cs="Arial"/>
          <w:bCs/>
          <w:sz w:val="22"/>
          <w:szCs w:val="22"/>
          <w:lang w:val="en-AU"/>
        </w:rPr>
        <w:t>This can be addressed using an</w:t>
      </w:r>
      <w:r>
        <w:rPr>
          <w:rFonts w:ascii="Arial" w:hAnsi="Arial" w:cs="Arial"/>
          <w:bCs/>
          <w:sz w:val="22"/>
          <w:szCs w:val="22"/>
          <w:lang w:val="en-AU"/>
        </w:rPr>
        <w:t xml:space="preserve"> instrumental variables approach</w:t>
      </w:r>
      <w:r w:rsidRPr="004021C5">
        <w:rPr>
          <w:rFonts w:ascii="Arial" w:hAnsi="Arial" w:cs="Arial"/>
          <w:bCs/>
          <w:sz w:val="22"/>
          <w:szCs w:val="22"/>
          <w:lang w:val="en-AU"/>
        </w:rPr>
        <w:t>. This entails identifying additional variables that are (a) correlated with the endogenous explanatory variable of interest but (b) not correlated with other unobserved factors that might influence the outcome variable.</w:t>
      </w:r>
      <w:r>
        <w:rPr>
          <w:rStyle w:val="FootnoteReference"/>
          <w:rFonts w:ascii="Arial" w:hAnsi="Arial" w:cs="Arial"/>
          <w:bCs/>
          <w:sz w:val="22"/>
          <w:szCs w:val="22"/>
          <w:lang w:val="en-AU"/>
        </w:rPr>
        <w:footnoteReference w:id="18"/>
      </w:r>
      <w:r>
        <w:rPr>
          <w:rFonts w:ascii="Arial" w:hAnsi="Arial" w:cs="Arial"/>
          <w:bCs/>
          <w:sz w:val="22"/>
          <w:szCs w:val="22"/>
          <w:lang w:val="en-AU"/>
        </w:rPr>
        <w:t xml:space="preserve"> </w:t>
      </w:r>
      <w:r w:rsidRPr="004021C5">
        <w:rPr>
          <w:rFonts w:ascii="Arial" w:hAnsi="Arial" w:cs="Arial"/>
          <w:bCs/>
          <w:sz w:val="22"/>
          <w:szCs w:val="22"/>
          <w:lang w:val="en-AU"/>
        </w:rPr>
        <w:t>Nunns (2019) identifies several valid instruments for transport costs that are based on the presence of exogenous geographic constraints (hil</w:t>
      </w:r>
      <w:r>
        <w:rPr>
          <w:rFonts w:ascii="Arial" w:hAnsi="Arial" w:cs="Arial"/>
          <w:bCs/>
          <w:sz w:val="22"/>
          <w:szCs w:val="22"/>
          <w:lang w:val="en-AU"/>
        </w:rPr>
        <w:t xml:space="preserve">ls and harbours, specifically), while </w:t>
      </w:r>
      <w:r w:rsidRPr="004021C5">
        <w:rPr>
          <w:rFonts w:ascii="Arial" w:hAnsi="Arial" w:cs="Arial"/>
          <w:bCs/>
          <w:sz w:val="22"/>
          <w:szCs w:val="22"/>
          <w:lang w:val="en-AU"/>
        </w:rPr>
        <w:t xml:space="preserve">Severn (2019) </w:t>
      </w:r>
      <w:r>
        <w:rPr>
          <w:rFonts w:ascii="Arial" w:hAnsi="Arial" w:cs="Arial"/>
          <w:bCs/>
          <w:sz w:val="22"/>
          <w:szCs w:val="22"/>
          <w:lang w:val="en-AU"/>
        </w:rPr>
        <w:t>suggests using</w:t>
      </w:r>
      <w:r w:rsidRPr="004021C5">
        <w:rPr>
          <w:rFonts w:ascii="Arial" w:hAnsi="Arial" w:cs="Arial"/>
          <w:bCs/>
          <w:sz w:val="22"/>
          <w:szCs w:val="22"/>
          <w:lang w:val="en-AU"/>
        </w:rPr>
        <w:t xml:space="preserve"> shift-share </w:t>
      </w:r>
      <w:r>
        <w:rPr>
          <w:rFonts w:ascii="Arial" w:hAnsi="Arial" w:cs="Arial"/>
          <w:bCs/>
          <w:sz w:val="22"/>
          <w:szCs w:val="22"/>
          <w:lang w:val="en-AU"/>
        </w:rPr>
        <w:t>variables</w:t>
      </w:r>
      <w:r w:rsidRPr="004021C5">
        <w:rPr>
          <w:rFonts w:ascii="Arial" w:hAnsi="Arial" w:cs="Arial"/>
          <w:bCs/>
          <w:sz w:val="22"/>
          <w:szCs w:val="22"/>
          <w:lang w:val="en-AU"/>
        </w:rPr>
        <w:t xml:space="preserve"> that predict local changes in housing demand based on pre-existing industry composition combined with national changes in employment. An alternative approach would be to rely upon the presence of historical infrastructure or public facilities that influence present-day density</w:t>
      </w:r>
      <w:r>
        <w:rPr>
          <w:rFonts w:ascii="Arial" w:hAnsi="Arial" w:cs="Arial"/>
          <w:bCs/>
          <w:sz w:val="22"/>
          <w:szCs w:val="22"/>
          <w:lang w:val="en-AU"/>
        </w:rPr>
        <w:t xml:space="preserve"> (MRCagney, 2019)</w:t>
      </w:r>
      <w:r w:rsidRPr="004021C5">
        <w:rPr>
          <w:rFonts w:ascii="Arial" w:hAnsi="Arial" w:cs="Arial"/>
          <w:bCs/>
          <w:sz w:val="22"/>
          <w:szCs w:val="22"/>
          <w:lang w:val="en-AU"/>
        </w:rPr>
        <w:t>.</w:t>
      </w:r>
    </w:p>
    <w:p w14:paraId="42210998" w14:textId="2D4F19E6" w:rsidR="00176E4C" w:rsidRPr="008119A9" w:rsidRDefault="00176E4C" w:rsidP="00176E4C">
      <w:pPr>
        <w:outlineLvl w:val="0"/>
        <w:rPr>
          <w:rFonts w:ascii="Arial" w:hAnsi="Arial" w:cs="Arial"/>
          <w:b/>
          <w:bCs/>
          <w:sz w:val="28"/>
          <w:szCs w:val="28"/>
        </w:rPr>
      </w:pPr>
    </w:p>
    <w:p w14:paraId="74CB965D" w14:textId="37C06C67" w:rsidR="00F93651" w:rsidRDefault="008119A9" w:rsidP="0051052A">
      <w:pPr>
        <w:outlineLvl w:val="0"/>
        <w:rPr>
          <w:rFonts w:ascii="Arial" w:hAnsi="Arial" w:cs="Arial"/>
          <w:sz w:val="22"/>
          <w:szCs w:val="22"/>
        </w:rPr>
      </w:pPr>
      <w:bookmarkStart w:id="14" w:name="_GoBack"/>
      <w:bookmarkEnd w:id="14"/>
      <w:r w:rsidRPr="008119A9">
        <w:rPr>
          <w:rFonts w:ascii="Arial" w:hAnsi="Arial" w:cs="Arial"/>
          <w:b/>
          <w:bCs/>
          <w:sz w:val="28"/>
          <w:szCs w:val="28"/>
        </w:rPr>
        <w:t>REFERENCES</w:t>
      </w:r>
    </w:p>
    <w:p w14:paraId="436E5E63" w14:textId="77777777" w:rsidR="00651EF7" w:rsidRPr="004138FC" w:rsidRDefault="00651EF7" w:rsidP="00651EF7">
      <w:pPr>
        <w:rPr>
          <w:rFonts w:ascii="Arial" w:hAnsi="Arial" w:cs="Arial"/>
          <w:sz w:val="16"/>
          <w:szCs w:val="16"/>
          <w:lang w:val="en-AU"/>
        </w:rPr>
      </w:pPr>
      <w:r w:rsidRPr="004138FC">
        <w:rPr>
          <w:rFonts w:ascii="Arial" w:hAnsi="Arial" w:cs="Arial"/>
          <w:sz w:val="16"/>
          <w:szCs w:val="16"/>
          <w:lang w:val="en-AU"/>
        </w:rPr>
        <w:t xml:space="preserve">Anas, A. and Xu, R., 1999. Congestion, land use, and job dispersion: a general equilibrium model. </w:t>
      </w:r>
      <w:r w:rsidRPr="004138FC">
        <w:rPr>
          <w:rFonts w:ascii="Arial" w:hAnsi="Arial" w:cs="Arial"/>
          <w:i/>
          <w:iCs/>
          <w:sz w:val="16"/>
          <w:szCs w:val="16"/>
          <w:lang w:val="en-AU"/>
        </w:rPr>
        <w:t>Journal of Urban Economics</w:t>
      </w:r>
      <w:r w:rsidRPr="004138FC">
        <w:rPr>
          <w:rFonts w:ascii="Arial" w:hAnsi="Arial" w:cs="Arial"/>
          <w:sz w:val="16"/>
          <w:szCs w:val="16"/>
          <w:lang w:val="en-AU"/>
        </w:rPr>
        <w:t xml:space="preserve">, </w:t>
      </w:r>
      <w:r w:rsidRPr="004138FC">
        <w:rPr>
          <w:rFonts w:ascii="Arial" w:hAnsi="Arial" w:cs="Arial"/>
          <w:i/>
          <w:iCs/>
          <w:sz w:val="16"/>
          <w:szCs w:val="16"/>
          <w:lang w:val="en-AU"/>
        </w:rPr>
        <w:t>45</w:t>
      </w:r>
      <w:r w:rsidRPr="004138FC">
        <w:rPr>
          <w:rFonts w:ascii="Arial" w:hAnsi="Arial" w:cs="Arial"/>
          <w:sz w:val="16"/>
          <w:szCs w:val="16"/>
          <w:lang w:val="en-AU"/>
        </w:rPr>
        <w:t>(3), pp.451-473.</w:t>
      </w:r>
    </w:p>
    <w:p w14:paraId="40D35C20" w14:textId="77777777" w:rsidR="00290415" w:rsidRPr="004138FC" w:rsidRDefault="00290415" w:rsidP="00290415">
      <w:pPr>
        <w:rPr>
          <w:rFonts w:ascii="Arial" w:hAnsi="Arial" w:cs="Arial"/>
          <w:sz w:val="16"/>
          <w:szCs w:val="16"/>
        </w:rPr>
      </w:pPr>
      <w:r w:rsidRPr="004138FC">
        <w:rPr>
          <w:rFonts w:ascii="Arial" w:hAnsi="Arial" w:cs="Arial"/>
          <w:sz w:val="16"/>
          <w:szCs w:val="16"/>
        </w:rPr>
        <w:t xml:space="preserve">Baum-Snow, N., 2007. Did highways cause suburbanization? </w:t>
      </w:r>
      <w:r w:rsidRPr="004138FC">
        <w:rPr>
          <w:rFonts w:ascii="Arial" w:hAnsi="Arial" w:cs="Arial"/>
          <w:i/>
          <w:iCs/>
          <w:sz w:val="16"/>
          <w:szCs w:val="16"/>
        </w:rPr>
        <w:t>The Quarterly Journal of Economics</w:t>
      </w:r>
      <w:r w:rsidRPr="004138FC">
        <w:rPr>
          <w:rFonts w:ascii="Arial" w:hAnsi="Arial" w:cs="Arial"/>
          <w:sz w:val="16"/>
          <w:szCs w:val="16"/>
        </w:rPr>
        <w:t xml:space="preserve">, </w:t>
      </w:r>
      <w:r w:rsidRPr="004138FC">
        <w:rPr>
          <w:rFonts w:ascii="Arial" w:hAnsi="Arial" w:cs="Arial"/>
          <w:i/>
          <w:iCs/>
          <w:sz w:val="16"/>
          <w:szCs w:val="16"/>
        </w:rPr>
        <w:t>122</w:t>
      </w:r>
      <w:r w:rsidRPr="004138FC">
        <w:rPr>
          <w:rFonts w:ascii="Arial" w:hAnsi="Arial" w:cs="Arial"/>
          <w:sz w:val="16"/>
          <w:szCs w:val="16"/>
        </w:rPr>
        <w:t>(2), pp.775-805.</w:t>
      </w:r>
    </w:p>
    <w:p w14:paraId="07821284" w14:textId="77777777" w:rsidR="00290415" w:rsidRPr="004138FC" w:rsidRDefault="00290415" w:rsidP="00290415">
      <w:pPr>
        <w:rPr>
          <w:rFonts w:ascii="MS Mincho" w:eastAsia="MS Mincho" w:hAnsi="MS Mincho" w:cs="MS Mincho"/>
          <w:sz w:val="16"/>
          <w:szCs w:val="16"/>
        </w:rPr>
      </w:pPr>
      <w:r w:rsidRPr="004138FC">
        <w:rPr>
          <w:rFonts w:ascii="Arial" w:hAnsi="Arial" w:cs="Arial"/>
          <w:sz w:val="16"/>
          <w:szCs w:val="16"/>
        </w:rPr>
        <w:t xml:space="preserve">Baum-Snow, N., 2010. Changes in transportation infrastructure and commuting patterns in US metropolitan areas, 1960-2000. </w:t>
      </w:r>
      <w:r w:rsidRPr="004138FC">
        <w:rPr>
          <w:rFonts w:ascii="Arial" w:hAnsi="Arial" w:cs="Arial"/>
          <w:i/>
          <w:iCs/>
          <w:sz w:val="16"/>
          <w:szCs w:val="16"/>
        </w:rPr>
        <w:t>American Economic Review</w:t>
      </w:r>
      <w:r w:rsidRPr="004138FC">
        <w:rPr>
          <w:rFonts w:ascii="Arial" w:hAnsi="Arial" w:cs="Arial"/>
          <w:sz w:val="16"/>
          <w:szCs w:val="16"/>
        </w:rPr>
        <w:t xml:space="preserve">, </w:t>
      </w:r>
      <w:r w:rsidRPr="004138FC">
        <w:rPr>
          <w:rFonts w:ascii="Arial" w:hAnsi="Arial" w:cs="Arial"/>
          <w:i/>
          <w:iCs/>
          <w:sz w:val="16"/>
          <w:szCs w:val="16"/>
        </w:rPr>
        <w:t>100</w:t>
      </w:r>
      <w:r w:rsidRPr="004138FC">
        <w:rPr>
          <w:rFonts w:ascii="Arial" w:hAnsi="Arial" w:cs="Arial"/>
          <w:sz w:val="16"/>
          <w:szCs w:val="16"/>
        </w:rPr>
        <w:t>(2), pp.378-82.</w:t>
      </w:r>
    </w:p>
    <w:p w14:paraId="2C4A95B7" w14:textId="5FDA95F2" w:rsidR="00290415" w:rsidRPr="004138FC" w:rsidRDefault="00290415" w:rsidP="00467137">
      <w:pPr>
        <w:rPr>
          <w:rFonts w:ascii="Arial" w:hAnsi="Arial" w:cs="Arial"/>
          <w:sz w:val="16"/>
          <w:szCs w:val="16"/>
          <w:lang w:val="en-AU"/>
        </w:rPr>
      </w:pPr>
      <w:r w:rsidRPr="004138FC">
        <w:rPr>
          <w:rFonts w:ascii="Arial" w:hAnsi="Arial" w:cs="Arial"/>
          <w:sz w:val="16"/>
          <w:szCs w:val="16"/>
          <w:lang w:val="en-AU"/>
        </w:rPr>
        <w:t xml:space="preserve">Boardman, A.E., Greenberg, D.H., Vining, A.R. and Weimer, D.L., 2011. </w:t>
      </w:r>
      <w:r w:rsidRPr="004138FC">
        <w:rPr>
          <w:rFonts w:ascii="Arial" w:hAnsi="Arial" w:cs="Arial"/>
          <w:i/>
          <w:iCs/>
          <w:sz w:val="16"/>
          <w:szCs w:val="16"/>
          <w:lang w:val="en-AU"/>
        </w:rPr>
        <w:t>Cost-benefit analysis: concepts and practice</w:t>
      </w:r>
      <w:r w:rsidRPr="004138FC">
        <w:rPr>
          <w:rFonts w:ascii="Arial" w:hAnsi="Arial" w:cs="Arial"/>
          <w:sz w:val="16"/>
          <w:szCs w:val="16"/>
          <w:lang w:val="en-AU"/>
        </w:rPr>
        <w:t>. Cambridge University Press.</w:t>
      </w:r>
    </w:p>
    <w:p w14:paraId="6D126D75" w14:textId="4F68D5AA" w:rsidR="00176E4C" w:rsidRPr="004138FC" w:rsidRDefault="00176E4C" w:rsidP="00467137">
      <w:pPr>
        <w:rPr>
          <w:rFonts w:ascii="Arial" w:hAnsi="Arial" w:cs="Arial"/>
          <w:sz w:val="16"/>
          <w:szCs w:val="16"/>
        </w:rPr>
      </w:pPr>
      <w:r w:rsidRPr="004138FC">
        <w:rPr>
          <w:rFonts w:ascii="Arial" w:hAnsi="Arial" w:cs="Arial"/>
          <w:sz w:val="16"/>
          <w:szCs w:val="16"/>
        </w:rPr>
        <w:t xml:space="preserve">Brand, S., 1995. </w:t>
      </w:r>
      <w:r w:rsidRPr="00EA2A6A">
        <w:rPr>
          <w:rFonts w:ascii="Arial" w:hAnsi="Arial" w:cs="Arial"/>
          <w:i/>
          <w:sz w:val="16"/>
          <w:szCs w:val="16"/>
        </w:rPr>
        <w:t>How buildings learn: What happens after they're built</w:t>
      </w:r>
      <w:r w:rsidRPr="004138FC">
        <w:rPr>
          <w:rFonts w:ascii="Arial" w:hAnsi="Arial" w:cs="Arial"/>
          <w:sz w:val="16"/>
          <w:szCs w:val="16"/>
        </w:rPr>
        <w:t>. Penguin.</w:t>
      </w:r>
    </w:p>
    <w:p w14:paraId="5475E786" w14:textId="77A7C74F" w:rsidR="00651EF7" w:rsidRPr="004138FC" w:rsidRDefault="00651EF7" w:rsidP="00651EF7">
      <w:pPr>
        <w:rPr>
          <w:rFonts w:ascii="Arial" w:hAnsi="Arial" w:cs="Arial"/>
          <w:sz w:val="16"/>
          <w:szCs w:val="16"/>
          <w:lang w:val="en-AU"/>
        </w:rPr>
      </w:pPr>
      <w:r w:rsidRPr="004138FC">
        <w:rPr>
          <w:rFonts w:ascii="Arial" w:hAnsi="Arial" w:cs="Arial"/>
          <w:sz w:val="16"/>
          <w:szCs w:val="16"/>
          <w:lang w:val="en-AU"/>
        </w:rPr>
        <w:t xml:space="preserve">Brinkman, J., 2016. Congestion, agglomeration, and the structure of cities. </w:t>
      </w:r>
      <w:r w:rsidRPr="004138FC">
        <w:rPr>
          <w:rFonts w:ascii="Arial" w:hAnsi="Arial" w:cs="Arial"/>
          <w:i/>
          <w:iCs/>
          <w:sz w:val="16"/>
          <w:szCs w:val="16"/>
          <w:lang w:val="en-AU"/>
        </w:rPr>
        <w:t>Journal of Urban Economics</w:t>
      </w:r>
      <w:r w:rsidRPr="004138FC">
        <w:rPr>
          <w:rFonts w:ascii="Arial" w:hAnsi="Arial" w:cs="Arial"/>
          <w:sz w:val="16"/>
          <w:szCs w:val="16"/>
          <w:lang w:val="en-AU"/>
        </w:rPr>
        <w:t xml:space="preserve">, </w:t>
      </w:r>
      <w:r w:rsidRPr="004138FC">
        <w:rPr>
          <w:rFonts w:ascii="Arial" w:hAnsi="Arial" w:cs="Arial"/>
          <w:i/>
          <w:iCs/>
          <w:sz w:val="16"/>
          <w:szCs w:val="16"/>
          <w:lang w:val="en-AU"/>
        </w:rPr>
        <w:t>94</w:t>
      </w:r>
      <w:r w:rsidRPr="004138FC">
        <w:rPr>
          <w:rFonts w:ascii="Arial" w:hAnsi="Arial" w:cs="Arial"/>
          <w:sz w:val="16"/>
          <w:szCs w:val="16"/>
          <w:lang w:val="en-AU"/>
        </w:rPr>
        <w:t>, pp.13-31.</w:t>
      </w:r>
    </w:p>
    <w:p w14:paraId="5FB8CCE5" w14:textId="73DE2482" w:rsidR="0081394B" w:rsidRPr="004138FC" w:rsidRDefault="00DC5758" w:rsidP="00467137">
      <w:pPr>
        <w:rPr>
          <w:rFonts w:ascii="Arial" w:hAnsi="Arial" w:cs="Arial"/>
          <w:sz w:val="16"/>
          <w:szCs w:val="16"/>
        </w:rPr>
      </w:pPr>
      <w:r w:rsidRPr="004138FC">
        <w:rPr>
          <w:rFonts w:ascii="Arial" w:hAnsi="Arial" w:cs="Arial"/>
          <w:sz w:val="16"/>
          <w:szCs w:val="16"/>
        </w:rPr>
        <w:t xml:space="preserve">Brinkman, J. and Lin, J., 2017. </w:t>
      </w:r>
      <w:r w:rsidRPr="004138FC">
        <w:rPr>
          <w:rFonts w:ascii="Arial" w:hAnsi="Arial" w:cs="Arial"/>
          <w:i/>
          <w:iCs/>
          <w:sz w:val="16"/>
          <w:szCs w:val="16"/>
        </w:rPr>
        <w:t>Freeway Revolts</w:t>
      </w:r>
      <w:r w:rsidRPr="004138FC">
        <w:rPr>
          <w:rFonts w:ascii="Arial" w:hAnsi="Arial" w:cs="Arial"/>
          <w:sz w:val="16"/>
          <w:szCs w:val="16"/>
        </w:rPr>
        <w:t>. Working Paper.</w:t>
      </w:r>
    </w:p>
    <w:p w14:paraId="0C847323" w14:textId="6710B0B5" w:rsidR="0095386A" w:rsidRPr="004138FC" w:rsidRDefault="0095386A" w:rsidP="00467137">
      <w:pPr>
        <w:rPr>
          <w:rFonts w:ascii="Arial" w:hAnsi="Arial" w:cs="Arial"/>
          <w:sz w:val="16"/>
          <w:szCs w:val="16"/>
          <w:lang w:val="en-AU"/>
        </w:rPr>
      </w:pPr>
      <w:r w:rsidRPr="004138FC">
        <w:rPr>
          <w:rFonts w:ascii="Arial" w:hAnsi="Arial" w:cs="Arial"/>
          <w:sz w:val="16"/>
          <w:szCs w:val="16"/>
          <w:lang w:val="en-AU"/>
        </w:rPr>
        <w:t xml:space="preserve">Byett, A., Stroombergen, A., Laird, J. and Paling, R., 2017. </w:t>
      </w:r>
      <w:r w:rsidRPr="004138FC">
        <w:rPr>
          <w:rFonts w:ascii="Arial" w:hAnsi="Arial" w:cs="Arial"/>
          <w:i/>
          <w:iCs/>
          <w:sz w:val="16"/>
          <w:szCs w:val="16"/>
          <w:lang w:val="en-AU"/>
        </w:rPr>
        <w:t>The economic impacts of connectivity</w:t>
      </w:r>
      <w:r w:rsidR="00EA2A6A">
        <w:rPr>
          <w:rFonts w:ascii="Arial" w:hAnsi="Arial" w:cs="Arial"/>
          <w:iCs/>
          <w:sz w:val="16"/>
          <w:szCs w:val="16"/>
          <w:lang w:val="en-AU"/>
        </w:rPr>
        <w:t>.</w:t>
      </w:r>
      <w:r w:rsidRPr="004138FC">
        <w:rPr>
          <w:rFonts w:ascii="Arial" w:hAnsi="Arial" w:cs="Arial"/>
          <w:sz w:val="16"/>
          <w:szCs w:val="16"/>
          <w:lang w:val="en-AU"/>
        </w:rPr>
        <w:t xml:space="preserve"> NZ Transport Agency research report 608.</w:t>
      </w:r>
    </w:p>
    <w:p w14:paraId="5ECB4B84" w14:textId="09EC7822" w:rsidR="0095386A" w:rsidRPr="004138FC" w:rsidRDefault="0095386A" w:rsidP="00467137">
      <w:pPr>
        <w:rPr>
          <w:rFonts w:ascii="Arial" w:hAnsi="Arial" w:cs="Arial"/>
          <w:sz w:val="16"/>
          <w:szCs w:val="16"/>
          <w:lang w:val="en-AU"/>
        </w:rPr>
      </w:pPr>
      <w:r w:rsidRPr="004138FC">
        <w:rPr>
          <w:rFonts w:ascii="Arial" w:hAnsi="Arial" w:cs="Arial"/>
          <w:sz w:val="16"/>
          <w:szCs w:val="16"/>
          <w:lang w:val="en-AU"/>
        </w:rPr>
        <w:t xml:space="preserve">Byun, P., Waldorf, B.S. and Esparza, A.X., 2005. Spillovers and local growth controls: An alternative perspective on suburbanization. </w:t>
      </w:r>
      <w:r w:rsidRPr="004138FC">
        <w:rPr>
          <w:rFonts w:ascii="Arial" w:hAnsi="Arial" w:cs="Arial"/>
          <w:i/>
          <w:iCs/>
          <w:sz w:val="16"/>
          <w:szCs w:val="16"/>
          <w:lang w:val="en-AU"/>
        </w:rPr>
        <w:t>Growth and Change</w:t>
      </w:r>
      <w:r w:rsidRPr="004138FC">
        <w:rPr>
          <w:rFonts w:ascii="Arial" w:hAnsi="Arial" w:cs="Arial"/>
          <w:sz w:val="16"/>
          <w:szCs w:val="16"/>
          <w:lang w:val="en-AU"/>
        </w:rPr>
        <w:t xml:space="preserve">, </w:t>
      </w:r>
      <w:r w:rsidRPr="004138FC">
        <w:rPr>
          <w:rFonts w:ascii="Arial" w:hAnsi="Arial" w:cs="Arial"/>
          <w:i/>
          <w:iCs/>
          <w:sz w:val="16"/>
          <w:szCs w:val="16"/>
          <w:lang w:val="en-AU"/>
        </w:rPr>
        <w:t>36</w:t>
      </w:r>
      <w:r w:rsidRPr="004138FC">
        <w:rPr>
          <w:rFonts w:ascii="Arial" w:hAnsi="Arial" w:cs="Arial"/>
          <w:sz w:val="16"/>
          <w:szCs w:val="16"/>
          <w:lang w:val="en-AU"/>
        </w:rPr>
        <w:t>(2), pp.196-219.</w:t>
      </w:r>
    </w:p>
    <w:p w14:paraId="2ECB9B54" w14:textId="014E5F59" w:rsidR="00176E4C" w:rsidRPr="004138FC" w:rsidRDefault="00176E4C" w:rsidP="00467137">
      <w:pPr>
        <w:rPr>
          <w:rFonts w:ascii="Arial" w:hAnsi="Arial" w:cs="Arial"/>
          <w:sz w:val="16"/>
          <w:szCs w:val="16"/>
          <w:lang w:val="en-AU"/>
        </w:rPr>
      </w:pPr>
      <w:r w:rsidRPr="004138FC">
        <w:rPr>
          <w:rFonts w:ascii="Arial" w:hAnsi="Arial" w:cs="Arial"/>
          <w:sz w:val="16"/>
          <w:szCs w:val="16"/>
          <w:lang w:val="en-AU"/>
        </w:rPr>
        <w:t xml:space="preserve">Cheshire, P.C. and Hilber, C.A., 2008. Office space supply restrictions in Britain: the political economy of market revenge. </w:t>
      </w:r>
      <w:r w:rsidRPr="004138FC">
        <w:rPr>
          <w:rFonts w:ascii="Arial" w:hAnsi="Arial" w:cs="Arial"/>
          <w:i/>
          <w:iCs/>
          <w:sz w:val="16"/>
          <w:szCs w:val="16"/>
          <w:lang w:val="en-AU"/>
        </w:rPr>
        <w:t>The Economic Journal</w:t>
      </w:r>
      <w:r w:rsidRPr="004138FC">
        <w:rPr>
          <w:rFonts w:ascii="Arial" w:hAnsi="Arial" w:cs="Arial"/>
          <w:sz w:val="16"/>
          <w:szCs w:val="16"/>
          <w:lang w:val="en-AU"/>
        </w:rPr>
        <w:t xml:space="preserve">, </w:t>
      </w:r>
      <w:r w:rsidRPr="004138FC">
        <w:rPr>
          <w:rFonts w:ascii="Arial" w:hAnsi="Arial" w:cs="Arial"/>
          <w:i/>
          <w:iCs/>
          <w:sz w:val="16"/>
          <w:szCs w:val="16"/>
          <w:lang w:val="en-AU"/>
        </w:rPr>
        <w:t>118</w:t>
      </w:r>
      <w:r w:rsidRPr="004138FC">
        <w:rPr>
          <w:rFonts w:ascii="Arial" w:hAnsi="Arial" w:cs="Arial"/>
          <w:sz w:val="16"/>
          <w:szCs w:val="16"/>
          <w:lang w:val="en-AU"/>
        </w:rPr>
        <w:t>(529), pp.185-221.</w:t>
      </w:r>
    </w:p>
    <w:p w14:paraId="4487D8DB" w14:textId="77777777" w:rsidR="00290415" w:rsidRPr="004138FC" w:rsidRDefault="00290415" w:rsidP="00290415">
      <w:pPr>
        <w:rPr>
          <w:rFonts w:ascii="Arial" w:hAnsi="Arial" w:cs="Arial"/>
          <w:sz w:val="16"/>
          <w:szCs w:val="16"/>
        </w:rPr>
      </w:pPr>
      <w:r w:rsidRPr="004138FC">
        <w:rPr>
          <w:rFonts w:ascii="Arial" w:hAnsi="Arial" w:cs="Arial"/>
          <w:sz w:val="16"/>
          <w:szCs w:val="16"/>
        </w:rPr>
        <w:t xml:space="preserve">Dalgaard, C. J., Kaarsen, N., Olsson, O., &amp; Selaya, P. (2018). </w:t>
      </w:r>
      <w:r w:rsidRPr="004138FC">
        <w:rPr>
          <w:rFonts w:ascii="Arial" w:hAnsi="Arial" w:cs="Arial"/>
          <w:i/>
          <w:sz w:val="16"/>
          <w:szCs w:val="16"/>
        </w:rPr>
        <w:t xml:space="preserve">Roman Roads to Prosperity: Persistence and Non-Persistence of Public </w:t>
      </w:r>
      <w:r w:rsidRPr="004138FC">
        <w:rPr>
          <w:rFonts w:ascii="Arial" w:hAnsi="Arial" w:cs="Arial"/>
          <w:i/>
          <w:sz w:val="16"/>
          <w:szCs w:val="16"/>
        </w:rPr>
        <w:lastRenderedPageBreak/>
        <w:t>Goods Provision</w:t>
      </w:r>
      <w:r w:rsidRPr="004138FC">
        <w:rPr>
          <w:rFonts w:ascii="Arial" w:hAnsi="Arial" w:cs="Arial"/>
          <w:sz w:val="16"/>
          <w:szCs w:val="16"/>
        </w:rPr>
        <w:t>. University of Gothenburg Department of Economics Working Paper No 722.</w:t>
      </w:r>
    </w:p>
    <w:p w14:paraId="4CD49714" w14:textId="77777777" w:rsidR="00401E1B" w:rsidRPr="004138FC" w:rsidRDefault="00401E1B" w:rsidP="00401E1B">
      <w:pPr>
        <w:rPr>
          <w:rFonts w:ascii="Arial" w:hAnsi="Arial" w:cs="Arial"/>
          <w:sz w:val="16"/>
          <w:szCs w:val="16"/>
          <w:lang w:val="en-AU"/>
        </w:rPr>
      </w:pPr>
      <w:r w:rsidRPr="004138FC">
        <w:rPr>
          <w:rFonts w:ascii="Arial" w:hAnsi="Arial" w:cs="Arial"/>
          <w:sz w:val="16"/>
          <w:szCs w:val="16"/>
          <w:lang w:val="en-AU"/>
        </w:rPr>
        <w:t xml:space="preserve">de Groot, H.L., Marlet, G., Teulings, C. and Vermeulen, W., 2015. </w:t>
      </w:r>
      <w:r w:rsidRPr="004138FC">
        <w:rPr>
          <w:rFonts w:ascii="Arial" w:hAnsi="Arial" w:cs="Arial"/>
          <w:i/>
          <w:iCs/>
          <w:sz w:val="16"/>
          <w:szCs w:val="16"/>
          <w:lang w:val="en-AU"/>
        </w:rPr>
        <w:t>Cities and the urban land premium</w:t>
      </w:r>
      <w:r w:rsidRPr="004138FC">
        <w:rPr>
          <w:rFonts w:ascii="Arial" w:hAnsi="Arial" w:cs="Arial"/>
          <w:sz w:val="16"/>
          <w:szCs w:val="16"/>
          <w:lang w:val="en-AU"/>
        </w:rPr>
        <w:t>. Edward Elgar Publishing.</w:t>
      </w:r>
    </w:p>
    <w:p w14:paraId="36176A34" w14:textId="493521EE" w:rsidR="00290415" w:rsidRPr="004138FC" w:rsidRDefault="00290415" w:rsidP="00290415">
      <w:pPr>
        <w:rPr>
          <w:rFonts w:ascii="Arial" w:hAnsi="Arial" w:cs="Arial"/>
          <w:sz w:val="16"/>
          <w:szCs w:val="16"/>
        </w:rPr>
      </w:pPr>
      <w:r w:rsidRPr="004138FC">
        <w:rPr>
          <w:rFonts w:ascii="Arial" w:hAnsi="Arial" w:cs="Arial"/>
          <w:sz w:val="16"/>
          <w:szCs w:val="16"/>
        </w:rPr>
        <w:t>Department for Transport (UK)</w:t>
      </w:r>
      <w:r w:rsidR="00401E1B" w:rsidRPr="004138FC">
        <w:rPr>
          <w:rFonts w:ascii="Arial" w:hAnsi="Arial" w:cs="Arial"/>
          <w:sz w:val="16"/>
          <w:szCs w:val="16"/>
        </w:rPr>
        <w:t>,</w:t>
      </w:r>
      <w:r w:rsidRPr="004138FC">
        <w:rPr>
          <w:rFonts w:ascii="Arial" w:hAnsi="Arial" w:cs="Arial"/>
          <w:sz w:val="16"/>
          <w:szCs w:val="16"/>
        </w:rPr>
        <w:t xml:space="preserve"> 2014. Supplementary Guidance: Land Use/Transport Interaction Models. Available online at </w:t>
      </w:r>
      <w:hyperlink r:id="rId50" w:history="1">
        <w:r w:rsidRPr="004138FC">
          <w:rPr>
            <w:rStyle w:val="Hyperlink"/>
            <w:rFonts w:ascii="Arial" w:hAnsi="Arial" w:cs="Arial"/>
            <w:sz w:val="16"/>
            <w:szCs w:val="16"/>
          </w:rPr>
          <w:t>https://assets.publishing.service.gov.uk/government/uploads/system/uploads/attachment_data/file/427140/webtag-tag-supplementary-luti-models.pdf</w:t>
        </w:r>
      </w:hyperlink>
      <w:r w:rsidRPr="004138FC">
        <w:rPr>
          <w:rFonts w:ascii="Arial" w:hAnsi="Arial" w:cs="Arial"/>
          <w:sz w:val="16"/>
          <w:szCs w:val="16"/>
        </w:rPr>
        <w:t xml:space="preserve">. </w:t>
      </w:r>
    </w:p>
    <w:p w14:paraId="6A484CC8" w14:textId="77777777" w:rsidR="00651EF7" w:rsidRPr="004138FC" w:rsidRDefault="00651EF7" w:rsidP="00651EF7">
      <w:pPr>
        <w:rPr>
          <w:rFonts w:ascii="Arial" w:hAnsi="Arial" w:cs="Arial"/>
          <w:sz w:val="16"/>
          <w:szCs w:val="16"/>
          <w:lang w:val="en-AU"/>
        </w:rPr>
      </w:pPr>
      <w:r w:rsidRPr="004138FC">
        <w:rPr>
          <w:rFonts w:ascii="Arial" w:hAnsi="Arial" w:cs="Arial"/>
          <w:sz w:val="16"/>
          <w:szCs w:val="16"/>
          <w:lang w:val="en-AU"/>
        </w:rPr>
        <w:t xml:space="preserve">Donovan, S. 2017. </w:t>
      </w:r>
      <w:r w:rsidRPr="004138FC">
        <w:rPr>
          <w:rFonts w:ascii="Arial" w:hAnsi="Arial" w:cs="Arial"/>
          <w:i/>
          <w:sz w:val="16"/>
          <w:szCs w:val="16"/>
          <w:lang w:val="en-AU"/>
        </w:rPr>
        <w:t>Going with the flow – Using commuting data to identify the effect of walking and cycling travel-time on location choice in Australian cities</w:t>
      </w:r>
      <w:r w:rsidRPr="004138FC">
        <w:rPr>
          <w:rFonts w:ascii="Arial" w:hAnsi="Arial" w:cs="Arial"/>
          <w:sz w:val="16"/>
          <w:szCs w:val="16"/>
          <w:lang w:val="en-AU"/>
        </w:rPr>
        <w:t>. MPhil Thesis, Tinbergen Institute / Vrije Universiteit Amsterdam.</w:t>
      </w:r>
    </w:p>
    <w:p w14:paraId="3B522229" w14:textId="77777777" w:rsidR="00290415" w:rsidRPr="004138FC" w:rsidRDefault="00290415" w:rsidP="00290415">
      <w:pPr>
        <w:rPr>
          <w:rFonts w:ascii="Arial" w:hAnsi="Arial" w:cs="Arial"/>
          <w:sz w:val="16"/>
          <w:szCs w:val="16"/>
        </w:rPr>
      </w:pPr>
      <w:r w:rsidRPr="004138FC">
        <w:rPr>
          <w:rFonts w:ascii="Arial" w:hAnsi="Arial" w:cs="Arial"/>
          <w:sz w:val="16"/>
          <w:szCs w:val="16"/>
        </w:rPr>
        <w:t>Duranton, G. and Turner, M.A. 2012. Urban growth and transportation. </w:t>
      </w:r>
      <w:r w:rsidRPr="004138FC">
        <w:rPr>
          <w:rFonts w:ascii="Arial" w:hAnsi="Arial" w:cs="Arial"/>
          <w:i/>
          <w:sz w:val="16"/>
          <w:szCs w:val="16"/>
        </w:rPr>
        <w:t>Review of Economic Studies</w:t>
      </w:r>
      <w:r w:rsidRPr="004138FC">
        <w:rPr>
          <w:rFonts w:ascii="Arial" w:hAnsi="Arial" w:cs="Arial"/>
          <w:sz w:val="16"/>
          <w:szCs w:val="16"/>
        </w:rPr>
        <w:t>, 79(4).</w:t>
      </w:r>
    </w:p>
    <w:p w14:paraId="53EC689A" w14:textId="50713A12" w:rsidR="00176E4C" w:rsidRPr="004138FC" w:rsidRDefault="00176E4C" w:rsidP="00176E4C">
      <w:pPr>
        <w:rPr>
          <w:rFonts w:ascii="Arial" w:hAnsi="Arial" w:cs="Arial"/>
          <w:sz w:val="16"/>
          <w:szCs w:val="16"/>
          <w:lang w:val="en-AU"/>
        </w:rPr>
      </w:pPr>
      <w:r w:rsidRPr="004138FC">
        <w:rPr>
          <w:rFonts w:ascii="Arial" w:hAnsi="Arial" w:cs="Arial"/>
          <w:sz w:val="16"/>
          <w:szCs w:val="16"/>
          <w:lang w:val="en-AU"/>
        </w:rPr>
        <w:t xml:space="preserve">Fredrickson, C., Fergusson, E. and Wildish, B.R., 2016. </w:t>
      </w:r>
      <w:r w:rsidRPr="004138FC">
        <w:rPr>
          <w:rFonts w:ascii="Arial" w:hAnsi="Arial" w:cs="Arial"/>
          <w:i/>
          <w:iCs/>
          <w:sz w:val="16"/>
          <w:szCs w:val="16"/>
          <w:lang w:val="en-AU"/>
        </w:rPr>
        <w:t>Residential Property Amalgamation and Aggregation in Auckland, 2004-2014</w:t>
      </w:r>
      <w:r w:rsidRPr="004138FC">
        <w:rPr>
          <w:rFonts w:ascii="Arial" w:hAnsi="Arial" w:cs="Arial"/>
          <w:sz w:val="16"/>
          <w:szCs w:val="16"/>
          <w:lang w:val="en-AU"/>
        </w:rPr>
        <w:t>. Auckland Council technical report, TR2016/001.</w:t>
      </w:r>
    </w:p>
    <w:p w14:paraId="6305F22A" w14:textId="7B29BE85" w:rsidR="00401E1B" w:rsidRPr="004138FC" w:rsidRDefault="00401E1B" w:rsidP="00401E1B">
      <w:pPr>
        <w:rPr>
          <w:rFonts w:ascii="Arial" w:hAnsi="Arial" w:cs="Arial"/>
          <w:sz w:val="16"/>
          <w:szCs w:val="16"/>
          <w:lang w:val="en-AU"/>
        </w:rPr>
      </w:pPr>
      <w:r w:rsidRPr="004138FC">
        <w:rPr>
          <w:rFonts w:ascii="Arial" w:hAnsi="Arial" w:cs="Arial"/>
          <w:sz w:val="16"/>
          <w:szCs w:val="16"/>
          <w:lang w:val="en-AU"/>
        </w:rPr>
        <w:t xml:space="preserve">Ganong, P. and Shoag, D., 2017. Why has regional income </w:t>
      </w:r>
      <w:r w:rsidR="00EA2A6A">
        <w:rPr>
          <w:rFonts w:ascii="Arial" w:hAnsi="Arial" w:cs="Arial"/>
          <w:sz w:val="16"/>
          <w:szCs w:val="16"/>
          <w:lang w:val="en-AU"/>
        </w:rPr>
        <w:t>convergence in the US declined?</w:t>
      </w:r>
      <w:r w:rsidRPr="004138FC">
        <w:rPr>
          <w:rFonts w:ascii="Arial" w:hAnsi="Arial" w:cs="Arial"/>
          <w:sz w:val="16"/>
          <w:szCs w:val="16"/>
          <w:lang w:val="en-AU"/>
        </w:rPr>
        <w:t xml:space="preserve"> </w:t>
      </w:r>
      <w:r w:rsidRPr="004138FC">
        <w:rPr>
          <w:rFonts w:ascii="Arial" w:hAnsi="Arial" w:cs="Arial"/>
          <w:i/>
          <w:iCs/>
          <w:sz w:val="16"/>
          <w:szCs w:val="16"/>
          <w:lang w:val="en-AU"/>
        </w:rPr>
        <w:t>Journal of Urban Economics</w:t>
      </w:r>
      <w:r w:rsidRPr="004138FC">
        <w:rPr>
          <w:rFonts w:ascii="Arial" w:hAnsi="Arial" w:cs="Arial"/>
          <w:sz w:val="16"/>
          <w:szCs w:val="16"/>
          <w:lang w:val="en-AU"/>
        </w:rPr>
        <w:t xml:space="preserve">, </w:t>
      </w:r>
      <w:r w:rsidRPr="004138FC">
        <w:rPr>
          <w:rFonts w:ascii="Arial" w:hAnsi="Arial" w:cs="Arial"/>
          <w:i/>
          <w:iCs/>
          <w:sz w:val="16"/>
          <w:szCs w:val="16"/>
          <w:lang w:val="en-AU"/>
        </w:rPr>
        <w:t>102</w:t>
      </w:r>
      <w:r w:rsidRPr="004138FC">
        <w:rPr>
          <w:rFonts w:ascii="Arial" w:hAnsi="Arial" w:cs="Arial"/>
          <w:sz w:val="16"/>
          <w:szCs w:val="16"/>
          <w:lang w:val="en-AU"/>
        </w:rPr>
        <w:t>, pp.76-90.</w:t>
      </w:r>
    </w:p>
    <w:p w14:paraId="55AAC95E" w14:textId="77777777" w:rsidR="00290415" w:rsidRPr="004138FC" w:rsidRDefault="00290415" w:rsidP="00290415">
      <w:pPr>
        <w:rPr>
          <w:rFonts w:ascii="Arial" w:hAnsi="Arial" w:cs="Arial"/>
          <w:sz w:val="16"/>
          <w:szCs w:val="16"/>
        </w:rPr>
      </w:pPr>
      <w:r w:rsidRPr="004138FC">
        <w:rPr>
          <w:rFonts w:ascii="Arial" w:hAnsi="Arial" w:cs="Arial"/>
          <w:sz w:val="16"/>
          <w:szCs w:val="16"/>
        </w:rPr>
        <w:t xml:space="preserve">Garcia-López, M.A., 2012. Urban spatial structure, suburbanization and transportation in Barcelona. </w:t>
      </w:r>
      <w:r w:rsidRPr="004138FC">
        <w:rPr>
          <w:rFonts w:ascii="Arial" w:hAnsi="Arial" w:cs="Arial"/>
          <w:i/>
          <w:sz w:val="16"/>
          <w:szCs w:val="16"/>
        </w:rPr>
        <w:t>Journal of Urban Economics</w:t>
      </w:r>
      <w:r w:rsidRPr="004138FC">
        <w:rPr>
          <w:rFonts w:ascii="Arial" w:hAnsi="Arial" w:cs="Arial"/>
          <w:sz w:val="16"/>
          <w:szCs w:val="16"/>
        </w:rPr>
        <w:t>, 72(2-3), pp.176-190.</w:t>
      </w:r>
    </w:p>
    <w:p w14:paraId="4735D4BE" w14:textId="77777777" w:rsidR="00401E1B" w:rsidRPr="004138FC" w:rsidRDefault="00401E1B" w:rsidP="00401E1B">
      <w:pPr>
        <w:rPr>
          <w:rFonts w:ascii="Arial" w:hAnsi="Arial" w:cs="Arial"/>
          <w:sz w:val="16"/>
          <w:szCs w:val="16"/>
          <w:lang w:val="en-AU"/>
        </w:rPr>
      </w:pPr>
      <w:r w:rsidRPr="004138FC">
        <w:rPr>
          <w:rFonts w:ascii="Arial" w:hAnsi="Arial" w:cs="Arial"/>
          <w:sz w:val="16"/>
          <w:szCs w:val="16"/>
          <w:lang w:val="en-AU"/>
        </w:rPr>
        <w:t xml:space="preserve">Glaeser, E.L., 2008. </w:t>
      </w:r>
      <w:r w:rsidRPr="004138FC">
        <w:rPr>
          <w:rFonts w:ascii="Arial" w:hAnsi="Arial" w:cs="Arial"/>
          <w:i/>
          <w:iCs/>
          <w:sz w:val="16"/>
          <w:szCs w:val="16"/>
          <w:lang w:val="en-AU"/>
        </w:rPr>
        <w:t>Cities, agglomeration, and spatial equilibrium</w:t>
      </w:r>
      <w:r w:rsidRPr="004138FC">
        <w:rPr>
          <w:rFonts w:ascii="Arial" w:hAnsi="Arial" w:cs="Arial"/>
          <w:sz w:val="16"/>
          <w:szCs w:val="16"/>
          <w:lang w:val="en-AU"/>
        </w:rPr>
        <w:t>. Oxford University Press.</w:t>
      </w:r>
    </w:p>
    <w:p w14:paraId="62B8DBBD" w14:textId="77777777" w:rsidR="00176E4C" w:rsidRPr="004138FC" w:rsidRDefault="00176E4C" w:rsidP="00176E4C">
      <w:pPr>
        <w:rPr>
          <w:rFonts w:ascii="Arial" w:hAnsi="Arial" w:cs="Arial"/>
          <w:sz w:val="16"/>
          <w:szCs w:val="16"/>
          <w:lang w:val="en-AU"/>
        </w:rPr>
      </w:pPr>
      <w:r w:rsidRPr="004138FC">
        <w:rPr>
          <w:rFonts w:ascii="Arial" w:hAnsi="Arial" w:cs="Arial"/>
          <w:sz w:val="16"/>
          <w:szCs w:val="16"/>
          <w:lang w:val="en-AU"/>
        </w:rPr>
        <w:t xml:space="preserve">Glaeser, E. and Gyourko, J., 2018. The economic implications of housing supply. </w:t>
      </w:r>
      <w:r w:rsidRPr="004138FC">
        <w:rPr>
          <w:rFonts w:ascii="Arial" w:hAnsi="Arial" w:cs="Arial"/>
          <w:i/>
          <w:iCs/>
          <w:sz w:val="16"/>
          <w:szCs w:val="16"/>
          <w:lang w:val="en-AU"/>
        </w:rPr>
        <w:t>Journal of Economic Perspectives</w:t>
      </w:r>
      <w:r w:rsidRPr="004138FC">
        <w:rPr>
          <w:rFonts w:ascii="Arial" w:hAnsi="Arial" w:cs="Arial"/>
          <w:sz w:val="16"/>
          <w:szCs w:val="16"/>
          <w:lang w:val="en-AU"/>
        </w:rPr>
        <w:t xml:space="preserve">, </w:t>
      </w:r>
      <w:r w:rsidRPr="004138FC">
        <w:rPr>
          <w:rFonts w:ascii="Arial" w:hAnsi="Arial" w:cs="Arial"/>
          <w:i/>
          <w:iCs/>
          <w:sz w:val="16"/>
          <w:szCs w:val="16"/>
          <w:lang w:val="en-AU"/>
        </w:rPr>
        <w:t>32</w:t>
      </w:r>
      <w:r w:rsidRPr="004138FC">
        <w:rPr>
          <w:rFonts w:ascii="Arial" w:hAnsi="Arial" w:cs="Arial"/>
          <w:sz w:val="16"/>
          <w:szCs w:val="16"/>
          <w:lang w:val="en-AU"/>
        </w:rPr>
        <w:t>(1), pp.3-30.</w:t>
      </w:r>
    </w:p>
    <w:p w14:paraId="2EE672A3" w14:textId="1CBD0F00" w:rsidR="00176E4C" w:rsidRPr="004138FC" w:rsidRDefault="00176E4C" w:rsidP="00176E4C">
      <w:pPr>
        <w:rPr>
          <w:rFonts w:ascii="Arial" w:hAnsi="Arial" w:cs="Arial"/>
          <w:sz w:val="16"/>
          <w:szCs w:val="16"/>
          <w:lang w:val="en-AU"/>
        </w:rPr>
      </w:pPr>
      <w:r w:rsidRPr="004138FC">
        <w:rPr>
          <w:rFonts w:ascii="Arial" w:hAnsi="Arial" w:cs="Arial"/>
          <w:sz w:val="16"/>
          <w:szCs w:val="16"/>
          <w:lang w:val="en-AU"/>
        </w:rPr>
        <w:t>Grimes, A. and Liang, Y., 2009. Spatial determinants of land prices: Does Auckland’s metropoli</w:t>
      </w:r>
      <w:r w:rsidR="00EA2A6A">
        <w:rPr>
          <w:rFonts w:ascii="Arial" w:hAnsi="Arial" w:cs="Arial"/>
          <w:sz w:val="16"/>
          <w:szCs w:val="16"/>
          <w:lang w:val="en-AU"/>
        </w:rPr>
        <w:t>tan urban limit have an effect?</w:t>
      </w:r>
      <w:r w:rsidRPr="004138FC">
        <w:rPr>
          <w:rFonts w:ascii="Arial" w:hAnsi="Arial" w:cs="Arial"/>
          <w:sz w:val="16"/>
          <w:szCs w:val="16"/>
          <w:lang w:val="en-AU"/>
        </w:rPr>
        <w:t xml:space="preserve"> </w:t>
      </w:r>
      <w:r w:rsidRPr="004138FC">
        <w:rPr>
          <w:rFonts w:ascii="Arial" w:hAnsi="Arial" w:cs="Arial"/>
          <w:i/>
          <w:iCs/>
          <w:sz w:val="16"/>
          <w:szCs w:val="16"/>
          <w:lang w:val="en-AU"/>
        </w:rPr>
        <w:t>Applied Spatial Analysis and Policy</w:t>
      </w:r>
      <w:r w:rsidRPr="004138FC">
        <w:rPr>
          <w:rFonts w:ascii="Arial" w:hAnsi="Arial" w:cs="Arial"/>
          <w:sz w:val="16"/>
          <w:szCs w:val="16"/>
          <w:lang w:val="en-AU"/>
        </w:rPr>
        <w:t xml:space="preserve">, </w:t>
      </w:r>
      <w:r w:rsidRPr="004138FC">
        <w:rPr>
          <w:rFonts w:ascii="Arial" w:hAnsi="Arial" w:cs="Arial"/>
          <w:i/>
          <w:iCs/>
          <w:sz w:val="16"/>
          <w:szCs w:val="16"/>
          <w:lang w:val="en-AU"/>
        </w:rPr>
        <w:t>2</w:t>
      </w:r>
      <w:r w:rsidRPr="004138FC">
        <w:rPr>
          <w:rFonts w:ascii="Arial" w:hAnsi="Arial" w:cs="Arial"/>
          <w:sz w:val="16"/>
          <w:szCs w:val="16"/>
          <w:lang w:val="en-AU"/>
        </w:rPr>
        <w:t>(1), pp.23-45.</w:t>
      </w:r>
    </w:p>
    <w:p w14:paraId="0585F717" w14:textId="2BDE813A" w:rsidR="00290415" w:rsidRPr="004138FC" w:rsidRDefault="00290415" w:rsidP="00290415">
      <w:pPr>
        <w:rPr>
          <w:rFonts w:ascii="Arial" w:hAnsi="Arial" w:cs="Arial"/>
          <w:sz w:val="16"/>
          <w:szCs w:val="16"/>
        </w:rPr>
      </w:pPr>
      <w:r w:rsidRPr="004138FC">
        <w:rPr>
          <w:rFonts w:ascii="Arial" w:hAnsi="Arial" w:cs="Arial"/>
          <w:sz w:val="16"/>
          <w:szCs w:val="16"/>
        </w:rPr>
        <w:t xml:space="preserve">Grimes, </w:t>
      </w:r>
      <w:r w:rsidR="00176E4C" w:rsidRPr="004138FC">
        <w:rPr>
          <w:rFonts w:ascii="Arial" w:hAnsi="Arial" w:cs="Arial"/>
          <w:sz w:val="16"/>
          <w:szCs w:val="16"/>
        </w:rPr>
        <w:t>A</w:t>
      </w:r>
      <w:r w:rsidRPr="004138FC">
        <w:rPr>
          <w:rFonts w:ascii="Arial" w:hAnsi="Arial" w:cs="Arial"/>
          <w:sz w:val="16"/>
          <w:szCs w:val="16"/>
        </w:rPr>
        <w:t xml:space="preserve">. (2011). </w:t>
      </w:r>
      <w:r w:rsidRPr="004138FC">
        <w:rPr>
          <w:rFonts w:ascii="Arial" w:hAnsi="Arial" w:cs="Arial"/>
          <w:i/>
          <w:sz w:val="16"/>
          <w:szCs w:val="16"/>
        </w:rPr>
        <w:t>Building Bridges: Treating a New Transport Link as a Real Option</w:t>
      </w:r>
      <w:r w:rsidRPr="004138FC">
        <w:rPr>
          <w:rFonts w:ascii="Arial" w:hAnsi="Arial" w:cs="Arial"/>
          <w:sz w:val="16"/>
          <w:szCs w:val="16"/>
        </w:rPr>
        <w:t>, 51st Congress of the European Regional Science Association: "New Challenges</w:t>
      </w:r>
      <w:r w:rsidRPr="004138FC">
        <w:rPr>
          <w:rFonts w:ascii="Arial" w:hAnsi="Arial" w:cs="Arial"/>
          <w:i/>
          <w:sz w:val="16"/>
          <w:szCs w:val="16"/>
        </w:rPr>
        <w:t xml:space="preserve"> </w:t>
      </w:r>
      <w:r w:rsidRPr="004138FC">
        <w:rPr>
          <w:rFonts w:ascii="Arial" w:hAnsi="Arial" w:cs="Arial"/>
          <w:sz w:val="16"/>
          <w:szCs w:val="16"/>
        </w:rPr>
        <w:t>for European Regions and Urban Areas in a Globalised World", 30 August - 3 September 2011, Barcelona, Spain, European Regional Science Association (ERSA), Louvain-la-Neuve.</w:t>
      </w:r>
    </w:p>
    <w:p w14:paraId="64363821" w14:textId="7BAFC767" w:rsidR="00176E4C" w:rsidRPr="004138FC" w:rsidRDefault="00176E4C" w:rsidP="00290415">
      <w:pPr>
        <w:rPr>
          <w:rFonts w:ascii="Arial" w:hAnsi="Arial" w:cs="Arial"/>
          <w:sz w:val="16"/>
          <w:szCs w:val="16"/>
          <w:lang w:val="en-AU"/>
        </w:rPr>
      </w:pPr>
      <w:r w:rsidRPr="004138FC">
        <w:rPr>
          <w:rFonts w:ascii="Arial" w:hAnsi="Arial" w:cs="Arial"/>
          <w:sz w:val="16"/>
          <w:szCs w:val="16"/>
          <w:lang w:val="en-AU"/>
        </w:rPr>
        <w:t xml:space="preserve">Gyourko, J. and Molloy, R., 2015. Regulation and housing supply. In </w:t>
      </w:r>
      <w:r w:rsidRPr="004138FC">
        <w:rPr>
          <w:rFonts w:ascii="Arial" w:hAnsi="Arial" w:cs="Arial"/>
          <w:i/>
          <w:iCs/>
          <w:sz w:val="16"/>
          <w:szCs w:val="16"/>
          <w:lang w:val="en-AU"/>
        </w:rPr>
        <w:t>Handbook of regional and urban economics</w:t>
      </w:r>
      <w:r w:rsidRPr="004138FC">
        <w:rPr>
          <w:rFonts w:ascii="Arial" w:hAnsi="Arial" w:cs="Arial"/>
          <w:sz w:val="16"/>
          <w:szCs w:val="16"/>
          <w:lang w:val="en-AU"/>
        </w:rPr>
        <w:t xml:space="preserve"> (Vol. 5, pp. 1289-1337). Elsevier.</w:t>
      </w:r>
    </w:p>
    <w:p w14:paraId="60D242AC" w14:textId="3AA0FF23" w:rsidR="00651EF7" w:rsidRPr="004138FC" w:rsidRDefault="00651EF7" w:rsidP="00290415">
      <w:pPr>
        <w:rPr>
          <w:rFonts w:ascii="Arial" w:hAnsi="Arial" w:cs="Arial"/>
          <w:sz w:val="16"/>
          <w:szCs w:val="16"/>
          <w:lang w:val="en-AU"/>
        </w:rPr>
      </w:pPr>
      <w:r w:rsidRPr="004138FC">
        <w:rPr>
          <w:rFonts w:ascii="Arial" w:hAnsi="Arial" w:cs="Arial"/>
          <w:sz w:val="16"/>
          <w:szCs w:val="16"/>
          <w:lang w:val="en-AU"/>
        </w:rPr>
        <w:t>Hazledine, T., Donovan, S. and Mak, C., 2017. Urban agglomeration benefits from public transit improvements- Extending and implementing the Venables model. Research in Transportation Economics, 66, pp.36-45.</w:t>
      </w:r>
    </w:p>
    <w:p w14:paraId="256FF7C3" w14:textId="77777777" w:rsidR="00DC5758" w:rsidRPr="004138FC" w:rsidRDefault="00DC5758" w:rsidP="00DC5758">
      <w:pPr>
        <w:rPr>
          <w:rFonts w:ascii="Arial" w:hAnsi="Arial" w:cs="Arial"/>
          <w:sz w:val="16"/>
          <w:szCs w:val="16"/>
        </w:rPr>
      </w:pPr>
      <w:r w:rsidRPr="004138FC">
        <w:rPr>
          <w:rFonts w:ascii="Arial" w:hAnsi="Arial" w:cs="Arial"/>
          <w:sz w:val="16"/>
          <w:szCs w:val="16"/>
        </w:rPr>
        <w:t xml:space="preserve">Heblich, S., Redding, S. J., &amp; Sturm, D. M. (2018). </w:t>
      </w:r>
      <w:r w:rsidRPr="004138FC">
        <w:rPr>
          <w:rFonts w:ascii="Arial" w:hAnsi="Arial" w:cs="Arial"/>
          <w:i/>
          <w:iCs/>
          <w:sz w:val="16"/>
          <w:szCs w:val="16"/>
        </w:rPr>
        <w:t>The Making of the Modern Metropolis: Evidence from London</w:t>
      </w:r>
      <w:r w:rsidRPr="004138FC">
        <w:rPr>
          <w:rFonts w:ascii="Arial" w:hAnsi="Arial" w:cs="Arial"/>
          <w:sz w:val="16"/>
          <w:szCs w:val="16"/>
        </w:rPr>
        <w:t>. National Bureau of Economic Research working paper no. w25047.</w:t>
      </w:r>
    </w:p>
    <w:p w14:paraId="58A562A3" w14:textId="77777777" w:rsidR="00401E1B" w:rsidRPr="004138FC" w:rsidRDefault="00401E1B" w:rsidP="00401E1B">
      <w:pPr>
        <w:rPr>
          <w:rFonts w:ascii="Arial" w:hAnsi="Arial" w:cs="Arial"/>
          <w:sz w:val="16"/>
          <w:szCs w:val="16"/>
          <w:lang w:val="en-AU"/>
        </w:rPr>
      </w:pPr>
      <w:r w:rsidRPr="004138FC">
        <w:rPr>
          <w:rFonts w:ascii="Arial" w:hAnsi="Arial" w:cs="Arial"/>
          <w:sz w:val="16"/>
          <w:szCs w:val="16"/>
          <w:lang w:val="en-AU"/>
        </w:rPr>
        <w:t xml:space="preserve">Homans, F.R. and Marshall, E.P., 2008. Modeling Recreational Amenities in an Urban Setting: Location, Congestion, and Substitution Effects. </w:t>
      </w:r>
      <w:r w:rsidRPr="004138FC">
        <w:rPr>
          <w:rFonts w:ascii="Arial" w:hAnsi="Arial" w:cs="Arial"/>
          <w:i/>
          <w:iCs/>
          <w:sz w:val="16"/>
          <w:szCs w:val="16"/>
          <w:lang w:val="en-AU"/>
        </w:rPr>
        <w:t>Agricultural and Resource Economics Review</w:t>
      </w:r>
      <w:r w:rsidRPr="004138FC">
        <w:rPr>
          <w:rFonts w:ascii="Arial" w:hAnsi="Arial" w:cs="Arial"/>
          <w:sz w:val="16"/>
          <w:szCs w:val="16"/>
          <w:lang w:val="en-AU"/>
        </w:rPr>
        <w:t xml:space="preserve">, </w:t>
      </w:r>
      <w:r w:rsidRPr="004138FC">
        <w:rPr>
          <w:rFonts w:ascii="Arial" w:hAnsi="Arial" w:cs="Arial"/>
          <w:i/>
          <w:iCs/>
          <w:sz w:val="16"/>
          <w:szCs w:val="16"/>
          <w:lang w:val="en-AU"/>
        </w:rPr>
        <w:t>37</w:t>
      </w:r>
      <w:r w:rsidRPr="004138FC">
        <w:rPr>
          <w:rFonts w:ascii="Arial" w:hAnsi="Arial" w:cs="Arial"/>
          <w:sz w:val="16"/>
          <w:szCs w:val="16"/>
          <w:lang w:val="en-AU"/>
        </w:rPr>
        <w:t>(2), pp.257-272.</w:t>
      </w:r>
    </w:p>
    <w:p w14:paraId="0609B3D5" w14:textId="77777777" w:rsidR="00176E4C" w:rsidRPr="004138FC" w:rsidRDefault="00176E4C" w:rsidP="00176E4C">
      <w:pPr>
        <w:rPr>
          <w:rFonts w:ascii="Arial" w:hAnsi="Arial" w:cs="Arial"/>
          <w:sz w:val="16"/>
          <w:szCs w:val="16"/>
          <w:lang w:val="en-AU"/>
        </w:rPr>
      </w:pPr>
      <w:r w:rsidRPr="004138FC">
        <w:rPr>
          <w:rFonts w:ascii="Arial" w:hAnsi="Arial" w:cs="Arial"/>
          <w:sz w:val="16"/>
          <w:szCs w:val="16"/>
          <w:lang w:val="en-AU"/>
        </w:rPr>
        <w:t xml:space="preserve">Hornbeck, R. and Keniston, D., 2017. Creative destruction: Barriers to urban growth and the Great Boston Fire of 1872. </w:t>
      </w:r>
      <w:r w:rsidRPr="004138FC">
        <w:rPr>
          <w:rFonts w:ascii="Arial" w:hAnsi="Arial" w:cs="Arial"/>
          <w:i/>
          <w:iCs/>
          <w:sz w:val="16"/>
          <w:szCs w:val="16"/>
          <w:lang w:val="en-AU"/>
        </w:rPr>
        <w:t>American Economic Review</w:t>
      </w:r>
      <w:r w:rsidRPr="004138FC">
        <w:rPr>
          <w:rFonts w:ascii="Arial" w:hAnsi="Arial" w:cs="Arial"/>
          <w:sz w:val="16"/>
          <w:szCs w:val="16"/>
          <w:lang w:val="en-AU"/>
        </w:rPr>
        <w:t xml:space="preserve">, </w:t>
      </w:r>
      <w:r w:rsidRPr="004138FC">
        <w:rPr>
          <w:rFonts w:ascii="Arial" w:hAnsi="Arial" w:cs="Arial"/>
          <w:i/>
          <w:iCs/>
          <w:sz w:val="16"/>
          <w:szCs w:val="16"/>
          <w:lang w:val="en-AU"/>
        </w:rPr>
        <w:t>107</w:t>
      </w:r>
      <w:r w:rsidRPr="004138FC">
        <w:rPr>
          <w:rFonts w:ascii="Arial" w:hAnsi="Arial" w:cs="Arial"/>
          <w:sz w:val="16"/>
          <w:szCs w:val="16"/>
          <w:lang w:val="en-AU"/>
        </w:rPr>
        <w:t>(6), pp.1365-98.</w:t>
      </w:r>
    </w:p>
    <w:p w14:paraId="4CB1A60E" w14:textId="3790D4EB" w:rsidR="00383B28" w:rsidRPr="004138FC" w:rsidRDefault="00383B28" w:rsidP="00DC5758">
      <w:pPr>
        <w:rPr>
          <w:rFonts w:ascii="Arial" w:hAnsi="Arial" w:cs="Arial"/>
          <w:sz w:val="16"/>
          <w:szCs w:val="16"/>
          <w:lang w:val="en-AU"/>
        </w:rPr>
      </w:pPr>
      <w:r w:rsidRPr="004138FC">
        <w:rPr>
          <w:rFonts w:ascii="Arial" w:hAnsi="Arial" w:cs="Arial"/>
          <w:sz w:val="16"/>
          <w:szCs w:val="16"/>
          <w:lang w:val="en-AU"/>
        </w:rPr>
        <w:t xml:space="preserve">Hsieh, C.T. and Moretti, E., 2019. Housing constraints and spatial misallocation. </w:t>
      </w:r>
      <w:r w:rsidRPr="004138FC">
        <w:rPr>
          <w:rFonts w:ascii="Arial" w:hAnsi="Arial" w:cs="Arial"/>
          <w:i/>
          <w:iCs/>
          <w:sz w:val="16"/>
          <w:szCs w:val="16"/>
          <w:lang w:val="en-AU"/>
        </w:rPr>
        <w:t>American Economic Journal: Macroeconomics</w:t>
      </w:r>
      <w:r w:rsidRPr="004138FC">
        <w:rPr>
          <w:rFonts w:ascii="Arial" w:hAnsi="Arial" w:cs="Arial"/>
          <w:sz w:val="16"/>
          <w:szCs w:val="16"/>
          <w:lang w:val="en-AU"/>
        </w:rPr>
        <w:t xml:space="preserve">, </w:t>
      </w:r>
      <w:r w:rsidRPr="004138FC">
        <w:rPr>
          <w:rFonts w:ascii="Arial" w:hAnsi="Arial" w:cs="Arial"/>
          <w:i/>
          <w:iCs/>
          <w:sz w:val="16"/>
          <w:szCs w:val="16"/>
          <w:lang w:val="en-AU"/>
        </w:rPr>
        <w:t>11</w:t>
      </w:r>
      <w:r w:rsidRPr="004138FC">
        <w:rPr>
          <w:rFonts w:ascii="Arial" w:hAnsi="Arial" w:cs="Arial"/>
          <w:sz w:val="16"/>
          <w:szCs w:val="16"/>
          <w:lang w:val="en-AU"/>
        </w:rPr>
        <w:t>(2), pp.1-39.</w:t>
      </w:r>
    </w:p>
    <w:p w14:paraId="7C985577" w14:textId="3C59ACD4" w:rsidR="00401E1B" w:rsidRPr="004138FC" w:rsidRDefault="00401E1B" w:rsidP="00401E1B">
      <w:pPr>
        <w:rPr>
          <w:rFonts w:ascii="Arial" w:hAnsi="Arial" w:cs="Arial"/>
          <w:sz w:val="16"/>
          <w:szCs w:val="16"/>
          <w:lang w:val="en-AU"/>
        </w:rPr>
      </w:pPr>
      <w:r w:rsidRPr="004138FC">
        <w:rPr>
          <w:rFonts w:ascii="Arial" w:hAnsi="Arial" w:cs="Arial"/>
          <w:sz w:val="16"/>
          <w:szCs w:val="16"/>
          <w:lang w:val="en-AU"/>
        </w:rPr>
        <w:t xml:space="preserve">Kernohan, D. and Rognlien, L., 2011. </w:t>
      </w:r>
      <w:r w:rsidRPr="004138FC">
        <w:rPr>
          <w:rFonts w:ascii="Arial" w:hAnsi="Arial" w:cs="Arial"/>
          <w:i/>
          <w:iCs/>
          <w:sz w:val="16"/>
          <w:szCs w:val="16"/>
          <w:lang w:val="en-AU"/>
        </w:rPr>
        <w:t>Wider economic impacts of transport investments in New Zealand</w:t>
      </w:r>
      <w:r w:rsidRPr="004138FC">
        <w:rPr>
          <w:rFonts w:ascii="Arial" w:hAnsi="Arial" w:cs="Arial"/>
          <w:sz w:val="16"/>
          <w:szCs w:val="16"/>
          <w:lang w:val="en-AU"/>
        </w:rPr>
        <w:t>. NZ Transport Agency Research Report 448.</w:t>
      </w:r>
    </w:p>
    <w:p w14:paraId="4C96B0F5" w14:textId="2A2D6FA7" w:rsidR="0095386A" w:rsidRPr="004138FC" w:rsidRDefault="0095386A" w:rsidP="00401E1B">
      <w:pPr>
        <w:rPr>
          <w:rFonts w:ascii="Arial" w:hAnsi="Arial" w:cs="Arial"/>
          <w:sz w:val="16"/>
          <w:szCs w:val="16"/>
          <w:lang w:val="en-AU"/>
        </w:rPr>
      </w:pPr>
      <w:r w:rsidRPr="004138FC">
        <w:rPr>
          <w:rFonts w:ascii="Arial" w:hAnsi="Arial" w:cs="Arial"/>
          <w:sz w:val="16"/>
          <w:szCs w:val="16"/>
          <w:lang w:val="en-AU"/>
        </w:rPr>
        <w:t xml:space="preserve">Kim, R. 2019. </w:t>
      </w:r>
      <w:r w:rsidRPr="004138FC">
        <w:rPr>
          <w:rFonts w:ascii="Arial" w:hAnsi="Arial" w:cs="Arial"/>
          <w:i/>
          <w:sz w:val="16"/>
          <w:szCs w:val="16"/>
          <w:lang w:val="en-AU"/>
        </w:rPr>
        <w:t>Applying German spatial planning in Auckland</w:t>
      </w:r>
      <w:r w:rsidRPr="004138FC">
        <w:rPr>
          <w:rFonts w:ascii="Arial" w:hAnsi="Arial" w:cs="Arial"/>
          <w:sz w:val="16"/>
          <w:szCs w:val="16"/>
          <w:lang w:val="en-AU"/>
        </w:rPr>
        <w:t>. Paper presented at the 2019 Engineering New Zealand-Transportation Group conference.</w:t>
      </w:r>
    </w:p>
    <w:p w14:paraId="6505844C" w14:textId="3A64EBB3" w:rsidR="00401E1B" w:rsidRPr="004138FC" w:rsidRDefault="00401E1B" w:rsidP="00401E1B">
      <w:pPr>
        <w:rPr>
          <w:rFonts w:ascii="Arial" w:hAnsi="Arial" w:cs="Arial"/>
          <w:sz w:val="16"/>
          <w:szCs w:val="16"/>
          <w:lang w:val="en-AU"/>
        </w:rPr>
      </w:pPr>
      <w:r w:rsidRPr="004138FC">
        <w:rPr>
          <w:rFonts w:ascii="Arial" w:hAnsi="Arial" w:cs="Arial"/>
          <w:sz w:val="16"/>
          <w:szCs w:val="16"/>
          <w:lang w:val="en-AU"/>
        </w:rPr>
        <w:t xml:space="preserve">Kulish, M., Richards, A. and Gillitzer, C., 2011. </w:t>
      </w:r>
      <w:r w:rsidRPr="004138FC">
        <w:rPr>
          <w:rFonts w:ascii="Arial" w:hAnsi="Arial" w:cs="Arial"/>
          <w:i/>
          <w:sz w:val="16"/>
          <w:szCs w:val="16"/>
          <w:lang w:val="en-AU"/>
        </w:rPr>
        <w:t>Urban Structure and Housing Prices: Some Evidence from Australian Cities</w:t>
      </w:r>
      <w:r w:rsidRPr="004138FC">
        <w:rPr>
          <w:rFonts w:ascii="Arial" w:hAnsi="Arial" w:cs="Arial"/>
          <w:sz w:val="16"/>
          <w:szCs w:val="16"/>
          <w:lang w:val="en-AU"/>
        </w:rPr>
        <w:t>. Reserve Bank of Australia Discussion Paper 2011-03.</w:t>
      </w:r>
    </w:p>
    <w:p w14:paraId="02EA664D" w14:textId="54EE4DBC" w:rsidR="00401E1B" w:rsidRPr="004138FC" w:rsidRDefault="00401E1B" w:rsidP="00401E1B">
      <w:pPr>
        <w:rPr>
          <w:rFonts w:ascii="Arial" w:hAnsi="Arial" w:cs="Arial"/>
          <w:sz w:val="16"/>
          <w:szCs w:val="16"/>
          <w:lang w:val="en-AU"/>
        </w:rPr>
      </w:pPr>
      <w:r w:rsidRPr="004138FC">
        <w:rPr>
          <w:rFonts w:ascii="Arial" w:hAnsi="Arial" w:cs="Arial"/>
          <w:sz w:val="16"/>
          <w:szCs w:val="16"/>
          <w:lang w:val="en-AU"/>
        </w:rPr>
        <w:t xml:space="preserve">Lees, K., 2014. </w:t>
      </w:r>
      <w:r w:rsidRPr="004138FC">
        <w:rPr>
          <w:rFonts w:ascii="Arial" w:hAnsi="Arial" w:cs="Arial"/>
          <w:i/>
          <w:iCs/>
          <w:sz w:val="16"/>
          <w:szCs w:val="16"/>
          <w:lang w:val="en-AU"/>
        </w:rPr>
        <w:t>Big city life? Challenges and trade-offs for Auckland city</w:t>
      </w:r>
      <w:r w:rsidRPr="004138FC">
        <w:rPr>
          <w:rFonts w:ascii="Arial" w:hAnsi="Arial" w:cs="Arial"/>
          <w:sz w:val="16"/>
          <w:szCs w:val="16"/>
          <w:lang w:val="en-AU"/>
        </w:rPr>
        <w:t>. New Zealand Institute of Economic Research working paper 2014/2.</w:t>
      </w:r>
    </w:p>
    <w:p w14:paraId="2581B316" w14:textId="6B69F527" w:rsidR="00176E4C" w:rsidRPr="004138FC" w:rsidRDefault="00176E4C" w:rsidP="00DC5758">
      <w:pPr>
        <w:rPr>
          <w:rFonts w:ascii="Arial" w:hAnsi="Arial" w:cs="Arial"/>
          <w:sz w:val="16"/>
          <w:szCs w:val="16"/>
          <w:lang w:val="en-AU"/>
        </w:rPr>
      </w:pPr>
      <w:r w:rsidRPr="004138FC">
        <w:rPr>
          <w:rFonts w:ascii="Arial" w:hAnsi="Arial" w:cs="Arial"/>
          <w:sz w:val="16"/>
          <w:szCs w:val="16"/>
          <w:lang w:val="en-AU"/>
        </w:rPr>
        <w:t xml:space="preserve">Lees, K., 2019. Quantifying the costs of land use regulation: evidence from New Zealand. </w:t>
      </w:r>
      <w:r w:rsidRPr="004138FC">
        <w:rPr>
          <w:rFonts w:ascii="Arial" w:hAnsi="Arial" w:cs="Arial"/>
          <w:i/>
          <w:iCs/>
          <w:sz w:val="16"/>
          <w:szCs w:val="16"/>
          <w:lang w:val="en-AU"/>
        </w:rPr>
        <w:t>New Zealand Economic Papers</w:t>
      </w:r>
      <w:r w:rsidRPr="004138FC">
        <w:rPr>
          <w:rFonts w:ascii="Arial" w:hAnsi="Arial" w:cs="Arial"/>
          <w:sz w:val="16"/>
          <w:szCs w:val="16"/>
          <w:lang w:val="en-AU"/>
        </w:rPr>
        <w:t xml:space="preserve">, </w:t>
      </w:r>
      <w:r w:rsidRPr="004138FC">
        <w:rPr>
          <w:rFonts w:ascii="Arial" w:hAnsi="Arial" w:cs="Arial"/>
          <w:i/>
          <w:iCs/>
          <w:sz w:val="16"/>
          <w:szCs w:val="16"/>
          <w:lang w:val="en-AU"/>
        </w:rPr>
        <w:t>53</w:t>
      </w:r>
      <w:r w:rsidRPr="004138FC">
        <w:rPr>
          <w:rFonts w:ascii="Arial" w:hAnsi="Arial" w:cs="Arial"/>
          <w:sz w:val="16"/>
          <w:szCs w:val="16"/>
          <w:lang w:val="en-AU"/>
        </w:rPr>
        <w:t>(3), pp.245-269.</w:t>
      </w:r>
    </w:p>
    <w:p w14:paraId="65B4D711" w14:textId="30E5EB7A" w:rsidR="0095386A" w:rsidRPr="004138FC" w:rsidRDefault="0095386A" w:rsidP="00DC5758">
      <w:pPr>
        <w:rPr>
          <w:rFonts w:ascii="Arial" w:hAnsi="Arial" w:cs="Arial"/>
          <w:sz w:val="16"/>
          <w:szCs w:val="16"/>
          <w:lang w:val="en-AU"/>
        </w:rPr>
      </w:pPr>
      <w:r w:rsidRPr="004138FC">
        <w:rPr>
          <w:rFonts w:ascii="Arial" w:hAnsi="Arial" w:cs="Arial"/>
          <w:sz w:val="16"/>
          <w:szCs w:val="16"/>
          <w:lang w:val="en-AU"/>
        </w:rPr>
        <w:t xml:space="preserve">Lopes, A.S., Loureiro, C.F.G. and Van Wee, B., 2019. LUTI operational models review based on the proposition of an a priori ALUTI conceptual model. </w:t>
      </w:r>
      <w:r w:rsidRPr="004138FC">
        <w:rPr>
          <w:rFonts w:ascii="Arial" w:hAnsi="Arial" w:cs="Arial"/>
          <w:i/>
          <w:iCs/>
          <w:sz w:val="16"/>
          <w:szCs w:val="16"/>
          <w:lang w:val="en-AU"/>
        </w:rPr>
        <w:t>Transport reviews</w:t>
      </w:r>
      <w:r w:rsidRPr="004138FC">
        <w:rPr>
          <w:rFonts w:ascii="Arial" w:hAnsi="Arial" w:cs="Arial"/>
          <w:sz w:val="16"/>
          <w:szCs w:val="16"/>
          <w:lang w:val="en-AU"/>
        </w:rPr>
        <w:t xml:space="preserve">, </w:t>
      </w:r>
      <w:r w:rsidRPr="004138FC">
        <w:rPr>
          <w:rFonts w:ascii="Arial" w:hAnsi="Arial" w:cs="Arial"/>
          <w:i/>
          <w:iCs/>
          <w:sz w:val="16"/>
          <w:szCs w:val="16"/>
          <w:lang w:val="en-AU"/>
        </w:rPr>
        <w:t>39</w:t>
      </w:r>
      <w:r w:rsidRPr="004138FC">
        <w:rPr>
          <w:rFonts w:ascii="Arial" w:hAnsi="Arial" w:cs="Arial"/>
          <w:sz w:val="16"/>
          <w:szCs w:val="16"/>
          <w:lang w:val="en-AU"/>
        </w:rPr>
        <w:t>(2), pp.204-225.</w:t>
      </w:r>
    </w:p>
    <w:p w14:paraId="13965865" w14:textId="77777777" w:rsidR="00651EF7" w:rsidRPr="004138FC" w:rsidRDefault="00651EF7" w:rsidP="00651EF7">
      <w:pPr>
        <w:rPr>
          <w:rFonts w:ascii="Arial" w:hAnsi="Arial" w:cs="Arial"/>
          <w:sz w:val="16"/>
          <w:szCs w:val="16"/>
          <w:lang w:val="en-AU"/>
        </w:rPr>
      </w:pPr>
      <w:r w:rsidRPr="004138FC">
        <w:rPr>
          <w:rFonts w:ascii="Arial" w:hAnsi="Arial" w:cs="Arial"/>
          <w:sz w:val="16"/>
          <w:szCs w:val="16"/>
          <w:lang w:val="en-AU"/>
        </w:rPr>
        <w:t xml:space="preserve">Lucas, R.E. and Rossi–Hansberg, E., 2002. On the internal structure of cities. </w:t>
      </w:r>
      <w:r w:rsidRPr="004138FC">
        <w:rPr>
          <w:rFonts w:ascii="Arial" w:hAnsi="Arial" w:cs="Arial"/>
          <w:i/>
          <w:iCs/>
          <w:sz w:val="16"/>
          <w:szCs w:val="16"/>
          <w:lang w:val="en-AU"/>
        </w:rPr>
        <w:t>Econometrica</w:t>
      </w:r>
      <w:r w:rsidRPr="004138FC">
        <w:rPr>
          <w:rFonts w:ascii="Arial" w:hAnsi="Arial" w:cs="Arial"/>
          <w:sz w:val="16"/>
          <w:szCs w:val="16"/>
          <w:lang w:val="en-AU"/>
        </w:rPr>
        <w:t xml:space="preserve">, </w:t>
      </w:r>
      <w:r w:rsidRPr="004138FC">
        <w:rPr>
          <w:rFonts w:ascii="Arial" w:hAnsi="Arial" w:cs="Arial"/>
          <w:i/>
          <w:iCs/>
          <w:sz w:val="16"/>
          <w:szCs w:val="16"/>
          <w:lang w:val="en-AU"/>
        </w:rPr>
        <w:t>70</w:t>
      </w:r>
      <w:r w:rsidRPr="004138FC">
        <w:rPr>
          <w:rFonts w:ascii="Arial" w:hAnsi="Arial" w:cs="Arial"/>
          <w:sz w:val="16"/>
          <w:szCs w:val="16"/>
          <w:lang w:val="en-AU"/>
        </w:rPr>
        <w:t>(4), pp.1445-1476.</w:t>
      </w:r>
    </w:p>
    <w:p w14:paraId="3F2F7331" w14:textId="05155379" w:rsidR="0095386A" w:rsidRPr="004138FC" w:rsidRDefault="0095386A" w:rsidP="00651EF7">
      <w:pPr>
        <w:rPr>
          <w:rFonts w:ascii="Arial" w:hAnsi="Arial" w:cs="Arial"/>
          <w:sz w:val="16"/>
          <w:szCs w:val="16"/>
          <w:lang w:val="en-AU"/>
        </w:rPr>
      </w:pPr>
      <w:r w:rsidRPr="004138FC">
        <w:rPr>
          <w:rFonts w:ascii="Arial" w:hAnsi="Arial" w:cs="Arial"/>
          <w:sz w:val="16"/>
          <w:szCs w:val="16"/>
          <w:lang w:val="en-AU"/>
        </w:rPr>
        <w:t xml:space="preserve">Martínez, F. and Roy, J., 2004. A model for residential supply. </w:t>
      </w:r>
      <w:r w:rsidRPr="004138FC">
        <w:rPr>
          <w:rFonts w:ascii="Arial" w:hAnsi="Arial" w:cs="Arial"/>
          <w:i/>
          <w:iCs/>
          <w:sz w:val="16"/>
          <w:szCs w:val="16"/>
          <w:lang w:val="en-AU"/>
        </w:rPr>
        <w:t>The Annals of Regional Science</w:t>
      </w:r>
      <w:r w:rsidRPr="004138FC">
        <w:rPr>
          <w:rFonts w:ascii="Arial" w:hAnsi="Arial" w:cs="Arial"/>
          <w:sz w:val="16"/>
          <w:szCs w:val="16"/>
          <w:lang w:val="en-AU"/>
        </w:rPr>
        <w:t xml:space="preserve">, </w:t>
      </w:r>
      <w:r w:rsidRPr="004138FC">
        <w:rPr>
          <w:rFonts w:ascii="Arial" w:hAnsi="Arial" w:cs="Arial"/>
          <w:i/>
          <w:iCs/>
          <w:sz w:val="16"/>
          <w:szCs w:val="16"/>
          <w:lang w:val="en-AU"/>
        </w:rPr>
        <w:t>38</w:t>
      </w:r>
      <w:r w:rsidRPr="004138FC">
        <w:rPr>
          <w:rFonts w:ascii="Arial" w:hAnsi="Arial" w:cs="Arial"/>
          <w:sz w:val="16"/>
          <w:szCs w:val="16"/>
          <w:lang w:val="en-AU"/>
        </w:rPr>
        <w:t>(3), pp.531-550.</w:t>
      </w:r>
    </w:p>
    <w:p w14:paraId="188C3D0C" w14:textId="1F228F1A" w:rsidR="00176E4C" w:rsidRPr="004138FC" w:rsidRDefault="00176E4C" w:rsidP="00DC5758">
      <w:pPr>
        <w:rPr>
          <w:rFonts w:ascii="Arial" w:hAnsi="Arial" w:cs="Arial"/>
          <w:sz w:val="16"/>
          <w:szCs w:val="16"/>
          <w:lang w:val="en-AU"/>
        </w:rPr>
      </w:pPr>
      <w:r w:rsidRPr="004138FC">
        <w:rPr>
          <w:rFonts w:ascii="Arial" w:hAnsi="Arial" w:cs="Arial"/>
          <w:sz w:val="16"/>
          <w:szCs w:val="16"/>
          <w:lang w:val="en-AU"/>
        </w:rPr>
        <w:t xml:space="preserve">Ministry of Building, Innovation, and Employment. 2017. </w:t>
      </w:r>
      <w:r w:rsidRPr="004138FC">
        <w:rPr>
          <w:rFonts w:ascii="Arial" w:hAnsi="Arial" w:cs="Arial"/>
          <w:i/>
          <w:sz w:val="16"/>
          <w:szCs w:val="16"/>
          <w:lang w:val="en-AU"/>
        </w:rPr>
        <w:t>Price Efficiency Indicators</w:t>
      </w:r>
      <w:r w:rsidRPr="004138FC">
        <w:rPr>
          <w:rFonts w:ascii="Arial" w:hAnsi="Arial" w:cs="Arial"/>
          <w:sz w:val="16"/>
          <w:szCs w:val="16"/>
          <w:lang w:val="en-AU"/>
        </w:rPr>
        <w:t xml:space="preserve">. Available online at </w:t>
      </w:r>
      <w:hyperlink r:id="rId51" w:history="1">
        <w:r w:rsidRPr="004138FC">
          <w:rPr>
            <w:rStyle w:val="Hyperlink"/>
            <w:rFonts w:ascii="Arial" w:hAnsi="Arial" w:cs="Arial"/>
            <w:sz w:val="16"/>
            <w:szCs w:val="16"/>
            <w:lang w:val="en-AU"/>
          </w:rPr>
          <w:t>http://urban-development-capacity.mbie.govt.nz/</w:t>
        </w:r>
      </w:hyperlink>
      <w:r w:rsidRPr="004138FC">
        <w:rPr>
          <w:rFonts w:ascii="Arial" w:hAnsi="Arial" w:cs="Arial"/>
          <w:sz w:val="16"/>
          <w:szCs w:val="16"/>
          <w:lang w:val="en-AU"/>
        </w:rPr>
        <w:t xml:space="preserve">. </w:t>
      </w:r>
    </w:p>
    <w:p w14:paraId="05596637" w14:textId="3AA3F0E8" w:rsidR="0095386A" w:rsidRPr="004138FC" w:rsidRDefault="0095386A" w:rsidP="00DC5758">
      <w:pPr>
        <w:rPr>
          <w:rFonts w:ascii="Arial" w:hAnsi="Arial" w:cs="Arial"/>
          <w:sz w:val="16"/>
          <w:szCs w:val="16"/>
          <w:lang w:val="en-AU"/>
        </w:rPr>
      </w:pPr>
      <w:r w:rsidRPr="004138FC">
        <w:rPr>
          <w:rFonts w:ascii="Arial" w:hAnsi="Arial" w:cs="Arial"/>
          <w:sz w:val="16"/>
          <w:szCs w:val="16"/>
          <w:lang w:val="en-AU"/>
        </w:rPr>
        <w:t xml:space="preserve">Moeckel, R., 2011. Simulating household budgets for housing and transport. Paper presented at </w:t>
      </w:r>
      <w:r w:rsidRPr="004138FC">
        <w:rPr>
          <w:rFonts w:ascii="Arial" w:hAnsi="Arial" w:cs="Arial"/>
          <w:i/>
          <w:iCs/>
          <w:sz w:val="16"/>
          <w:szCs w:val="16"/>
          <w:lang w:val="en-AU"/>
        </w:rPr>
        <w:t>International Conference on Computers in Urban Planning and Urban Management</w:t>
      </w:r>
      <w:r w:rsidRPr="004138FC">
        <w:rPr>
          <w:rFonts w:ascii="Arial" w:hAnsi="Arial" w:cs="Arial"/>
          <w:sz w:val="16"/>
          <w:szCs w:val="16"/>
          <w:lang w:val="en-AU"/>
        </w:rPr>
        <w:t>.</w:t>
      </w:r>
    </w:p>
    <w:p w14:paraId="409DEDC3" w14:textId="47CDE25B" w:rsidR="00290415" w:rsidRPr="004138FC" w:rsidRDefault="00290415" w:rsidP="00290415">
      <w:pPr>
        <w:rPr>
          <w:rFonts w:ascii="Arial" w:hAnsi="Arial" w:cs="Arial"/>
          <w:sz w:val="16"/>
          <w:szCs w:val="16"/>
          <w:lang w:val="mi-NZ"/>
        </w:rPr>
      </w:pPr>
      <w:r w:rsidRPr="004138FC">
        <w:rPr>
          <w:rFonts w:ascii="Arial" w:hAnsi="Arial" w:cs="Arial"/>
          <w:sz w:val="16"/>
          <w:szCs w:val="16"/>
          <w:lang w:val="mi-NZ"/>
        </w:rPr>
        <w:t xml:space="preserve">MRCagney, 2019. </w:t>
      </w:r>
      <w:r w:rsidRPr="004138FC">
        <w:rPr>
          <w:rFonts w:ascii="Arial" w:hAnsi="Arial" w:cs="Arial"/>
          <w:i/>
          <w:sz w:val="16"/>
          <w:szCs w:val="16"/>
          <w:lang w:val="mi-NZ"/>
        </w:rPr>
        <w:t>The costs and benefits of urban development</w:t>
      </w:r>
      <w:r w:rsidRPr="004138FC">
        <w:rPr>
          <w:rFonts w:ascii="Arial" w:hAnsi="Arial" w:cs="Arial"/>
          <w:sz w:val="16"/>
          <w:szCs w:val="16"/>
          <w:lang w:val="mi-NZ"/>
        </w:rPr>
        <w:t xml:space="preserve">. A report for the Ministry for the Environment. Available online at </w:t>
      </w:r>
      <w:hyperlink r:id="rId52" w:history="1">
        <w:r w:rsidRPr="004138FC">
          <w:rPr>
            <w:rStyle w:val="Hyperlink"/>
            <w:rFonts w:ascii="Arial" w:hAnsi="Arial" w:cs="Arial"/>
            <w:sz w:val="16"/>
            <w:szCs w:val="16"/>
            <w:lang w:val="mi-NZ"/>
          </w:rPr>
          <w:t>https://www.mfe.govt.nz/publications/towns-and-cities/costs-and-benefits-of-urban-development</w:t>
        </w:r>
      </w:hyperlink>
      <w:r w:rsidRPr="004138FC">
        <w:rPr>
          <w:rFonts w:ascii="Arial" w:hAnsi="Arial" w:cs="Arial"/>
          <w:sz w:val="16"/>
          <w:szCs w:val="16"/>
          <w:lang w:val="mi-NZ"/>
        </w:rPr>
        <w:t xml:space="preserve">. </w:t>
      </w:r>
    </w:p>
    <w:p w14:paraId="6DEC904C" w14:textId="5C87ABDF" w:rsidR="00651EF7" w:rsidRPr="004138FC" w:rsidRDefault="00651EF7" w:rsidP="00651EF7">
      <w:pPr>
        <w:rPr>
          <w:rFonts w:ascii="Arial" w:hAnsi="Arial" w:cs="Arial"/>
          <w:sz w:val="16"/>
          <w:szCs w:val="16"/>
          <w:lang w:val="en-AU"/>
        </w:rPr>
      </w:pPr>
      <w:r w:rsidRPr="004138FC">
        <w:rPr>
          <w:rFonts w:ascii="Arial" w:hAnsi="Arial" w:cs="Arial"/>
          <w:sz w:val="16"/>
          <w:szCs w:val="16"/>
          <w:lang w:val="en-AU"/>
        </w:rPr>
        <w:t xml:space="preserve">Mulalic, I., Pilegaard, N., and Rouwendal, J. 2015. Does improving public transport decrease car ownership? Evidence from the Copenhagen metropolitan area. </w:t>
      </w:r>
      <w:r w:rsidRPr="004138FC">
        <w:rPr>
          <w:rFonts w:ascii="Arial" w:hAnsi="Arial" w:cs="Arial"/>
          <w:i/>
          <w:sz w:val="16"/>
          <w:szCs w:val="16"/>
          <w:lang w:val="en-AU"/>
        </w:rPr>
        <w:t>Tinbergen Institute Discussion Papers, (2015-139/VII)</w:t>
      </w:r>
      <w:r w:rsidRPr="004138FC">
        <w:rPr>
          <w:rFonts w:ascii="Arial" w:hAnsi="Arial" w:cs="Arial"/>
          <w:sz w:val="16"/>
          <w:szCs w:val="16"/>
          <w:lang w:val="en-AU"/>
        </w:rPr>
        <w:t>.</w:t>
      </w:r>
    </w:p>
    <w:p w14:paraId="6721523B" w14:textId="6689A5FE" w:rsidR="00966A0C" w:rsidRPr="004138FC" w:rsidRDefault="00966A0C" w:rsidP="00DC5758">
      <w:pPr>
        <w:rPr>
          <w:rFonts w:ascii="Arial" w:hAnsi="Arial" w:cs="Arial"/>
          <w:sz w:val="16"/>
          <w:szCs w:val="16"/>
        </w:rPr>
      </w:pPr>
      <w:r w:rsidRPr="004138FC">
        <w:rPr>
          <w:rFonts w:ascii="Arial" w:hAnsi="Arial" w:cs="Arial"/>
          <w:sz w:val="16"/>
          <w:szCs w:val="16"/>
        </w:rPr>
        <w:t>New Zealand Transport Agency</w:t>
      </w:r>
      <w:r w:rsidR="00401E1B" w:rsidRPr="004138FC">
        <w:rPr>
          <w:rFonts w:ascii="Arial" w:hAnsi="Arial" w:cs="Arial"/>
          <w:sz w:val="16"/>
          <w:szCs w:val="16"/>
        </w:rPr>
        <w:t>,</w:t>
      </w:r>
      <w:r w:rsidRPr="004138FC">
        <w:rPr>
          <w:rFonts w:ascii="Arial" w:hAnsi="Arial" w:cs="Arial"/>
          <w:sz w:val="16"/>
          <w:szCs w:val="16"/>
        </w:rPr>
        <w:t xml:space="preserve"> 2019. </w:t>
      </w:r>
      <w:r w:rsidRPr="004138FC">
        <w:rPr>
          <w:rFonts w:ascii="Arial" w:hAnsi="Arial" w:cs="Arial"/>
          <w:i/>
          <w:sz w:val="16"/>
          <w:szCs w:val="16"/>
        </w:rPr>
        <w:t>Transformative Transport Projects (Dynamic WEBs and Land Use Benefits and Costs</w:t>
      </w:r>
      <w:r w:rsidRPr="004138FC">
        <w:rPr>
          <w:rFonts w:ascii="Arial" w:hAnsi="Arial" w:cs="Arial"/>
          <w:sz w:val="16"/>
          <w:szCs w:val="16"/>
        </w:rPr>
        <w:t xml:space="preserve">. Available online at </w:t>
      </w:r>
      <w:hyperlink r:id="rId53" w:history="1">
        <w:r w:rsidR="00290415" w:rsidRPr="004138FC">
          <w:rPr>
            <w:rStyle w:val="Hyperlink"/>
            <w:rFonts w:ascii="Arial" w:hAnsi="Arial" w:cs="Arial"/>
            <w:sz w:val="16"/>
            <w:szCs w:val="16"/>
          </w:rPr>
          <w:t>https://www.nzta.govt.nz/planning-and-investment/planning/investment-decision-making-framework-review/</w:t>
        </w:r>
      </w:hyperlink>
      <w:r w:rsidR="00290415" w:rsidRPr="004138FC">
        <w:rPr>
          <w:rFonts w:ascii="Arial" w:hAnsi="Arial" w:cs="Arial"/>
          <w:sz w:val="16"/>
          <w:szCs w:val="16"/>
        </w:rPr>
        <w:t xml:space="preserve">. </w:t>
      </w:r>
    </w:p>
    <w:p w14:paraId="7E8280A9" w14:textId="6CC153DC" w:rsidR="00176E4C" w:rsidRPr="004138FC" w:rsidRDefault="00176E4C" w:rsidP="00176E4C">
      <w:pPr>
        <w:rPr>
          <w:rFonts w:ascii="Arial" w:hAnsi="Arial" w:cs="Arial"/>
          <w:sz w:val="16"/>
          <w:szCs w:val="16"/>
          <w:lang w:val="en-AU"/>
        </w:rPr>
      </w:pPr>
      <w:r w:rsidRPr="004138FC">
        <w:rPr>
          <w:rFonts w:ascii="Arial" w:hAnsi="Arial" w:cs="Arial"/>
          <w:sz w:val="16"/>
          <w:szCs w:val="16"/>
          <w:lang w:val="en-AU"/>
        </w:rPr>
        <w:t xml:space="preserve">Nunns, P. and Denne, T., 2016. </w:t>
      </w:r>
      <w:r w:rsidRPr="004138FC">
        <w:rPr>
          <w:rFonts w:ascii="Arial" w:hAnsi="Arial" w:cs="Arial"/>
          <w:i/>
          <w:sz w:val="16"/>
          <w:szCs w:val="16"/>
          <w:lang w:val="en-AU"/>
        </w:rPr>
        <w:t>The costs and benefits of urban development: A theoretical and empirical synthesis</w:t>
      </w:r>
      <w:r w:rsidRPr="004138FC">
        <w:rPr>
          <w:rFonts w:ascii="Arial" w:hAnsi="Arial" w:cs="Arial"/>
          <w:sz w:val="16"/>
          <w:szCs w:val="16"/>
          <w:lang w:val="en-AU"/>
        </w:rPr>
        <w:t xml:space="preserve">. Paper presented at the 2016 </w:t>
      </w:r>
      <w:r w:rsidRPr="004138FC">
        <w:rPr>
          <w:rFonts w:ascii="Arial" w:hAnsi="Arial" w:cs="Arial"/>
          <w:iCs/>
          <w:sz w:val="16"/>
          <w:szCs w:val="16"/>
          <w:lang w:val="en-AU"/>
        </w:rPr>
        <w:t>New Zealand Association of Economists Conference</w:t>
      </w:r>
      <w:r w:rsidRPr="004138FC">
        <w:rPr>
          <w:rFonts w:ascii="Arial" w:hAnsi="Arial" w:cs="Arial"/>
          <w:sz w:val="16"/>
          <w:szCs w:val="16"/>
          <w:lang w:val="en-AU"/>
        </w:rPr>
        <w:t>.</w:t>
      </w:r>
    </w:p>
    <w:p w14:paraId="14CEAB72" w14:textId="55290787" w:rsidR="00176E4C" w:rsidRPr="004138FC" w:rsidRDefault="00176E4C" w:rsidP="00176E4C">
      <w:pPr>
        <w:rPr>
          <w:rFonts w:ascii="Arial" w:hAnsi="Arial" w:cs="Arial"/>
          <w:bCs/>
          <w:sz w:val="16"/>
          <w:szCs w:val="16"/>
        </w:rPr>
      </w:pPr>
      <w:r w:rsidRPr="004138FC">
        <w:rPr>
          <w:rFonts w:ascii="Arial" w:hAnsi="Arial" w:cs="Arial"/>
          <w:bCs/>
          <w:sz w:val="16"/>
          <w:szCs w:val="16"/>
          <w:lang w:val="en-AU"/>
        </w:rPr>
        <w:t>Nunns, P.</w:t>
      </w:r>
      <w:r w:rsidR="00401E1B" w:rsidRPr="004138FC">
        <w:rPr>
          <w:rFonts w:ascii="Arial" w:hAnsi="Arial" w:cs="Arial"/>
          <w:bCs/>
          <w:sz w:val="16"/>
          <w:szCs w:val="16"/>
          <w:lang w:val="en-AU"/>
        </w:rPr>
        <w:t>,</w:t>
      </w:r>
      <w:r w:rsidRPr="004138FC">
        <w:rPr>
          <w:rFonts w:ascii="Arial" w:hAnsi="Arial" w:cs="Arial"/>
          <w:bCs/>
          <w:sz w:val="16"/>
          <w:szCs w:val="16"/>
          <w:lang w:val="en-AU"/>
        </w:rPr>
        <w:t xml:space="preserve"> 2018. </w:t>
      </w:r>
      <w:r w:rsidRPr="004138FC">
        <w:rPr>
          <w:rFonts w:ascii="Arial" w:hAnsi="Arial" w:cs="Arial"/>
          <w:bCs/>
          <w:i/>
          <w:sz w:val="16"/>
          <w:szCs w:val="16"/>
          <w:lang w:val="en-AU"/>
        </w:rPr>
        <w:t>The causes and economic consequences of rising regional house prices in New Zealand</w:t>
      </w:r>
      <w:r w:rsidRPr="004138FC">
        <w:rPr>
          <w:rFonts w:ascii="Arial" w:hAnsi="Arial" w:cs="Arial"/>
          <w:bCs/>
          <w:sz w:val="16"/>
          <w:szCs w:val="16"/>
          <w:lang w:val="en-AU"/>
        </w:rPr>
        <w:t>. University of Auckland Centre for Applied Research in Economics working paper 005.</w:t>
      </w:r>
    </w:p>
    <w:p w14:paraId="2FDEE39C" w14:textId="2212A4E8" w:rsidR="00176E4C" w:rsidRPr="004138FC" w:rsidRDefault="00176E4C" w:rsidP="00176E4C">
      <w:pPr>
        <w:rPr>
          <w:rFonts w:ascii="Arial" w:hAnsi="Arial" w:cs="Arial"/>
          <w:sz w:val="16"/>
          <w:szCs w:val="16"/>
          <w:lang w:val="en-AU"/>
        </w:rPr>
      </w:pPr>
      <w:r w:rsidRPr="004138FC">
        <w:rPr>
          <w:rFonts w:ascii="Arial" w:hAnsi="Arial" w:cs="Arial"/>
          <w:sz w:val="16"/>
          <w:szCs w:val="16"/>
          <w:lang w:val="en-AU"/>
        </w:rPr>
        <w:t>Nunns, P.</w:t>
      </w:r>
      <w:r w:rsidR="00401E1B" w:rsidRPr="004138FC">
        <w:rPr>
          <w:rFonts w:ascii="Arial" w:hAnsi="Arial" w:cs="Arial"/>
          <w:sz w:val="16"/>
          <w:szCs w:val="16"/>
          <w:lang w:val="en-AU"/>
        </w:rPr>
        <w:t>,</w:t>
      </w:r>
      <w:r w:rsidRPr="004138FC">
        <w:rPr>
          <w:rFonts w:ascii="Arial" w:hAnsi="Arial" w:cs="Arial"/>
          <w:sz w:val="16"/>
          <w:szCs w:val="16"/>
          <w:lang w:val="en-AU"/>
        </w:rPr>
        <w:t xml:space="preserve"> 2019. </w:t>
      </w:r>
      <w:r w:rsidRPr="004138FC">
        <w:rPr>
          <w:rFonts w:ascii="Arial" w:hAnsi="Arial" w:cs="Arial"/>
          <w:i/>
          <w:sz w:val="16"/>
          <w:szCs w:val="16"/>
          <w:lang w:val="en-AU"/>
        </w:rPr>
        <w:t>Modelling and valuing land use change</w:t>
      </w:r>
      <w:r w:rsidRPr="004138FC">
        <w:rPr>
          <w:rFonts w:ascii="Arial" w:hAnsi="Arial" w:cs="Arial"/>
          <w:sz w:val="16"/>
          <w:szCs w:val="16"/>
          <w:lang w:val="en-AU"/>
        </w:rPr>
        <w:t>. Paper presented at the 2019 Engineering New Zealand-Transportation Group conference.</w:t>
      </w:r>
    </w:p>
    <w:p w14:paraId="129AEEF7" w14:textId="77777777" w:rsidR="0095386A" w:rsidRPr="004138FC" w:rsidRDefault="0095386A" w:rsidP="0095386A">
      <w:pPr>
        <w:rPr>
          <w:rFonts w:ascii="Arial" w:hAnsi="Arial" w:cs="Arial"/>
          <w:sz w:val="16"/>
          <w:szCs w:val="16"/>
          <w:lang w:val="en-AU"/>
        </w:rPr>
      </w:pPr>
      <w:r w:rsidRPr="004138FC">
        <w:rPr>
          <w:rFonts w:ascii="Arial" w:hAnsi="Arial" w:cs="Arial"/>
          <w:sz w:val="16"/>
          <w:szCs w:val="16"/>
          <w:lang w:val="en-AU"/>
        </w:rPr>
        <w:t xml:space="preserve">Pollakowski, H.O. and Wachter, S.M., 1990. The effects of land-use constraints on housing prices. </w:t>
      </w:r>
      <w:r w:rsidRPr="004138FC">
        <w:rPr>
          <w:rFonts w:ascii="Arial" w:hAnsi="Arial" w:cs="Arial"/>
          <w:i/>
          <w:iCs/>
          <w:sz w:val="16"/>
          <w:szCs w:val="16"/>
          <w:lang w:val="en-AU"/>
        </w:rPr>
        <w:t>Land economics</w:t>
      </w:r>
      <w:r w:rsidRPr="004138FC">
        <w:rPr>
          <w:rFonts w:ascii="Arial" w:hAnsi="Arial" w:cs="Arial"/>
          <w:sz w:val="16"/>
          <w:szCs w:val="16"/>
          <w:lang w:val="en-AU"/>
        </w:rPr>
        <w:t xml:space="preserve">, </w:t>
      </w:r>
      <w:r w:rsidRPr="004138FC">
        <w:rPr>
          <w:rFonts w:ascii="Arial" w:hAnsi="Arial" w:cs="Arial"/>
          <w:i/>
          <w:iCs/>
          <w:sz w:val="16"/>
          <w:szCs w:val="16"/>
          <w:lang w:val="en-AU"/>
        </w:rPr>
        <w:t>66</w:t>
      </w:r>
      <w:r w:rsidRPr="004138FC">
        <w:rPr>
          <w:rFonts w:ascii="Arial" w:hAnsi="Arial" w:cs="Arial"/>
          <w:sz w:val="16"/>
          <w:szCs w:val="16"/>
          <w:lang w:val="en-AU"/>
        </w:rPr>
        <w:t>(3), pp.315-324.</w:t>
      </w:r>
    </w:p>
    <w:p w14:paraId="25B23D0B" w14:textId="47857F97" w:rsidR="0095386A" w:rsidRPr="004138FC" w:rsidRDefault="0095386A" w:rsidP="0095386A">
      <w:pPr>
        <w:rPr>
          <w:rFonts w:ascii="Arial" w:hAnsi="Arial" w:cs="Arial"/>
          <w:sz w:val="16"/>
          <w:szCs w:val="16"/>
          <w:lang w:val="en-AU"/>
        </w:rPr>
      </w:pPr>
      <w:r w:rsidRPr="004138FC">
        <w:rPr>
          <w:rFonts w:ascii="Arial" w:hAnsi="Arial" w:cs="Arial"/>
          <w:sz w:val="16"/>
          <w:szCs w:val="16"/>
          <w:lang w:val="en-AU"/>
        </w:rPr>
        <w:t xml:space="preserve">Safirova, E., Houde, S., Lipman, D.A., Harrington, W. and Baglino, A., 2006. </w:t>
      </w:r>
      <w:r w:rsidRPr="004138FC">
        <w:rPr>
          <w:rFonts w:ascii="Arial" w:hAnsi="Arial" w:cs="Arial"/>
          <w:i/>
          <w:sz w:val="16"/>
          <w:szCs w:val="16"/>
          <w:lang w:val="en-AU"/>
        </w:rPr>
        <w:t>Congestion pricing and land use change</w:t>
      </w:r>
      <w:r w:rsidRPr="004138FC">
        <w:rPr>
          <w:rFonts w:ascii="Arial" w:hAnsi="Arial" w:cs="Arial"/>
          <w:sz w:val="16"/>
          <w:szCs w:val="16"/>
          <w:lang w:val="en-AU"/>
        </w:rPr>
        <w:t>. Working paper.</w:t>
      </w:r>
    </w:p>
    <w:p w14:paraId="4132C104" w14:textId="69E6D6BF" w:rsidR="00651EF7" w:rsidRPr="004138FC" w:rsidRDefault="00651EF7" w:rsidP="00651EF7">
      <w:pPr>
        <w:rPr>
          <w:rFonts w:ascii="Arial" w:hAnsi="Arial" w:cs="Arial"/>
          <w:sz w:val="16"/>
          <w:szCs w:val="16"/>
          <w:lang w:val="en-AU"/>
        </w:rPr>
      </w:pPr>
      <w:r w:rsidRPr="004138FC">
        <w:rPr>
          <w:rFonts w:ascii="Arial" w:hAnsi="Arial" w:cs="Arial"/>
          <w:sz w:val="16"/>
          <w:szCs w:val="16"/>
          <w:lang w:val="en-AU"/>
        </w:rPr>
        <w:t xml:space="preserve">Severen, C., 2019. </w:t>
      </w:r>
      <w:r w:rsidRPr="004138FC">
        <w:rPr>
          <w:rFonts w:ascii="Arial" w:hAnsi="Arial" w:cs="Arial"/>
          <w:i/>
          <w:sz w:val="16"/>
          <w:szCs w:val="16"/>
          <w:lang w:val="en-AU"/>
        </w:rPr>
        <w:t>Commuting, labor, and housing market effects of mass transportation: Welfare and identification</w:t>
      </w:r>
      <w:r w:rsidRPr="004138FC">
        <w:rPr>
          <w:rFonts w:ascii="Arial" w:hAnsi="Arial" w:cs="Arial"/>
          <w:sz w:val="16"/>
          <w:szCs w:val="16"/>
          <w:lang w:val="en-AU"/>
        </w:rPr>
        <w:t>.</w:t>
      </w:r>
      <w:r w:rsidR="0095386A" w:rsidRPr="004138FC">
        <w:rPr>
          <w:rFonts w:ascii="Arial" w:hAnsi="Arial" w:cs="Arial"/>
          <w:sz w:val="16"/>
          <w:szCs w:val="16"/>
          <w:lang w:val="en-AU"/>
        </w:rPr>
        <w:t xml:space="preserve"> Working paper.</w:t>
      </w:r>
    </w:p>
    <w:p w14:paraId="5BA3ECC6" w14:textId="64E2B479" w:rsidR="0095386A" w:rsidRPr="004138FC" w:rsidRDefault="0095386A" w:rsidP="00651EF7">
      <w:pPr>
        <w:rPr>
          <w:rFonts w:ascii="Arial" w:hAnsi="Arial" w:cs="Arial"/>
          <w:sz w:val="16"/>
          <w:szCs w:val="16"/>
          <w:lang w:val="en-AU"/>
        </w:rPr>
      </w:pPr>
      <w:r w:rsidRPr="004138FC">
        <w:rPr>
          <w:rFonts w:ascii="Arial" w:hAnsi="Arial" w:cs="Arial"/>
          <w:sz w:val="16"/>
          <w:szCs w:val="16"/>
          <w:lang w:val="en-AU"/>
        </w:rPr>
        <w:t xml:space="preserve">Simmonds, D. and Feldman, O., 2013. Modelling the economic impacts of transport changes: experience and issues. In </w:t>
      </w:r>
      <w:r w:rsidRPr="004138FC">
        <w:rPr>
          <w:rFonts w:ascii="Arial" w:hAnsi="Arial" w:cs="Arial"/>
          <w:i/>
          <w:iCs/>
          <w:sz w:val="16"/>
          <w:szCs w:val="16"/>
          <w:lang w:val="en-AU"/>
        </w:rPr>
        <w:t>Employment Location in Cities and Regions</w:t>
      </w:r>
      <w:r w:rsidRPr="004138FC">
        <w:rPr>
          <w:rFonts w:ascii="Arial" w:hAnsi="Arial" w:cs="Arial"/>
          <w:sz w:val="16"/>
          <w:szCs w:val="16"/>
          <w:lang w:val="en-AU"/>
        </w:rPr>
        <w:t xml:space="preserve"> (pp. 33-56). Springer, Berlin, Heidelberg.</w:t>
      </w:r>
    </w:p>
    <w:p w14:paraId="1C723F93" w14:textId="0C32E5D1" w:rsidR="00CB2702" w:rsidRPr="004138FC" w:rsidRDefault="00CB2702" w:rsidP="00DC5758">
      <w:pPr>
        <w:rPr>
          <w:rFonts w:ascii="Arial" w:hAnsi="Arial" w:cs="Arial"/>
          <w:sz w:val="16"/>
          <w:szCs w:val="16"/>
          <w:lang w:val="mi-NZ"/>
        </w:rPr>
      </w:pPr>
      <w:r w:rsidRPr="004138FC">
        <w:rPr>
          <w:rFonts w:ascii="Arial" w:hAnsi="Arial" w:cs="Arial"/>
          <w:sz w:val="16"/>
          <w:szCs w:val="16"/>
          <w:lang w:val="mi-NZ"/>
        </w:rPr>
        <w:t xml:space="preserve">Stevens, P. 2011. </w:t>
      </w:r>
      <w:r w:rsidRPr="004138FC">
        <w:rPr>
          <w:rFonts w:ascii="Arial" w:hAnsi="Arial" w:cs="Arial"/>
          <w:i/>
          <w:sz w:val="16"/>
          <w:szCs w:val="16"/>
          <w:lang w:val="mi-NZ"/>
        </w:rPr>
        <w:t>Competition in New Zealand: An analysis using micro data</w:t>
      </w:r>
      <w:r w:rsidRPr="004138FC">
        <w:rPr>
          <w:rFonts w:ascii="Arial" w:hAnsi="Arial" w:cs="Arial"/>
          <w:sz w:val="16"/>
          <w:szCs w:val="16"/>
          <w:lang w:val="mi-NZ"/>
        </w:rPr>
        <w:t>. Paper presented at the 2011 New Zealand Association of Economists conference.</w:t>
      </w:r>
    </w:p>
    <w:p w14:paraId="231EB779" w14:textId="7184C4DD" w:rsidR="00651EF7" w:rsidRPr="004138FC" w:rsidRDefault="00651EF7" w:rsidP="00DC5758">
      <w:pPr>
        <w:rPr>
          <w:rFonts w:ascii="Arial" w:hAnsi="Arial" w:cs="Arial"/>
          <w:sz w:val="16"/>
          <w:szCs w:val="16"/>
          <w:lang w:val="en-AU"/>
        </w:rPr>
      </w:pPr>
      <w:r w:rsidRPr="004138FC">
        <w:rPr>
          <w:rFonts w:ascii="Arial" w:hAnsi="Arial" w:cs="Arial"/>
          <w:sz w:val="16"/>
          <w:szCs w:val="16"/>
          <w:lang w:val="en-AU"/>
        </w:rPr>
        <w:t xml:space="preserve">Teulings, C.N., Ossokina, I.V. and de Groot, H.L., 2018. Land use, worker heterogeneity and welfare benefits of public goods. </w:t>
      </w:r>
      <w:r w:rsidRPr="004138FC">
        <w:rPr>
          <w:rFonts w:ascii="Arial" w:hAnsi="Arial" w:cs="Arial"/>
          <w:i/>
          <w:iCs/>
          <w:sz w:val="16"/>
          <w:szCs w:val="16"/>
          <w:lang w:val="en-AU"/>
        </w:rPr>
        <w:t>Journal of Urban Economics</w:t>
      </w:r>
      <w:r w:rsidRPr="004138FC">
        <w:rPr>
          <w:rFonts w:ascii="Arial" w:hAnsi="Arial" w:cs="Arial"/>
          <w:sz w:val="16"/>
          <w:szCs w:val="16"/>
          <w:lang w:val="en-AU"/>
        </w:rPr>
        <w:t xml:space="preserve">, </w:t>
      </w:r>
      <w:r w:rsidRPr="004138FC">
        <w:rPr>
          <w:rFonts w:ascii="Arial" w:hAnsi="Arial" w:cs="Arial"/>
          <w:i/>
          <w:iCs/>
          <w:sz w:val="16"/>
          <w:szCs w:val="16"/>
          <w:lang w:val="en-AU"/>
        </w:rPr>
        <w:t>103</w:t>
      </w:r>
      <w:r w:rsidRPr="004138FC">
        <w:rPr>
          <w:rFonts w:ascii="Arial" w:hAnsi="Arial" w:cs="Arial"/>
          <w:sz w:val="16"/>
          <w:szCs w:val="16"/>
          <w:lang w:val="en-AU"/>
        </w:rPr>
        <w:t>, pp.67-82.</w:t>
      </w:r>
    </w:p>
    <w:p w14:paraId="603964DC" w14:textId="70CF92B0" w:rsidR="00454559" w:rsidRPr="004138FC" w:rsidRDefault="00454559" w:rsidP="00DC5758">
      <w:pPr>
        <w:rPr>
          <w:rFonts w:ascii="Arial" w:hAnsi="Arial" w:cs="Arial"/>
          <w:sz w:val="16"/>
          <w:szCs w:val="16"/>
        </w:rPr>
      </w:pPr>
      <w:r w:rsidRPr="004138FC">
        <w:rPr>
          <w:rFonts w:ascii="Arial" w:hAnsi="Arial" w:cs="Arial"/>
          <w:sz w:val="16"/>
          <w:szCs w:val="16"/>
        </w:rPr>
        <w:t xml:space="preserve">Turner, M.A., Haughwout, A. and Van Der Klaauw, W., 2014. Land use regulation and welfare. </w:t>
      </w:r>
      <w:r w:rsidRPr="004138FC">
        <w:rPr>
          <w:rFonts w:ascii="Arial" w:hAnsi="Arial" w:cs="Arial"/>
          <w:i/>
          <w:sz w:val="16"/>
          <w:szCs w:val="16"/>
        </w:rPr>
        <w:t>Econometrica</w:t>
      </w:r>
      <w:r w:rsidRPr="004138FC">
        <w:rPr>
          <w:rFonts w:ascii="Arial" w:hAnsi="Arial" w:cs="Arial"/>
          <w:sz w:val="16"/>
          <w:szCs w:val="16"/>
        </w:rPr>
        <w:t>, 82(4), pp.1341-1403.</w:t>
      </w:r>
    </w:p>
    <w:p w14:paraId="488B6D61" w14:textId="77777777" w:rsidR="00651EF7" w:rsidRPr="004138FC" w:rsidRDefault="00651EF7" w:rsidP="00651EF7">
      <w:pPr>
        <w:rPr>
          <w:rFonts w:ascii="Arial" w:hAnsi="Arial" w:cs="Arial"/>
          <w:sz w:val="16"/>
          <w:szCs w:val="16"/>
          <w:lang w:val="en-AU"/>
        </w:rPr>
      </w:pPr>
      <w:r w:rsidRPr="004138FC">
        <w:rPr>
          <w:rFonts w:ascii="Arial" w:hAnsi="Arial" w:cs="Arial"/>
          <w:sz w:val="16"/>
          <w:szCs w:val="16"/>
          <w:lang w:val="en-AU"/>
        </w:rPr>
        <w:t xml:space="preserve">Venables, A.J., 2017. Expanding cities and connecting cities: the wider benefits of better communications. </w:t>
      </w:r>
      <w:r w:rsidRPr="004138FC">
        <w:rPr>
          <w:rFonts w:ascii="Arial" w:hAnsi="Arial" w:cs="Arial"/>
          <w:i/>
          <w:iCs/>
          <w:sz w:val="16"/>
          <w:szCs w:val="16"/>
          <w:lang w:val="en-AU"/>
        </w:rPr>
        <w:t>Journal of Transport, Economics and Policy</w:t>
      </w:r>
      <w:r w:rsidRPr="004138FC">
        <w:rPr>
          <w:rFonts w:ascii="Arial" w:hAnsi="Arial" w:cs="Arial"/>
          <w:sz w:val="16"/>
          <w:szCs w:val="16"/>
          <w:lang w:val="en-AU"/>
        </w:rPr>
        <w:t xml:space="preserve">, </w:t>
      </w:r>
      <w:r w:rsidRPr="004138FC">
        <w:rPr>
          <w:rFonts w:ascii="Arial" w:hAnsi="Arial" w:cs="Arial"/>
          <w:i/>
          <w:iCs/>
          <w:sz w:val="16"/>
          <w:szCs w:val="16"/>
          <w:lang w:val="en-AU"/>
        </w:rPr>
        <w:t>51</w:t>
      </w:r>
      <w:r w:rsidRPr="004138FC">
        <w:rPr>
          <w:rFonts w:ascii="Arial" w:hAnsi="Arial" w:cs="Arial"/>
          <w:sz w:val="16"/>
          <w:szCs w:val="16"/>
          <w:lang w:val="en-AU"/>
        </w:rPr>
        <w:t>(1).</w:t>
      </w:r>
    </w:p>
    <w:p w14:paraId="6ED62B79" w14:textId="55B9CC6A" w:rsidR="00454559" w:rsidRPr="004138FC" w:rsidRDefault="0095386A" w:rsidP="00454559">
      <w:pPr>
        <w:rPr>
          <w:rFonts w:ascii="Arial" w:hAnsi="Arial" w:cs="Arial"/>
          <w:sz w:val="16"/>
          <w:szCs w:val="16"/>
        </w:rPr>
      </w:pPr>
      <w:r w:rsidRPr="004138FC">
        <w:rPr>
          <w:rFonts w:ascii="Arial" w:hAnsi="Arial" w:cs="Arial"/>
          <w:sz w:val="16"/>
          <w:szCs w:val="16"/>
        </w:rPr>
        <w:t xml:space="preserve">Wegener, M., 2004. Overview of land-use transport models. In </w:t>
      </w:r>
      <w:r w:rsidRPr="004138FC">
        <w:rPr>
          <w:rFonts w:ascii="Arial" w:hAnsi="Arial" w:cs="Arial"/>
          <w:i/>
          <w:sz w:val="16"/>
          <w:szCs w:val="16"/>
        </w:rPr>
        <w:t>Handbook of transport geography and spatial systems</w:t>
      </w:r>
      <w:r w:rsidRPr="004138FC">
        <w:rPr>
          <w:rFonts w:ascii="Arial" w:hAnsi="Arial" w:cs="Arial"/>
          <w:sz w:val="16"/>
          <w:szCs w:val="16"/>
        </w:rPr>
        <w:t>, volume 5, pp.127-146.</w:t>
      </w:r>
    </w:p>
    <w:sectPr w:rsidR="00454559" w:rsidRPr="004138FC" w:rsidSect="00403697">
      <w:headerReference w:type="default" r:id="rId54"/>
      <w:footerReference w:type="default" r:id="rId55"/>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F7F29" w14:textId="77777777" w:rsidR="005341B7" w:rsidRDefault="005341B7">
      <w:r>
        <w:separator/>
      </w:r>
    </w:p>
  </w:endnote>
  <w:endnote w:type="continuationSeparator" w:id="0">
    <w:p w14:paraId="7B6AAA0A" w14:textId="77777777" w:rsidR="005341B7" w:rsidRDefault="0053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auto"/>
    <w:pitch w:val="variable"/>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498CB8C" w14:textId="77777777" w:rsidR="00454559" w:rsidRDefault="00454559" w:rsidP="00563F29">
    <w:pPr>
      <w:pStyle w:val="BodyText3"/>
      <w:pBdr>
        <w:top w:val="single" w:sz="4" w:space="1" w:color="auto"/>
      </w:pBdr>
      <w:ind w:right="-1"/>
      <w:rPr>
        <w:i/>
        <w:sz w:val="18"/>
        <w:szCs w:val="18"/>
      </w:rPr>
    </w:pPr>
  </w:p>
  <w:p w14:paraId="64C588E8" w14:textId="77777777" w:rsidR="00454559" w:rsidRPr="00563F29" w:rsidRDefault="005341B7" w:rsidP="00563F29">
    <w:pPr>
      <w:pStyle w:val="BodyText3"/>
      <w:pBdr>
        <w:top w:val="single" w:sz="4" w:space="1" w:color="auto"/>
      </w:pBdr>
      <w:ind w:right="-1"/>
      <w:rPr>
        <w:i/>
        <w:sz w:val="18"/>
        <w:szCs w:val="18"/>
      </w:rPr>
    </w:pPr>
    <w:r>
      <w:rPr>
        <w:noProof/>
      </w:rPr>
      <w:pict w14:anchorId="6F08D8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36.3pt;margin-top:-1.15pt;width:147pt;height:36.2pt;z-index:-1" wrapcoords="-66 0 -66 21333 21600 21333 21600 0 -66 0">
          <v:imagedata r:id="rId1" o:title="TRG-logo"/>
          <w10:wrap type="tight"/>
        </v:shape>
      </w:pict>
    </w:r>
    <w:r w:rsidR="00454559" w:rsidRPr="00D34B11">
      <w:rPr>
        <w:i/>
        <w:sz w:val="18"/>
        <w:szCs w:val="18"/>
      </w:rPr>
      <w:t xml:space="preserve">Transportation </w:t>
    </w:r>
    <w:r w:rsidR="00454559">
      <w:rPr>
        <w:i/>
        <w:sz w:val="18"/>
        <w:szCs w:val="18"/>
      </w:rPr>
      <w:t>2020 Conference, 10 – 13 March, Christchurch Town Hall</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0720A" w14:textId="77777777" w:rsidR="005341B7" w:rsidRDefault="005341B7">
      <w:r>
        <w:separator/>
      </w:r>
    </w:p>
  </w:footnote>
  <w:footnote w:type="continuationSeparator" w:id="0">
    <w:p w14:paraId="3BC7C583" w14:textId="77777777" w:rsidR="005341B7" w:rsidRDefault="005341B7">
      <w:r>
        <w:continuationSeparator/>
      </w:r>
    </w:p>
  </w:footnote>
  <w:footnote w:id="1">
    <w:p w14:paraId="5831BD50" w14:textId="0F64311A" w:rsidR="00454559" w:rsidRPr="007F702A" w:rsidRDefault="00454559" w:rsidP="0051052A">
      <w:pPr>
        <w:pStyle w:val="FootnoteText"/>
        <w:rPr>
          <w:rFonts w:ascii="Arial" w:hAnsi="Arial" w:cs="Arial"/>
          <w:sz w:val="16"/>
          <w:szCs w:val="16"/>
          <w:lang w:val="mi-NZ"/>
        </w:rPr>
      </w:pPr>
      <w:r w:rsidRPr="007F702A">
        <w:rPr>
          <w:rStyle w:val="FootnoteReference"/>
          <w:rFonts w:ascii="Arial" w:hAnsi="Arial" w:cs="Arial"/>
          <w:sz w:val="16"/>
          <w:szCs w:val="16"/>
        </w:rPr>
        <w:footnoteRef/>
      </w:r>
      <w:r w:rsidRPr="007F702A">
        <w:rPr>
          <w:rFonts w:ascii="Arial" w:hAnsi="Arial" w:cs="Arial"/>
          <w:sz w:val="16"/>
          <w:szCs w:val="16"/>
        </w:rPr>
        <w:t xml:space="preserve"> These impacts are alluded to in the NZ Transport Agency’s interim guidance on valuing the dynamic </w:t>
      </w:r>
      <w:r w:rsidR="00290415">
        <w:rPr>
          <w:rFonts w:ascii="Arial" w:hAnsi="Arial" w:cs="Arial"/>
          <w:sz w:val="16"/>
          <w:szCs w:val="16"/>
        </w:rPr>
        <w:t>/ transformative</w:t>
      </w:r>
      <w:r w:rsidRPr="007F702A">
        <w:rPr>
          <w:rFonts w:ascii="Arial" w:hAnsi="Arial" w:cs="Arial"/>
          <w:sz w:val="16"/>
          <w:szCs w:val="16"/>
        </w:rPr>
        <w:t xml:space="preserve"> benefits of transport investments</w:t>
      </w:r>
      <w:r w:rsidR="00966A0C">
        <w:rPr>
          <w:rFonts w:ascii="Arial" w:hAnsi="Arial" w:cs="Arial"/>
          <w:sz w:val="16"/>
          <w:szCs w:val="16"/>
        </w:rPr>
        <w:t xml:space="preserve"> (NZTA, 2019).</w:t>
      </w:r>
    </w:p>
  </w:footnote>
  <w:footnote w:id="2">
    <w:p w14:paraId="07388DFE" w14:textId="77777777" w:rsidR="00454559" w:rsidRPr="007F702A" w:rsidRDefault="00454559" w:rsidP="0051052A">
      <w:pPr>
        <w:pStyle w:val="FootnoteText"/>
        <w:rPr>
          <w:rFonts w:ascii="Arial" w:hAnsi="Arial" w:cs="Arial"/>
          <w:sz w:val="16"/>
          <w:szCs w:val="16"/>
          <w:lang w:val="mi-NZ"/>
        </w:rPr>
      </w:pPr>
      <w:r w:rsidRPr="007F702A">
        <w:rPr>
          <w:rStyle w:val="FootnoteReference"/>
          <w:rFonts w:ascii="Arial" w:hAnsi="Arial" w:cs="Arial"/>
          <w:sz w:val="16"/>
          <w:szCs w:val="16"/>
        </w:rPr>
        <w:footnoteRef/>
      </w:r>
      <w:r w:rsidRPr="007F702A">
        <w:rPr>
          <w:rFonts w:ascii="Arial" w:hAnsi="Arial" w:cs="Arial"/>
          <w:sz w:val="16"/>
          <w:szCs w:val="16"/>
        </w:rPr>
        <w:t xml:space="preserve"> </w:t>
      </w:r>
      <w:r w:rsidRPr="007F702A">
        <w:rPr>
          <w:rFonts w:ascii="Arial" w:hAnsi="Arial" w:cs="Arial"/>
          <w:sz w:val="16"/>
          <w:szCs w:val="16"/>
          <w:lang w:val="mi-NZ"/>
        </w:rPr>
        <w:t>‘Greenfield’ sites are large sites, often although not always in rural use, that must be serviced and subdivided before being urbanised. ‘Brownfield’ sites are large sites with previous uses, such as closed-down industries, that are being re-used for other urban uses.</w:t>
      </w:r>
    </w:p>
  </w:footnote>
  <w:footnote w:id="3">
    <w:p w14:paraId="34298BA2" w14:textId="03001C52" w:rsidR="00454559" w:rsidRPr="004F6514" w:rsidRDefault="00454559" w:rsidP="004F6514">
      <w:pPr>
        <w:outlineLvl w:val="0"/>
        <w:rPr>
          <w:rFonts w:ascii="Arial" w:hAnsi="Arial" w:cs="Arial"/>
          <w:bCs/>
          <w:sz w:val="22"/>
          <w:szCs w:val="22"/>
          <w:lang w:val="en-AU"/>
        </w:rPr>
      </w:pPr>
      <w:r w:rsidRPr="004F6514">
        <w:rPr>
          <w:rFonts w:ascii="Arial" w:hAnsi="Arial" w:cs="Arial"/>
          <w:sz w:val="16"/>
          <w:szCs w:val="16"/>
          <w:vertAlign w:val="superscript"/>
          <w:lang w:val="mi-NZ"/>
        </w:rPr>
        <w:footnoteRef/>
      </w:r>
      <w:r w:rsidRPr="004F6514">
        <w:rPr>
          <w:rFonts w:ascii="Arial" w:hAnsi="Arial" w:cs="Arial"/>
          <w:sz w:val="16"/>
          <w:szCs w:val="16"/>
          <w:lang w:val="mi-NZ"/>
        </w:rPr>
        <w:t xml:space="preserve"> A ‘perfectly competitive’ market is one that lacks any significant market imperfections, such as externalities, market power, or information problems (Boardman et al, 2011). In the absence of market imperfections, voluntary transactions between willing buyers and willing sellers will </w:t>
      </w:r>
      <w:r w:rsidR="005C39E3">
        <w:rPr>
          <w:rFonts w:ascii="Arial" w:hAnsi="Arial" w:cs="Arial"/>
          <w:sz w:val="16"/>
          <w:szCs w:val="16"/>
          <w:lang w:val="mi-NZ"/>
        </w:rPr>
        <w:t>lead to an optimal outcome for society</w:t>
      </w:r>
      <w:r w:rsidRPr="004F6514">
        <w:rPr>
          <w:rFonts w:ascii="Arial" w:hAnsi="Arial" w:cs="Arial"/>
          <w:sz w:val="16"/>
          <w:szCs w:val="16"/>
          <w:lang w:val="mi-NZ"/>
        </w:rPr>
        <w:t>. However, if there are market imperfections, then this may not be the case.</w:t>
      </w:r>
    </w:p>
  </w:footnote>
  <w:footnote w:id="4">
    <w:p w14:paraId="230AE7F1" w14:textId="11E816AD" w:rsidR="00245312" w:rsidRPr="00245312" w:rsidRDefault="00245312">
      <w:pPr>
        <w:pStyle w:val="FootnoteText"/>
        <w:rPr>
          <w:rFonts w:ascii="Arial" w:hAnsi="Arial" w:cs="Arial"/>
          <w:sz w:val="16"/>
          <w:szCs w:val="16"/>
          <w:lang w:val="mi-NZ"/>
        </w:rPr>
      </w:pPr>
      <w:r w:rsidRPr="00245312">
        <w:rPr>
          <w:rStyle w:val="FootnoteReference"/>
          <w:rFonts w:ascii="Arial" w:hAnsi="Arial" w:cs="Arial"/>
          <w:sz w:val="16"/>
          <w:szCs w:val="16"/>
        </w:rPr>
        <w:footnoteRef/>
      </w:r>
      <w:r w:rsidRPr="00245312">
        <w:rPr>
          <w:rFonts w:ascii="Arial" w:hAnsi="Arial" w:cs="Arial"/>
          <w:sz w:val="16"/>
          <w:szCs w:val="16"/>
        </w:rPr>
        <w:t xml:space="preserve"> </w:t>
      </w:r>
      <w:r w:rsidR="003B50F1">
        <w:rPr>
          <w:rFonts w:ascii="Arial" w:hAnsi="Arial" w:cs="Arial"/>
          <w:sz w:val="16"/>
          <w:szCs w:val="16"/>
          <w:lang w:val="mi-NZ"/>
        </w:rPr>
        <w:t>For instance, Nunns (2018</w:t>
      </w:r>
      <w:r w:rsidRPr="00245312">
        <w:rPr>
          <w:rFonts w:ascii="Arial" w:hAnsi="Arial" w:cs="Arial"/>
          <w:sz w:val="16"/>
          <w:szCs w:val="16"/>
          <w:lang w:val="mi-NZ"/>
        </w:rPr>
        <w:t xml:space="preserve">) finds that </w:t>
      </w:r>
      <w:r w:rsidR="003B50F1">
        <w:rPr>
          <w:rFonts w:ascii="Arial" w:hAnsi="Arial" w:cs="Arial"/>
          <w:sz w:val="16"/>
          <w:szCs w:val="16"/>
          <w:lang w:val="mi-NZ"/>
        </w:rPr>
        <w:t>New Zealand regions with greater evidence of supply constraints experienced larger increases in house prices and rents than less-constrained regions in response to similarly-sized migration inflows.</w:t>
      </w:r>
    </w:p>
  </w:footnote>
  <w:footnote w:id="5">
    <w:p w14:paraId="5EF4CA90" w14:textId="7B32DB0B" w:rsidR="00454559" w:rsidRPr="007F702A" w:rsidRDefault="00454559" w:rsidP="004F6514">
      <w:pPr>
        <w:pStyle w:val="FootnoteText"/>
        <w:rPr>
          <w:rFonts w:ascii="Arial" w:hAnsi="Arial" w:cs="Arial"/>
          <w:sz w:val="16"/>
          <w:szCs w:val="16"/>
          <w:lang w:val="mi-NZ"/>
        </w:rPr>
      </w:pPr>
      <w:r w:rsidRPr="007F702A">
        <w:rPr>
          <w:rStyle w:val="FootnoteReference"/>
          <w:rFonts w:ascii="Arial" w:hAnsi="Arial" w:cs="Arial"/>
          <w:sz w:val="16"/>
          <w:szCs w:val="16"/>
        </w:rPr>
        <w:footnoteRef/>
      </w:r>
      <w:r w:rsidRPr="007F702A">
        <w:rPr>
          <w:rFonts w:ascii="Arial" w:hAnsi="Arial" w:cs="Arial"/>
          <w:sz w:val="16"/>
          <w:szCs w:val="16"/>
        </w:rPr>
        <w:t xml:space="preserve"> </w:t>
      </w:r>
      <w:r w:rsidRPr="007F702A">
        <w:rPr>
          <w:rFonts w:ascii="Arial" w:hAnsi="Arial" w:cs="Arial"/>
          <w:sz w:val="16"/>
          <w:szCs w:val="16"/>
          <w:lang w:val="mi-NZ"/>
        </w:rPr>
        <w:t>It is possible to create new land by filling or draining water bodies, but this is costly and hence infrequent in New Zealand.</w:t>
      </w:r>
    </w:p>
  </w:footnote>
  <w:footnote w:id="6">
    <w:p w14:paraId="1FABFA47" w14:textId="77777777" w:rsidR="00454559" w:rsidRPr="007F702A" w:rsidRDefault="00454559" w:rsidP="00474EE0">
      <w:pPr>
        <w:pStyle w:val="FootnoteText"/>
        <w:rPr>
          <w:rFonts w:ascii="Arial" w:hAnsi="Arial" w:cs="Arial"/>
          <w:sz w:val="16"/>
          <w:szCs w:val="16"/>
          <w:lang w:val="mi-NZ"/>
        </w:rPr>
      </w:pPr>
      <w:r w:rsidRPr="007F702A">
        <w:rPr>
          <w:rStyle w:val="FootnoteReference"/>
          <w:rFonts w:ascii="Arial" w:hAnsi="Arial" w:cs="Arial"/>
          <w:sz w:val="16"/>
          <w:szCs w:val="16"/>
        </w:rPr>
        <w:footnoteRef/>
      </w:r>
      <w:r w:rsidRPr="007F702A">
        <w:rPr>
          <w:rFonts w:ascii="Arial" w:hAnsi="Arial" w:cs="Arial"/>
          <w:sz w:val="16"/>
          <w:szCs w:val="16"/>
        </w:rPr>
        <w:t xml:space="preserve"> PCMs are slightly lower but still significant for house prices and apartment prices, as opposed to residential land prices. Nunns’ (2018) estimates of house price distortions imply a PCM of 93% for standalone homes in Auckland, 66% in Wellington, and 38% in Christchurch. PCMs are lower for house prices as they include the cost to physically build structures.</w:t>
      </w:r>
    </w:p>
  </w:footnote>
  <w:footnote w:id="7">
    <w:p w14:paraId="1B8428EF" w14:textId="7AFD5197" w:rsidR="00454559" w:rsidRPr="00DC5758" w:rsidRDefault="00454559">
      <w:pPr>
        <w:pStyle w:val="FootnoteText"/>
        <w:rPr>
          <w:lang w:val="mi-NZ"/>
        </w:rPr>
      </w:pPr>
      <w:r w:rsidRPr="00CB2702">
        <w:rPr>
          <w:rFonts w:ascii="Arial" w:hAnsi="Arial" w:cs="Arial"/>
          <w:sz w:val="16"/>
          <w:szCs w:val="16"/>
          <w:vertAlign w:val="superscript"/>
        </w:rPr>
        <w:footnoteRef/>
      </w:r>
      <w:r w:rsidRPr="00DC5758">
        <w:rPr>
          <w:rFonts w:ascii="Arial" w:hAnsi="Arial" w:cs="Arial"/>
          <w:sz w:val="16"/>
          <w:szCs w:val="16"/>
        </w:rPr>
        <w:t xml:space="preserve"> </w:t>
      </w:r>
      <w:r>
        <w:rPr>
          <w:rFonts w:ascii="Arial" w:hAnsi="Arial" w:cs="Arial"/>
          <w:sz w:val="16"/>
          <w:szCs w:val="16"/>
        </w:rPr>
        <w:t>In this scenario, t</w:t>
      </w:r>
      <w:r w:rsidRPr="00DC5758">
        <w:rPr>
          <w:rFonts w:ascii="Arial" w:hAnsi="Arial" w:cs="Arial"/>
          <w:sz w:val="16"/>
          <w:szCs w:val="16"/>
        </w:rPr>
        <w:t xml:space="preserve">ransport improvements </w:t>
      </w:r>
      <w:r>
        <w:rPr>
          <w:rFonts w:ascii="Arial" w:hAnsi="Arial" w:cs="Arial"/>
          <w:sz w:val="16"/>
          <w:szCs w:val="16"/>
        </w:rPr>
        <w:t>can only</w:t>
      </w:r>
      <w:r w:rsidRPr="00DC5758">
        <w:rPr>
          <w:rFonts w:ascii="Arial" w:hAnsi="Arial" w:cs="Arial"/>
          <w:sz w:val="16"/>
          <w:szCs w:val="16"/>
        </w:rPr>
        <w:t xml:space="preserve"> affect regional average house prices by shifting housing demand away from densely-developed areas with high prices towards less dense areas with lower prices. This could mean shifting demand away from redevelopment areas into greenfield areas, or shifting demand away from dense city centre areas to less-developed areas around suburban train stations.</w:t>
      </w:r>
    </w:p>
  </w:footnote>
  <w:footnote w:id="8">
    <w:p w14:paraId="62B16ABC" w14:textId="3C7382EA" w:rsidR="00454559" w:rsidRPr="00DC5758" w:rsidRDefault="00454559">
      <w:pPr>
        <w:pStyle w:val="FootnoteText"/>
        <w:rPr>
          <w:rFonts w:ascii="Arial" w:hAnsi="Arial" w:cs="Arial"/>
          <w:sz w:val="16"/>
          <w:szCs w:val="16"/>
        </w:rPr>
      </w:pPr>
      <w:r w:rsidRPr="00CB2702">
        <w:rPr>
          <w:rFonts w:ascii="Arial" w:hAnsi="Arial" w:cs="Arial"/>
          <w:sz w:val="16"/>
          <w:szCs w:val="16"/>
          <w:vertAlign w:val="superscript"/>
        </w:rPr>
        <w:footnoteRef/>
      </w:r>
      <w:r w:rsidRPr="00DC5758">
        <w:rPr>
          <w:rFonts w:ascii="Arial" w:hAnsi="Arial" w:cs="Arial"/>
          <w:sz w:val="16"/>
          <w:szCs w:val="16"/>
        </w:rPr>
        <w:t xml:space="preserve"> In this scenario, transport improvements can reduce regional average house prices by increasing competition between alternative locations. </w:t>
      </w:r>
      <w:r>
        <w:rPr>
          <w:rFonts w:ascii="Arial" w:hAnsi="Arial" w:cs="Arial"/>
          <w:sz w:val="16"/>
          <w:szCs w:val="16"/>
        </w:rPr>
        <w:t>C</w:t>
      </w:r>
      <w:r w:rsidRPr="00DC5758">
        <w:rPr>
          <w:rFonts w:ascii="Arial" w:hAnsi="Arial" w:cs="Arial"/>
          <w:sz w:val="16"/>
          <w:szCs w:val="16"/>
        </w:rPr>
        <w:t xml:space="preserve">omplementary measures </w:t>
      </w:r>
      <w:r>
        <w:rPr>
          <w:rFonts w:ascii="Arial" w:hAnsi="Arial" w:cs="Arial"/>
          <w:sz w:val="16"/>
          <w:szCs w:val="16"/>
        </w:rPr>
        <w:t>such as rezoning to enable greater density can strengthen this effect</w:t>
      </w:r>
      <w:r w:rsidRPr="00DC5758">
        <w:rPr>
          <w:rFonts w:ascii="Arial" w:hAnsi="Arial" w:cs="Arial"/>
          <w:sz w:val="16"/>
          <w:szCs w:val="16"/>
        </w:rPr>
        <w:t xml:space="preserve">. Importantly, </w:t>
      </w:r>
      <w:r>
        <w:rPr>
          <w:rFonts w:ascii="Arial" w:hAnsi="Arial" w:cs="Arial"/>
          <w:sz w:val="16"/>
          <w:szCs w:val="16"/>
        </w:rPr>
        <w:t>reductions in prices</w:t>
      </w:r>
      <w:r w:rsidRPr="00DC5758">
        <w:rPr>
          <w:rFonts w:ascii="Arial" w:hAnsi="Arial" w:cs="Arial"/>
          <w:sz w:val="16"/>
          <w:szCs w:val="16"/>
        </w:rPr>
        <w:t xml:space="preserve"> can coincide with a variety of different patterns of land use relocation. For instance, stronger competition in land / housing development could reduce inner-city housing prices and hence attract people to relocate to formerly-expensive neighbourhoods.</w:t>
      </w:r>
    </w:p>
  </w:footnote>
  <w:footnote w:id="9">
    <w:p w14:paraId="07BB7537" w14:textId="77777777" w:rsidR="00454559" w:rsidRPr="007F702A" w:rsidRDefault="00454559" w:rsidP="00CB2702">
      <w:pPr>
        <w:pStyle w:val="FootnoteText"/>
        <w:rPr>
          <w:rFonts w:ascii="Arial" w:hAnsi="Arial" w:cs="Arial"/>
          <w:sz w:val="16"/>
          <w:szCs w:val="16"/>
          <w:lang w:val="mi-NZ"/>
        </w:rPr>
      </w:pPr>
      <w:r w:rsidRPr="007F702A">
        <w:rPr>
          <w:rStyle w:val="FootnoteReference"/>
          <w:rFonts w:ascii="Arial" w:hAnsi="Arial" w:cs="Arial"/>
          <w:sz w:val="16"/>
          <w:szCs w:val="16"/>
        </w:rPr>
        <w:footnoteRef/>
      </w:r>
      <w:r w:rsidRPr="007F702A">
        <w:rPr>
          <w:rFonts w:ascii="Arial" w:hAnsi="Arial" w:cs="Arial"/>
          <w:sz w:val="16"/>
          <w:szCs w:val="16"/>
        </w:rPr>
        <w:t xml:space="preserve"> </w:t>
      </w:r>
      <w:r w:rsidRPr="007F702A">
        <w:rPr>
          <w:rFonts w:ascii="Arial" w:hAnsi="Arial" w:cs="Arial"/>
          <w:sz w:val="16"/>
          <w:szCs w:val="16"/>
          <w:lang w:val="mi-NZ"/>
        </w:rPr>
        <w:t>Poor geography can also play a role. For instance, holding all else equal a new train station next to the coast will do less to enable housing development than an inland train station, as half of the area around the station is underwater and hence undevelopable.</w:t>
      </w:r>
    </w:p>
  </w:footnote>
  <w:footnote w:id="10">
    <w:p w14:paraId="54645A23" w14:textId="695D97BD" w:rsidR="00454559" w:rsidRPr="00623B92" w:rsidRDefault="00454559">
      <w:pPr>
        <w:pStyle w:val="FootnoteText"/>
        <w:rPr>
          <w:lang w:val="mi-NZ"/>
        </w:rPr>
      </w:pPr>
      <w:r w:rsidRPr="00623B92">
        <w:rPr>
          <w:rFonts w:ascii="Arial" w:hAnsi="Arial" w:cs="Arial"/>
          <w:sz w:val="16"/>
          <w:szCs w:val="16"/>
          <w:vertAlign w:val="superscript"/>
          <w:lang w:val="mi-NZ"/>
        </w:rPr>
        <w:footnoteRef/>
      </w:r>
      <w:r w:rsidRPr="00623B92">
        <w:rPr>
          <w:rFonts w:ascii="Arial" w:hAnsi="Arial" w:cs="Arial"/>
          <w:sz w:val="16"/>
          <w:szCs w:val="16"/>
          <w:lang w:val="mi-NZ"/>
        </w:rPr>
        <w:t xml:space="preserve"> </w:t>
      </w:r>
      <w:r>
        <w:rPr>
          <w:rFonts w:ascii="Arial" w:hAnsi="Arial" w:cs="Arial"/>
          <w:sz w:val="16"/>
          <w:szCs w:val="16"/>
          <w:lang w:val="mi-NZ"/>
        </w:rPr>
        <w:t>A potential</w:t>
      </w:r>
      <w:r w:rsidRPr="00623B92">
        <w:rPr>
          <w:rFonts w:ascii="Arial" w:hAnsi="Arial" w:cs="Arial"/>
          <w:sz w:val="16"/>
          <w:szCs w:val="16"/>
          <w:lang w:val="mi-NZ"/>
        </w:rPr>
        <w:t xml:space="preserve"> objection to this is that </w:t>
      </w:r>
      <w:r>
        <w:rPr>
          <w:rFonts w:ascii="Arial" w:hAnsi="Arial" w:cs="Arial"/>
          <w:sz w:val="16"/>
          <w:szCs w:val="16"/>
          <w:lang w:val="mi-NZ"/>
        </w:rPr>
        <w:t xml:space="preserve">these economic gains will be offset by other social and environmental costs, such as increased congestion, crowding, and environmental damage. The empirical evidence is mixed on </w:t>
      </w:r>
      <w:r w:rsidR="00383B28">
        <w:rPr>
          <w:rFonts w:ascii="Arial" w:hAnsi="Arial" w:cs="Arial"/>
          <w:sz w:val="16"/>
          <w:szCs w:val="16"/>
          <w:lang w:val="mi-NZ"/>
        </w:rPr>
        <w:t>the net direction of these</w:t>
      </w:r>
      <w:r>
        <w:rPr>
          <w:rFonts w:ascii="Arial" w:hAnsi="Arial" w:cs="Arial"/>
          <w:sz w:val="16"/>
          <w:szCs w:val="16"/>
          <w:lang w:val="mi-NZ"/>
        </w:rPr>
        <w:t xml:space="preserve"> effects</w:t>
      </w:r>
      <w:r w:rsidR="00383B28">
        <w:rPr>
          <w:rFonts w:ascii="Arial" w:hAnsi="Arial" w:cs="Arial"/>
          <w:sz w:val="16"/>
          <w:szCs w:val="16"/>
          <w:lang w:val="mi-NZ"/>
        </w:rPr>
        <w:t xml:space="preserve"> but in general it does not seem to be the case that the ‘bads’ outweigh the ‘goods’</w:t>
      </w:r>
      <w:r>
        <w:rPr>
          <w:rFonts w:ascii="Arial" w:hAnsi="Arial" w:cs="Arial"/>
          <w:sz w:val="16"/>
          <w:szCs w:val="16"/>
          <w:lang w:val="mi-NZ"/>
        </w:rPr>
        <w:t xml:space="preserve"> (</w:t>
      </w:r>
      <w:r w:rsidR="00383B28">
        <w:rPr>
          <w:rFonts w:ascii="Arial" w:hAnsi="Arial" w:cs="Arial"/>
          <w:sz w:val="16"/>
          <w:szCs w:val="16"/>
          <w:lang w:val="mi-NZ"/>
        </w:rPr>
        <w:t xml:space="preserve">Nunns and Denne, 2016; </w:t>
      </w:r>
      <w:r>
        <w:rPr>
          <w:rFonts w:ascii="Arial" w:hAnsi="Arial" w:cs="Arial"/>
          <w:sz w:val="16"/>
          <w:szCs w:val="16"/>
          <w:lang w:val="mi-NZ"/>
        </w:rPr>
        <w:t xml:space="preserve">MRCagney, 2019). </w:t>
      </w:r>
    </w:p>
  </w:footnote>
  <w:footnote w:id="11">
    <w:p w14:paraId="1B17E44D" w14:textId="77777777" w:rsidR="00454559" w:rsidRPr="007F702A" w:rsidRDefault="00454559" w:rsidP="004F6514">
      <w:pPr>
        <w:pStyle w:val="FootnoteText"/>
        <w:rPr>
          <w:rFonts w:ascii="Arial" w:hAnsi="Arial" w:cs="Arial"/>
          <w:sz w:val="16"/>
          <w:szCs w:val="16"/>
          <w:lang w:val="mi-NZ"/>
        </w:rPr>
      </w:pPr>
      <w:r w:rsidRPr="007F702A">
        <w:rPr>
          <w:rStyle w:val="FootnoteReference"/>
          <w:rFonts w:ascii="Arial" w:hAnsi="Arial" w:cs="Arial"/>
          <w:sz w:val="16"/>
          <w:szCs w:val="16"/>
        </w:rPr>
        <w:footnoteRef/>
      </w:r>
      <w:r w:rsidRPr="007F702A">
        <w:rPr>
          <w:rFonts w:ascii="Arial" w:hAnsi="Arial" w:cs="Arial"/>
          <w:sz w:val="16"/>
          <w:szCs w:val="16"/>
        </w:rPr>
        <w:t xml:space="preserve"> </w:t>
      </w:r>
      <w:r w:rsidRPr="007F702A">
        <w:rPr>
          <w:rFonts w:ascii="Arial" w:hAnsi="Arial" w:cs="Arial"/>
          <w:sz w:val="16"/>
          <w:szCs w:val="16"/>
          <w:lang w:val="mi-NZ"/>
        </w:rPr>
        <w:t xml:space="preserve">Lower transport costs will cause some people to make additional trips. Conventional transport appraisal captures the benefits of these trips using a ‘rule of half’ calculation. </w:t>
      </w:r>
    </w:p>
  </w:footnote>
  <w:footnote w:id="12">
    <w:p w14:paraId="524EC2EB" w14:textId="05651C5B" w:rsidR="00454559" w:rsidRPr="00726E62" w:rsidRDefault="00454559">
      <w:pPr>
        <w:pStyle w:val="FootnoteText"/>
        <w:rPr>
          <w:lang w:val="mi-NZ"/>
        </w:rPr>
      </w:pPr>
      <w:r w:rsidRPr="00726E62">
        <w:rPr>
          <w:rFonts w:ascii="Arial" w:hAnsi="Arial" w:cs="Arial"/>
          <w:sz w:val="16"/>
          <w:szCs w:val="16"/>
          <w:vertAlign w:val="superscript"/>
          <w:lang w:val="mi-NZ"/>
        </w:rPr>
        <w:footnoteRef/>
      </w:r>
      <w:r w:rsidRPr="00726E62">
        <w:rPr>
          <w:rFonts w:ascii="Arial" w:hAnsi="Arial" w:cs="Arial"/>
          <w:sz w:val="16"/>
          <w:szCs w:val="16"/>
          <w:lang w:val="mi-NZ"/>
        </w:rPr>
        <w:t xml:space="preserve"> These are agglomeration benefits, imperfect competition benefits, and labour supply benefits</w:t>
      </w:r>
      <w:r>
        <w:rPr>
          <w:rFonts w:ascii="Arial" w:hAnsi="Arial" w:cs="Arial"/>
          <w:sz w:val="16"/>
          <w:szCs w:val="16"/>
          <w:lang w:val="mi-NZ"/>
        </w:rPr>
        <w:t>.</w:t>
      </w:r>
    </w:p>
  </w:footnote>
  <w:footnote w:id="13">
    <w:p w14:paraId="7EB6536A" w14:textId="731D87D0" w:rsidR="00454559" w:rsidRPr="00454559" w:rsidRDefault="00454559">
      <w:pPr>
        <w:pStyle w:val="FootnoteText"/>
        <w:rPr>
          <w:rStyle w:val="FootnoteReference"/>
          <w:rFonts w:ascii="Arial" w:hAnsi="Arial" w:cs="Arial"/>
          <w:sz w:val="16"/>
          <w:szCs w:val="16"/>
        </w:rPr>
      </w:pPr>
      <w:r w:rsidRPr="003402A4">
        <w:rPr>
          <w:rStyle w:val="FootnoteReference"/>
          <w:rFonts w:ascii="Arial" w:hAnsi="Arial" w:cs="Arial"/>
          <w:sz w:val="16"/>
          <w:szCs w:val="16"/>
        </w:rPr>
        <w:footnoteRef/>
      </w:r>
      <w:r w:rsidRPr="00454559">
        <w:rPr>
          <w:rStyle w:val="FootnoteReference"/>
          <w:rFonts w:ascii="Arial" w:hAnsi="Arial" w:cs="Arial"/>
          <w:sz w:val="16"/>
          <w:szCs w:val="16"/>
        </w:rPr>
        <w:t xml:space="preserve"> </w:t>
      </w:r>
      <w:r w:rsidR="00383B28">
        <w:rPr>
          <w:rStyle w:val="FootnoteReference"/>
          <w:rFonts w:ascii="Arial" w:hAnsi="Arial" w:cs="Arial"/>
          <w:sz w:val="16"/>
          <w:szCs w:val="16"/>
          <w:vertAlign w:val="baseline"/>
        </w:rPr>
        <w:t>See also Wegener (</w:t>
      </w:r>
      <w:r w:rsidRPr="00454559">
        <w:rPr>
          <w:rStyle w:val="FootnoteReference"/>
          <w:rFonts w:ascii="Arial" w:hAnsi="Arial" w:cs="Arial"/>
          <w:sz w:val="16"/>
          <w:szCs w:val="16"/>
          <w:vertAlign w:val="baseline"/>
        </w:rPr>
        <w:t>2004</w:t>
      </w:r>
      <w:r w:rsidR="00383B28">
        <w:rPr>
          <w:rStyle w:val="FootnoteReference"/>
          <w:rFonts w:ascii="Arial" w:hAnsi="Arial" w:cs="Arial"/>
          <w:sz w:val="16"/>
          <w:szCs w:val="16"/>
          <w:vertAlign w:val="baseline"/>
        </w:rPr>
        <w:t>)</w:t>
      </w:r>
      <w:r w:rsidRPr="00454559">
        <w:rPr>
          <w:rStyle w:val="FootnoteReference"/>
          <w:rFonts w:ascii="Arial" w:hAnsi="Arial" w:cs="Arial"/>
          <w:sz w:val="16"/>
          <w:szCs w:val="16"/>
          <w:vertAlign w:val="baseline"/>
        </w:rPr>
        <w:t xml:space="preserve"> for an earlier review.</w:t>
      </w:r>
    </w:p>
  </w:footnote>
  <w:footnote w:id="14">
    <w:p w14:paraId="48ED191F" w14:textId="6D46B277" w:rsidR="00454559" w:rsidRPr="00454559" w:rsidRDefault="00454559">
      <w:pPr>
        <w:pStyle w:val="FootnoteText"/>
        <w:rPr>
          <w:rStyle w:val="FootnoteReference"/>
          <w:rFonts w:ascii="Arial" w:hAnsi="Arial" w:cs="Arial"/>
          <w:sz w:val="16"/>
          <w:szCs w:val="16"/>
          <w:vertAlign w:val="baseline"/>
        </w:rPr>
      </w:pPr>
      <w:r w:rsidRPr="00454559">
        <w:rPr>
          <w:rStyle w:val="FootnoteReference"/>
          <w:rFonts w:ascii="Arial" w:hAnsi="Arial" w:cs="Arial"/>
          <w:sz w:val="16"/>
          <w:szCs w:val="16"/>
        </w:rPr>
        <w:footnoteRef/>
      </w:r>
      <w:r w:rsidRPr="00454559">
        <w:rPr>
          <w:rStyle w:val="FootnoteReference"/>
          <w:rFonts w:ascii="Arial" w:hAnsi="Arial" w:cs="Arial"/>
          <w:sz w:val="16"/>
          <w:szCs w:val="16"/>
          <w:vertAlign w:val="baseline"/>
        </w:rPr>
        <w:t xml:space="preserve"> </w:t>
      </w:r>
      <w:r w:rsidRPr="00454559">
        <w:rPr>
          <w:rStyle w:val="FootnoteReference"/>
          <w:rFonts w:ascii="Arial" w:eastAsia="MS PGothic" w:hAnsi="Arial" w:cs="Arial"/>
          <w:sz w:val="16"/>
          <w:szCs w:val="16"/>
          <w:vertAlign w:val="baseline"/>
        </w:rPr>
        <w:fldChar w:fldCharType="begin"/>
      </w:r>
      <w:r w:rsidRPr="00454559">
        <w:rPr>
          <w:rStyle w:val="FootnoteReference"/>
          <w:rFonts w:ascii="Arial" w:eastAsia="MS PGothic" w:hAnsi="Arial" w:cs="Arial"/>
          <w:sz w:val="16"/>
          <w:szCs w:val="16"/>
          <w:vertAlign w:val="baseline"/>
        </w:rPr>
        <w:instrText xml:space="preserve"> QUOTE </w:instrText>
      </w:r>
      <w:r w:rsidR="005341B7">
        <w:rPr>
          <w:rStyle w:val="FootnoteReference"/>
          <w:rFonts w:ascii="Arial" w:eastAsia="MS PGothic" w:hAnsi="Arial" w:cs="Arial"/>
          <w:sz w:val="16"/>
          <w:szCs w:val="16"/>
          <w:vertAlign w:val="baseline"/>
        </w:rPr>
        <w:pict w14:anchorId="056FA90E">
          <v:shape id="_x0000_i1091" type="#_x0000_t75" style="width:80.85pt;height:23.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E67CA&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9E67CA&quot; wsp:rsidP=&quot;009E67CA&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C&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f&gt;&lt;m:fPr&gt;&lt;m:ctrlPr&gt;&lt;w:rPr&gt;&lt;w:rFonts w:ascii=&quot;Cambria Math&quot; w:fareast=&quot;MS PGothic&quot; w:h-ansi=&quot;Cambria Math&quot;/&gt;&lt;wx:font wx:val=&quot;Cambria Math&quot;/&gt;&lt;w:i/&gt;&lt;w:sz w:val=&quot;20&quot;/&gt;&lt;w:lang w:val=&quot;EN-AU&quot; w:fareast=&quot;JA&quot;/&gt;&lt;/w:rPr&gt;&lt;/m:ctrlPr&gt;&lt;/m:fPr&gt;&lt;m:num&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d&gt;&lt;m:dPr&gt;&lt;m:ctrlPr&gt;&lt;w:rPr&gt;&lt;w:rFonts w:ascii=&quot;Cambria Math&quot; w:fareast=&quot;MS PGothic&quot; w:h-ansi=&quot;Cambria Math&quot;/&gt;&lt;wx:font wx:val=&quot;Cambria Math&quot;/&gt;&lt;w:i/&gt;&lt;w:sz w:val=&quot;20&quot;/&gt;&lt;w:lang w:val=&quot;EN-AU&quot; w:fareast=&quot;JA&quot;/&gt;&lt;/w:rPr&gt;&lt;/m:ctrlPr&gt;&lt;/m:dPr&gt;&lt;m:e&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P&lt;/m:t&gt;&lt;/m:r&gt;&lt;/m:e&gt;&lt;m:sup&gt;&lt;m:r&gt;&lt;w:rPr&gt;&lt;w:rFonts w:ascii=&quot;Cambria Math&quot; w:fareast=&quot;MS PGothic&quot; w:h-ansi=&quot;Cambria Math&quot;/&gt;&lt;wx:font wx:val=&quot;Cambria Math&quot;/&gt;&lt;w:i/&gt;&lt;w:sz w:val=&quot;20&quot;/&gt;&lt;w:lang w:val=&quot;EN-AU&quot; w:fareast=&quot;JA&quot;/&gt;&lt;/w:rPr&gt;&lt;m:t&gt;M&lt;/m:t&gt;&lt;/m:r&gt;&lt;/m:sup&gt;&lt;/m:sSup&gt;&lt;/m:e&gt;&lt;/m:d&gt;&lt;/m:e&gt;&lt;m:sup&gt;&lt;m:r&gt;&lt;w:rPr&gt;&lt;w:rFonts w:ascii=&quot;Cambria Math&quot; w:fareast=&quot;MS PGothic&quot; w:h-ansi=&quot;Cambria Math&quot;/&gt;&lt;wx:font wx:val=&quot;Cambria Math&quot;/&gt;&lt;w:i/&gt;&lt;w:sz w:val=&quot;20&quot;/&gt;&lt;w:lang w:val=&quot;EN-AU&quot; w:fareast=&quot;JA&quot;/&gt;&lt;/w:rPr&gt;&lt;m:t&gt;1-&lt;/m:t&gt;&lt;/m:r&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sup&gt;&lt;/m:sSup&gt;&lt;/m:num&gt;&lt;m:den&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d&gt;&lt;m:dPr&gt;&lt;m:ctrlPr&gt;&lt;w:rPr&gt;&lt;w:rFonts w:ascii=&quot;Cambria Math&quot; w:fareast=&quot;MS PGothic&quot; w:h-ansi=&quot;Cambria Math&quot;/&gt;&lt;wx:font wx:val=&quot;Cambria Math&quot;/&gt;&lt;w:i/&gt;&lt;w:sz w:val=&quot;20&quot;/&gt;&lt;w:lang w:val=&quot;EN-AU&quot; w:fareast=&quot;JA&quot;/&gt;&lt;/w:rPr&gt;&lt;/m:ctrlPr&gt;&lt;/m:dPr&gt;&lt;m:e&gt;&lt;m:r&gt;&lt;w:rPr&gt;&lt;w:rFonts w:ascii=&quot;Cambria Math&quot; w:fareast=&quot;MS PGothic&quot; w:h-ansi=&quot;Cambria Math&quot;/&gt;&lt;wx:font wx:val=&quot;Cambria Math&quot;/&gt;&lt;w:i/&gt;&lt;w:sz w:val=&quot;20&quot;/&gt;&lt;w:lang w:val=&quot;EN-AU&quot; w:fareast=&quot;JA&quot;/&gt;&lt;/w:rPr&gt;&lt;m:t&gt;1-&lt;/m:t&gt;&lt;/m:r&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ctrlPr&gt;&lt;w:rPr&gt;&lt;w:rFonts w:ascii=&quot;Cambria Math&quot; w:fareast=&quot;MS PGothic&quot; w:h-ansi=&quot;Cambria Math&quot;/&gt;&lt;wx:font wx:val=&quot;Cambria Math&quot;/&gt;&lt;w:sz w:val=&quot;20&quot;/&gt;&lt;w:lang w:val=&quot;EN-AU&quot; w:fareast=&quot;JA&quot;/&gt;&lt;/w:rPr&gt;&lt;/m:ctrlPr&gt;&lt;/m:e&gt;&lt;/m:d&gt;&lt;/m:e&gt;&lt;m:sup&gt;&lt;m:r&gt;&lt;w:rPr&gt;&lt;w:rFonts w:ascii=&quot;Cambria Math&quot; w:fareast=&quot;MS PGothic&quot; w:h-ansi=&quot;Cambria Math&quot;/&gt;&lt;wx:font wx:val=&quot;Cambria Math&quot;/&gt;&lt;w:i/&gt;&lt;w:sz w:val=&quot;20&quot;/&gt;&lt;w:lang w:val=&quot;EN-AU&quot; w:fareast=&quot;JA&quot;/&gt;&lt;/w:rPr&gt;&lt;m:t&gt;1-&lt;/m:t&gt;&lt;/m:r&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sup&gt;&lt;/m:sSup&gt;&lt;m:r&gt;&lt;m:rPr&gt;&lt;m:sty m:val=&quot;p&quot;/&gt;&lt;/m:rPr&gt;&lt;w:rPr&gt;&lt;w:rFonts w:ascii=&quot;Cambria Math&quot; w:fareast=&quot;MS PGothic&quot; w:h-ansi=&quot;Cambria Math&quot;/&gt;&lt;wx:font wx:val=&quot;Cambria Math&quot;/&gt;&lt;w:sz w:val=&quot;20&quot;/&gt;&lt;w:lang w:val=&quot;EN-AU&quot; w:fareast=&quot;JA&quot;/&gt;&lt;/w:rPr&gt;&lt;m:t&gt;*&lt;/m:t&gt;&lt;/m:r&gt;&lt;m:sSup&gt;&lt;m:sSupPr&gt;&lt;m:ctrlPr&gt;&lt;w:rPr&gt;&lt;w:rFonts w:ascii=&quot;Cambria Math&quot; w:fareast=&quot;MS PGothic&quot; w:h-ansi=&quot;Cambria Math&quot;/&gt;&lt;wx:font wx:val=&quot;Cambria Math&quot;/&gt;&lt;w:sz w:val=&quot;20&quot;/&gt;&lt;w:lang w:val=&quot;EN-AU&quot; w:fareast=&quot;JA&quot;/&gt;&lt;/w:rPr&gt;&lt;/m:ctrlPr&gt;&lt;/m:sSupPr&gt;&lt;m:e&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e&gt;&lt;m:sup&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sup&gt;&lt;/m:sSup&gt;&lt;m:r&gt;&lt;w:rPr&gt;&lt;w:rFonts w:ascii=&quot;Cambria Math&quot; w:fareast=&quot;MS PGothic&quot; w:h-ansi=&quot;Cambria Math&quot;/&gt;&lt;wx:font wx:val=&quot;Cambria Math&quot;/&gt;&lt;w:i/&gt;&lt;w:sz w:val=&quot;20&quot;/&gt;&lt;w:lang w:val=&quot;EN-AU&quot; w:fareast=&quot;JA&quot;/&gt;&lt;/w:rPr&gt;&lt;m:t&gt;*&lt;/m:t&gt;&lt;/m:r&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C&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e&gt;&lt;/m:acc&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 o:title="" chromakey="white"/>
          </v:shape>
        </w:pict>
      </w:r>
      <w:r w:rsidRPr="00454559">
        <w:rPr>
          <w:rStyle w:val="FootnoteReference"/>
          <w:rFonts w:ascii="Arial" w:eastAsia="MS PGothic" w:hAnsi="Arial" w:cs="Arial"/>
          <w:sz w:val="16"/>
          <w:szCs w:val="16"/>
          <w:vertAlign w:val="baseline"/>
        </w:rPr>
        <w:instrText xml:space="preserve"> </w:instrText>
      </w:r>
      <w:r w:rsidRPr="00454559">
        <w:rPr>
          <w:rStyle w:val="FootnoteReference"/>
          <w:rFonts w:ascii="Arial" w:eastAsia="MS PGothic" w:hAnsi="Arial" w:cs="Arial"/>
          <w:sz w:val="16"/>
          <w:szCs w:val="16"/>
          <w:vertAlign w:val="baseline"/>
        </w:rPr>
        <w:fldChar w:fldCharType="separate"/>
      </w:r>
      <w:r w:rsidR="005341B7">
        <w:rPr>
          <w:rStyle w:val="FootnoteReference"/>
          <w:rFonts w:ascii="Arial" w:eastAsia="MS PGothic" w:hAnsi="Arial" w:cs="Arial"/>
          <w:sz w:val="16"/>
          <w:szCs w:val="16"/>
          <w:vertAlign w:val="baseline"/>
        </w:rPr>
        <w:pict w14:anchorId="5250F44C">
          <v:shape id="_x0000_i1092" type="#_x0000_t75" style="width:80.85pt;height:23.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doNotEmbedSystemFonts/&gt;&lt;w:stylePaneFormatFilter w:val=&quot;3F01&quot;/&gt;&lt;w:defaultTabStop w:val=&quot;720&quot;/&gt;&lt;w:drawingGridHorizontalSpacing w:val=&quot;120&quot;/&gt;&lt;w:displayHorizontalDrawingGridEvery w:val=&quot;2&quot;/&gt;&lt;w:displayVerticalDrawingGridEvery w:val=&quot;2&quot;/&gt;&lt;w:punctuationKerning/&gt;&lt;w:characterSpacingControl w:val=&quot;DontCompress&quot;/&gt;&lt;w:optimizeForBrowser/&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62E24&quot;/&gt;&lt;wsp:rsid wsp:val=&quot;00043F98&quot;/&gt;&lt;wsp:rsid wsp:val=&quot;00054B1E&quot;/&gt;&lt;wsp:rsid wsp:val=&quot;00072D80&quot;/&gt;&lt;wsp:rsid wsp:val=&quot;00085C5F&quot;/&gt;&lt;wsp:rsid wsp:val=&quot;000A60CB&quot;/&gt;&lt;wsp:rsid wsp:val=&quot;000A6535&quot;/&gt;&lt;wsp:rsid wsp:val=&quot;000E07B4&quot;/&gt;&lt;wsp:rsid wsp:val=&quot;000E4F69&quot;/&gt;&lt;wsp:rsid wsp:val=&quot;000E5C83&quot;/&gt;&lt;wsp:rsid wsp:val=&quot;000E764B&quot;/&gt;&lt;wsp:rsid wsp:val=&quot;000F7377&quot;/&gt;&lt;wsp:rsid wsp:val=&quot;001024B0&quot;/&gt;&lt;wsp:rsid wsp:val=&quot;00102CE0&quot;/&gt;&lt;wsp:rsid wsp:val=&quot;00106A2C&quot;/&gt;&lt;wsp:rsid wsp:val=&quot;00134C6E&quot;/&gt;&lt;wsp:rsid wsp:val=&quot;001847E9&quot;/&gt;&lt;wsp:rsid wsp:val=&quot;0019548F&quot;/&gt;&lt;wsp:rsid wsp:val=&quot;00197422&quot;/&gt;&lt;wsp:rsid wsp:val=&quot;001A31AE&quot;/&gt;&lt;wsp:rsid wsp:val=&quot;001C2BE3&quot;/&gt;&lt;wsp:rsid wsp:val=&quot;001E6A82&quot;/&gt;&lt;wsp:rsid wsp:val=&quot;001F4884&quot;/&gt;&lt;wsp:rsid wsp:val=&quot;002057A2&quot;/&gt;&lt;wsp:rsid wsp:val=&quot;00217D5F&quot;/&gt;&lt;wsp:rsid wsp:val=&quot;002335F5&quot;/&gt;&lt;wsp:rsid wsp:val=&quot;00251885&quot;/&gt;&lt;wsp:rsid wsp:val=&quot;00251D2E&quot;/&gt;&lt;wsp:rsid wsp:val=&quot;002670DB&quot;/&gt;&lt;wsp:rsid wsp:val=&quot;00271505&quot;/&gt;&lt;wsp:rsid wsp:val=&quot;00275061&quot;/&gt;&lt;wsp:rsid wsp:val=&quot;00291821&quot;/&gt;&lt;wsp:rsid wsp:val=&quot;002A5EE3&quot;/&gt;&lt;wsp:rsid wsp:val=&quot;002D6A98&quot;/&gt;&lt;wsp:rsid wsp:val=&quot;002E3D4B&quot;/&gt;&lt;wsp:rsid wsp:val=&quot;002E523F&quot;/&gt;&lt;wsp:rsid wsp:val=&quot;00307C97&quot;/&gt;&lt;wsp:rsid wsp:val=&quot;00310162&quot;/&gt;&lt;wsp:rsid wsp:val=&quot;00331756&quot;/&gt;&lt;wsp:rsid wsp:val=&quot;003402A4&quot;/&gt;&lt;wsp:rsid wsp:val=&quot;00352508&quot;/&gt;&lt;wsp:rsid wsp:val=&quot;00393B8E&quot;/&gt;&lt;wsp:rsid wsp:val=&quot;003B2370&quot;/&gt;&lt;wsp:rsid wsp:val=&quot;003B7A8E&quot;/&gt;&lt;wsp:rsid wsp:val=&quot;003D529F&quot;/&gt;&lt;wsp:rsid wsp:val=&quot;00400ABA&quot;/&gt;&lt;wsp:rsid wsp:val=&quot;00403697&quot;/&gt;&lt;wsp:rsid wsp:val=&quot;00405E3D&quot;/&gt;&lt;wsp:rsid wsp:val=&quot;00443505&quot;/&gt;&lt;wsp:rsid wsp:val=&quot;004437C2&quot;/&gt;&lt;wsp:rsid wsp:val=&quot;00455D4F&quot;/&gt;&lt;wsp:rsid wsp:val=&quot;00467137&quot;/&gt;&lt;wsp:rsid wsp:val=&quot;0047239D&quot;/&gt;&lt;wsp:rsid wsp:val=&quot;00472C6F&quot;/&gt;&lt;wsp:rsid wsp:val=&quot;00474EE0&quot;/&gt;&lt;wsp:rsid wsp:val=&quot;00485848&quot;/&gt;&lt;wsp:rsid wsp:val=&quot;004B0D3E&quot;/&gt;&lt;wsp:rsid wsp:val=&quot;004E6B08&quot;/&gt;&lt;wsp:rsid wsp:val=&quot;004F1202&quot;/&gt;&lt;wsp:rsid wsp:val=&quot;004F5498&quot;/&gt;&lt;wsp:rsid wsp:val=&quot;004F609D&quot;/&gt;&lt;wsp:rsid wsp:val=&quot;004F6514&quot;/&gt;&lt;wsp:rsid wsp:val=&quot;004F77C0&quot;/&gt;&lt;wsp:rsid wsp:val=&quot;0050300C&quot;/&gt;&lt;wsp:rsid wsp:val=&quot;0051052A&quot;/&gt;&lt;wsp:rsid wsp:val=&quot;00513DAC&quot;/&gt;&lt;wsp:rsid wsp:val=&quot;00542C62&quot;/&gt;&lt;wsp:rsid wsp:val=&quot;0055012F&quot;/&gt;&lt;wsp:rsid wsp:val=&quot;00563F29&quot;/&gt;&lt;wsp:rsid wsp:val=&quot;00595A0F&quot;/&gt;&lt;wsp:rsid wsp:val=&quot;005A16ED&quot;/&gt;&lt;wsp:rsid wsp:val=&quot;005B10A1&quot;/&gt;&lt;wsp:rsid wsp:val=&quot;005B4422&quot;/&gt;&lt;wsp:rsid wsp:val=&quot;005F0C56&quot;/&gt;&lt;wsp:rsid wsp:val=&quot;005F4FCF&quot;/&gt;&lt;wsp:rsid wsp:val=&quot;005F745D&quot;/&gt;&lt;wsp:rsid wsp:val=&quot;00605AB5&quot;/&gt;&lt;wsp:rsid wsp:val=&quot;006216A8&quot;/&gt;&lt;wsp:rsid wsp:val=&quot;00623B92&quot;/&gt;&lt;wsp:rsid wsp:val=&quot;006326C0&quot;/&gt;&lt;wsp:rsid wsp:val=&quot;0065152D&quot;/&gt;&lt;wsp:rsid wsp:val=&quot;00682046&quot;/&gt;&lt;wsp:rsid wsp:val=&quot;00683CB5&quot;/&gt;&lt;wsp:rsid wsp:val=&quot;0069683F&quot;/&gt;&lt;wsp:rsid wsp:val=&quot;006A44CC&quot;/&gt;&lt;wsp:rsid wsp:val=&quot;006E43D1&quot;/&gt;&lt;wsp:rsid wsp:val=&quot;006E4990&quot;/&gt;&lt;wsp:rsid wsp:val=&quot;006E4C68&quot;/&gt;&lt;wsp:rsid wsp:val=&quot;006F47BE&quot;/&gt;&lt;wsp:rsid wsp:val=&quot;00704538&quot;/&gt;&lt;wsp:rsid wsp:val=&quot;0072000A&quot;/&gt;&lt;wsp:rsid wsp:val=&quot;00726E62&quot;/&gt;&lt;wsp:rsid wsp:val=&quot;007421F2&quot;/&gt;&lt;wsp:rsid wsp:val=&quot;00753A65&quot;/&gt;&lt;wsp:rsid wsp:val=&quot;007679D8&quot;/&gt;&lt;wsp:rsid wsp:val=&quot;007765CD&quot;/&gt;&lt;wsp:rsid wsp:val=&quot;007A0E3D&quot;/&gt;&lt;wsp:rsid wsp:val=&quot;007A3CEA&quot;/&gt;&lt;wsp:rsid wsp:val=&quot;007B331C&quot;/&gt;&lt;wsp:rsid wsp:val=&quot;007B63FE&quot;/&gt;&lt;wsp:rsid wsp:val=&quot;007B6E4F&quot;/&gt;&lt;wsp:rsid wsp:val=&quot;007D6A41&quot;/&gt;&lt;wsp:rsid wsp:val=&quot;007F702A&quot;/&gt;&lt;wsp:rsid wsp:val=&quot;007F7B30&quot;/&gt;&lt;wsp:rsid wsp:val=&quot;00801ED1&quot;/&gt;&lt;wsp:rsid wsp:val=&quot;008021FA&quot;/&gt;&lt;wsp:rsid wsp:val=&quot;008119A9&quot;/&gt;&lt;wsp:rsid wsp:val=&quot;0081394B&quot;/&gt;&lt;wsp:rsid wsp:val=&quot;008249BB&quot;/&gt;&lt;wsp:rsid wsp:val=&quot;00825FB9&quot;/&gt;&lt;wsp:rsid wsp:val=&quot;00832321&quot;/&gt;&lt;wsp:rsid wsp:val=&quot;0085419A&quot;/&gt;&lt;wsp:rsid wsp:val=&quot;00872C4B&quot;/&gt;&lt;wsp:rsid wsp:val=&quot;008918FD&quot;/&gt;&lt;wsp:rsid wsp:val=&quot;008A169A&quot;/&gt;&lt;wsp:rsid wsp:val=&quot;008A7C8F&quot;/&gt;&lt;wsp:rsid wsp:val=&quot;008C107E&quot;/&gt;&lt;wsp:rsid wsp:val=&quot;008E04EC&quot;/&gt;&lt;wsp:rsid wsp:val=&quot;008E57F8&quot;/&gt;&lt;wsp:rsid wsp:val=&quot;008F19F2&quot;/&gt;&lt;wsp:rsid wsp:val=&quot;00907275&quot;/&gt;&lt;wsp:rsid wsp:val=&quot;0091071A&quot;/&gt;&lt;wsp:rsid wsp:val=&quot;00926356&quot;/&gt;&lt;wsp:rsid wsp:val=&quot;00945182&quot;/&gt;&lt;wsp:rsid wsp:val=&quot;00964287&quot;/&gt;&lt;wsp:rsid wsp:val=&quot;009777B4&quot;/&gt;&lt;wsp:rsid wsp:val=&quot;00985F70&quot;/&gt;&lt;wsp:rsid wsp:val=&quot;009A23E4&quot;/&gt;&lt;wsp:rsid wsp:val=&quot;009B34D8&quot;/&gt;&lt;wsp:rsid wsp:val=&quot;009B69CA&quot;/&gt;&lt;wsp:rsid wsp:val=&quot;009C501E&quot;/&gt;&lt;wsp:rsid wsp:val=&quot;009C6776&quot;/&gt;&lt;wsp:rsid wsp:val=&quot;009E67CA&quot;/&gt;&lt;wsp:rsid wsp:val=&quot;009F0F03&quot;/&gt;&lt;wsp:rsid wsp:val=&quot;009F7CD0&quot;/&gt;&lt;wsp:rsid wsp:val=&quot;00A0749D&quot;/&gt;&lt;wsp:rsid wsp:val=&quot;00A27C03&quot;/&gt;&lt;wsp:rsid wsp:val=&quot;00A304F1&quot;/&gt;&lt;wsp:rsid wsp:val=&quot;00A45169&quot;/&gt;&lt;wsp:rsid wsp:val=&quot;00A46E3B&quot;/&gt;&lt;wsp:rsid wsp:val=&quot;00A47196&quot;/&gt;&lt;wsp:rsid wsp:val=&quot;00A62F4F&quot;/&gt;&lt;wsp:rsid wsp:val=&quot;00A75552&quot;/&gt;&lt;wsp:rsid wsp:val=&quot;00AB0377&quot;/&gt;&lt;wsp:rsid wsp:val=&quot;00AB1253&quot;/&gt;&lt;wsp:rsid wsp:val=&quot;00AB181B&quot;/&gt;&lt;wsp:rsid wsp:val=&quot;00AC0FED&quot;/&gt;&lt;wsp:rsid wsp:val=&quot;00AD15E4&quot;/&gt;&lt;wsp:rsid wsp:val=&quot;00AD3E2D&quot;/&gt;&lt;wsp:rsid wsp:val=&quot;00AE0009&quot;/&gt;&lt;wsp:rsid wsp:val=&quot;00AE315B&quot;/&gt;&lt;wsp:rsid wsp:val=&quot;00B211F4&quot;/&gt;&lt;wsp:rsid wsp:val=&quot;00B47541&quot;/&gt;&lt;wsp:rsid wsp:val=&quot;00B75CA2&quot;/&gt;&lt;wsp:rsid wsp:val=&quot;00B914D1&quot;/&gt;&lt;wsp:rsid wsp:val=&quot;00BA17F8&quot;/&gt;&lt;wsp:rsid wsp:val=&quot;00BB7E88&quot;/&gt;&lt;wsp:rsid wsp:val=&quot;00BC4C34&quot;/&gt;&lt;wsp:rsid wsp:val=&quot;00BD2FF1&quot;/&gt;&lt;wsp:rsid wsp:val=&quot;00BF1F15&quot;/&gt;&lt;wsp:rsid wsp:val=&quot;00C0356B&quot;/&gt;&lt;wsp:rsid wsp:val=&quot;00C052B6&quot;/&gt;&lt;wsp:rsid wsp:val=&quot;00C07EB6&quot;/&gt;&lt;wsp:rsid wsp:val=&quot;00C24A4E&quot;/&gt;&lt;wsp:rsid wsp:val=&quot;00C420A7&quot;/&gt;&lt;wsp:rsid wsp:val=&quot;00C52349&quot;/&gt;&lt;wsp:rsid wsp:val=&quot;00C71873&quot;/&gt;&lt;wsp:rsid wsp:val=&quot;00C9570A&quot;/&gt;&lt;wsp:rsid wsp:val=&quot;00CB2702&quot;/&gt;&lt;wsp:rsid wsp:val=&quot;00CB5456&quot;/&gt;&lt;wsp:rsid wsp:val=&quot;00CD3A35&quot;/&gt;&lt;wsp:rsid wsp:val=&quot;00CE7D1D&quot;/&gt;&lt;wsp:rsid wsp:val=&quot;00CF6962&quot;/&gt;&lt;wsp:rsid wsp:val=&quot;00D2666B&quot;/&gt;&lt;wsp:rsid wsp:val=&quot;00D272F0&quot;/&gt;&lt;wsp:rsid wsp:val=&quot;00D35DAE&quot;/&gt;&lt;wsp:rsid wsp:val=&quot;00D65862&quot;/&gt;&lt;wsp:rsid wsp:val=&quot;00D6711E&quot;/&gt;&lt;wsp:rsid wsp:val=&quot;00D75901&quot;/&gt;&lt;wsp:rsid wsp:val=&quot;00D81211&quot;/&gt;&lt;wsp:rsid wsp:val=&quot;00D83529&quot;/&gt;&lt;wsp:rsid wsp:val=&quot;00DA4078&quot;/&gt;&lt;wsp:rsid wsp:val=&quot;00DC5758&quot;/&gt;&lt;wsp:rsid wsp:val=&quot;00DC6934&quot;/&gt;&lt;wsp:rsid wsp:val=&quot;00DE1393&quot;/&gt;&lt;wsp:rsid wsp:val=&quot;00DF749E&quot;/&gt;&lt;wsp:rsid wsp:val=&quot;00E054D3&quot;/&gt;&lt;wsp:rsid wsp:val=&quot;00E22EC7&quot;/&gt;&lt;wsp:rsid wsp:val=&quot;00E360C7&quot;/&gt;&lt;wsp:rsid wsp:val=&quot;00E5556B&quot;/&gt;&lt;wsp:rsid wsp:val=&quot;00E56F5C&quot;/&gt;&lt;wsp:rsid wsp:val=&quot;00E605C2&quot;/&gt;&lt;wsp:rsid wsp:val=&quot;00E61A85&quot;/&gt;&lt;wsp:rsid wsp:val=&quot;00E80B42&quot;/&gt;&lt;wsp:rsid wsp:val=&quot;00E84FFE&quot;/&gt;&lt;wsp:rsid wsp:val=&quot;00E9567A&quot;/&gt;&lt;wsp:rsid wsp:val=&quot;00EB5B9A&quot;/&gt;&lt;wsp:rsid wsp:val=&quot;00EE203F&quot;/&gt;&lt;wsp:rsid wsp:val=&quot;00EF19A0&quot;/&gt;&lt;wsp:rsid wsp:val=&quot;00EF66EC&quot;/&gt;&lt;wsp:rsid wsp:val=&quot;00F17621&quot;/&gt;&lt;wsp:rsid wsp:val=&quot;00F20053&quot;/&gt;&lt;wsp:rsid wsp:val=&quot;00F4091B&quot;/&gt;&lt;wsp:rsid wsp:val=&quot;00F47887&quot;/&gt;&lt;wsp:rsid wsp:val=&quot;00F54A51&quot;/&gt;&lt;wsp:rsid wsp:val=&quot;00F556FA&quot;/&gt;&lt;wsp:rsid wsp:val=&quot;00F62E24&quot;/&gt;&lt;wsp:rsid wsp:val=&quot;00F63B95&quot;/&gt;&lt;wsp:rsid wsp:val=&quot;00F90F29&quot;/&gt;&lt;wsp:rsid wsp:val=&quot;00F93651&quot;/&gt;&lt;wsp:rsid wsp:val=&quot;00FD10B3&quot;/&gt;&lt;/wsp:rsids&gt;&lt;/w:docPr&gt;&lt;w:body&gt;&lt;wx:sect&gt;&lt;w:p wsp:rsidR=&quot;00000000&quot; wsp:rsidRDefault=&quot;009E67CA&quot; wsp:rsidP=&quot;009E67CA&quot;&gt;&lt;m:oMathPara&gt;&lt;m:oMath&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C&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r&gt;&lt;w:rPr&gt;&lt;w:rFonts w:ascii=&quot;Cambria Math&quot; w:fareast=&quot;MS PGothic&quot; w:h-ansi=&quot;Cambria Math&quot;/&gt;&lt;wx:font wx:val=&quot;Cambria Math&quot;/&gt;&lt;w:i/&gt;&lt;w:sz w:val=&quot;20&quot;/&gt;&lt;w:lang w:val=&quot;EN-AU&quot; w:fareast=&quot;JA&quot;/&gt;&lt;/w:rPr&gt;&lt;m:t&gt;=&lt;/m:t&gt;&lt;/m:r&gt;&lt;m:f&gt;&lt;m:fPr&gt;&lt;m:ctrlPr&gt;&lt;w:rPr&gt;&lt;w:rFonts w:ascii=&quot;Cambria Math&quot; w:fareast=&quot;MS PGothic&quot; w:h-ansi=&quot;Cambria Math&quot;/&gt;&lt;wx:font wx:val=&quot;Cambria Math&quot;/&gt;&lt;w:i/&gt;&lt;w:sz w:val=&quot;20&quot;/&gt;&lt;w:lang w:val=&quot;EN-AU&quot; w:fareast=&quot;JA&quot;/&gt;&lt;/w:rPr&gt;&lt;/m:ctrlPr&gt;&lt;/m:fPr&gt;&lt;m:num&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d&gt;&lt;m:dPr&gt;&lt;m:ctrlPr&gt;&lt;w:rPr&gt;&lt;w:rFonts w:ascii=&quot;Cambria Math&quot; w:fareast=&quot;MS PGothic&quot; w:h-ansi=&quot;Cambria Math&quot;/&gt;&lt;wx:font wx:val=&quot;Cambria Math&quot;/&gt;&lt;w:i/&gt;&lt;w:sz w:val=&quot;20&quot;/&gt;&lt;w:lang w:val=&quot;EN-AU&quot; w:fareast=&quot;JA&quot;/&gt;&lt;/w:rPr&gt;&lt;/m:ctrlPr&gt;&lt;/m:dPr&gt;&lt;m:e&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r&gt;&lt;w:rPr&gt;&lt;w:rFonts w:ascii=&quot;Cambria Math&quot; w:fareast=&quot;MS PGothic&quot; w:h-ansi=&quot;Cambria Math&quot;/&gt;&lt;wx:font wx:val=&quot;Cambria Math&quot;/&gt;&lt;w:i/&gt;&lt;w:sz w:val=&quot;20&quot;/&gt;&lt;w:lang w:val=&quot;EN-AU&quot; w:fareast=&quot;JA&quot;/&gt;&lt;/w:rPr&gt;&lt;m:t&gt;P&lt;/m:t&gt;&lt;/m:r&gt;&lt;/m:e&gt;&lt;m:sup&gt;&lt;m:r&gt;&lt;w:rPr&gt;&lt;w:rFonts w:ascii=&quot;Cambria Math&quot; w:fareast=&quot;MS PGothic&quot; w:h-ansi=&quot;Cambria Math&quot;/&gt;&lt;wx:font wx:val=&quot;Cambria Math&quot;/&gt;&lt;w:i/&gt;&lt;w:sz w:val=&quot;20&quot;/&gt;&lt;w:lang w:val=&quot;EN-AU&quot; w:fareast=&quot;JA&quot;/&gt;&lt;/w:rPr&gt;&lt;m:t&gt;M&lt;/m:t&gt;&lt;/m:r&gt;&lt;/m:sup&gt;&lt;/m:sSup&gt;&lt;/m:e&gt;&lt;/m:d&gt;&lt;/m:e&gt;&lt;m:sup&gt;&lt;m:r&gt;&lt;w:rPr&gt;&lt;w:rFonts w:ascii=&quot;Cambria Math&quot; w:fareast=&quot;MS PGothic&quot; w:h-ansi=&quot;Cambria Math&quot;/&gt;&lt;wx:font wx:val=&quot;Cambria Math&quot;/&gt;&lt;w:i/&gt;&lt;w:sz w:val=&quot;20&quot;/&gt;&lt;w:lang w:val=&quot;EN-AU&quot; w:fareast=&quot;JA&quot;/&gt;&lt;/w:rPr&gt;&lt;m:t&gt;1-&lt;/m:t&gt;&lt;/m:r&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sup&gt;&lt;/m:sSup&gt;&lt;/m:num&gt;&lt;m:den&gt;&lt;m:sSup&gt;&lt;m:sSupPr&gt;&lt;m:ctrlPr&gt;&lt;w:rPr&gt;&lt;w:rFonts w:ascii=&quot;Cambria Math&quot; w:fareast=&quot;MS PGothic&quot; w:h-ansi=&quot;Cambria Math&quot;/&gt;&lt;wx:font wx:val=&quot;Cambria Math&quot;/&gt;&lt;w:i/&gt;&lt;w:sz w:val=&quot;20&quot;/&gt;&lt;w:lang w:val=&quot;EN-AU&quot; w:fareast=&quot;JA&quot;/&gt;&lt;/w:rPr&gt;&lt;/m:ctrlPr&gt;&lt;/m:sSupPr&gt;&lt;m:e&gt;&lt;m:d&gt;&lt;m:dPr&gt;&lt;m:ctrlPr&gt;&lt;w:rPr&gt;&lt;w:rFonts w:ascii=&quot;Cambria Math&quot; w:fareast=&quot;MS PGothic&quot; w:h-ansi=&quot;Cambria Math&quot;/&gt;&lt;wx:font wx:val=&quot;Cambria Math&quot;/&gt;&lt;w:i/&gt;&lt;w:sz w:val=&quot;20&quot;/&gt;&lt;w:lang w:val=&quot;EN-AU&quot; w:fareast=&quot;JA&quot;/&gt;&lt;/w:rPr&gt;&lt;/m:ctrlPr&gt;&lt;/m:dPr&gt;&lt;m:e&gt;&lt;m:r&gt;&lt;w:rPr&gt;&lt;w:rFonts w:ascii=&quot;Cambria Math&quot; w:fareast=&quot;MS PGothic&quot; w:h-ansi=&quot;Cambria Math&quot;/&gt;&lt;wx:font wx:val=&quot;Cambria Math&quot;/&gt;&lt;w:i/&gt;&lt;w:sz w:val=&quot;20&quot;/&gt;&lt;w:lang w:val=&quot;EN-AU&quot; w:fareast=&quot;JA&quot;/&gt;&lt;/w:rPr&gt;&lt;m:t&gt;1-&lt;/m:t&gt;&lt;/m:r&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ctrlPr&gt;&lt;w:rPr&gt;&lt;w:rFonts w:ascii=&quot;Cambria Math&quot; w:fareast=&quot;MS PGothic&quot; w:h-ansi=&quot;Cambria Math&quot;/&gt;&lt;wx:font wx:val=&quot;Cambria Math&quot;/&gt;&lt;w:sz w:val=&quot;20&quot;/&gt;&lt;w:lang w:val=&quot;EN-AU&quot; w:fareast=&quot;JA&quot;/&gt;&lt;/w:rPr&gt;&lt;/m:ctrlPr&gt;&lt;/m:e&gt;&lt;/m:d&gt;&lt;/m:e&gt;&lt;m:sup&gt;&lt;m:r&gt;&lt;w:rPr&gt;&lt;w:rFonts w:ascii=&quot;Cambria Math&quot; w:fareast=&quot;MS PGothic&quot; w:h-ansi=&quot;Cambria Math&quot;/&gt;&lt;wx:font wx:val=&quot;Cambria Math&quot;/&gt;&lt;w:i/&gt;&lt;w:sz w:val=&quot;20&quot;/&gt;&lt;w:lang w:val=&quot;EN-AU&quot; w:fareast=&quot;JA&quot;/&gt;&lt;/w:rPr&gt;&lt;m:t&gt;1-&lt;/m:t&gt;&lt;/m:r&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sup&gt;&lt;/m:sSup&gt;&lt;m:r&gt;&lt;m:rPr&gt;&lt;m:sty m:val=&quot;p&quot;/&gt;&lt;/m:rPr&gt;&lt;w:rPr&gt;&lt;w:rFonts w:ascii=&quot;Cambria Math&quot; w:fareast=&quot;MS PGothic&quot; w:h-ansi=&quot;Cambria Math&quot;/&gt;&lt;wx:font wx:val=&quot;Cambria Math&quot;/&gt;&lt;w:sz w:val=&quot;20&quot;/&gt;&lt;w:lang w:val=&quot;EN-AU&quot; w:fareast=&quot;JA&quot;/&gt;&lt;/w:rPr&gt;&lt;m:t&gt;*&lt;/m:t&gt;&lt;/m:r&gt;&lt;m:sSup&gt;&lt;m:sSupPr&gt;&lt;m:ctrlPr&gt;&lt;w:rPr&gt;&lt;w:rFonts w:ascii=&quot;Cambria Math&quot; w:fareast=&quot;MS PGothic&quot; w:h-ansi=&quot;Cambria Math&quot;/&gt;&lt;wx:font wx:val=&quot;Cambria Math&quot;/&gt;&lt;w:sz w:val=&quot;20&quot;/&gt;&lt;w:lang w:val=&quot;EN-AU&quot; w:fareast=&quot;JA&quot;/&gt;&lt;/w:rPr&gt;&lt;/m:ctrlPr&gt;&lt;/m:sSupPr&gt;&lt;m:e&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e&gt;&lt;m:sup&gt;&lt;m:r&gt;&lt;m:rPr&gt;&lt;m:sty m:val=&quot;p&quot;/&gt;&lt;/m:rPr&gt;&lt;w:rPr&gt;&lt;w:rFonts w:ascii=&quot;Cambria Math&quot; w:fareast=&quot;MS PGothic&quot; w:h-ansi=&quot;Cambria Math&quot;/&gt;&lt;wx:font wx:val=&quot;Cambria Math&quot;/&gt;&lt;w:sz w:val=&quot;20&quot;/&gt;&lt;w:lang w:val=&quot;EN-AU&quot; w:fareast=&quot;JA&quot;/&gt;&lt;/w:rPr&gt;&lt;m:t&gt;Œ¶&lt;/m:t&gt;&lt;/m:r&gt;&lt;/m:sup&gt;&lt;/m:sSup&gt;&lt;m:r&gt;&lt;w:rPr&gt;&lt;w:rFonts w:ascii=&quot;Cambria Math&quot; w:fareast=&quot;MS PGothic&quot; w:h-ansi=&quot;Cambria Math&quot;/&gt;&lt;wx:font wx:val=&quot;Cambria Math&quot;/&gt;&lt;w:i/&gt;&lt;w:sz w:val=&quot;20&quot;/&gt;&lt;w:lang w:val=&quot;EN-AU&quot; w:fareast=&quot;JA&quot;/&gt;&lt;/w:rPr&gt;&lt;m:t&gt;*&lt;/m:t&gt;&lt;/m:r&gt;&lt;m:acc&gt;&lt;m:accPr&gt;&lt;m:chr m:val=&quot;ÃÉ&quot;/&gt;&lt;m:ctrlPr&gt;&lt;w:rPr&gt;&lt;w:rFonts w:ascii=&quot;Cambria Math&quot; w:fareast=&quot;MS PGothic&quot; w:h-ansi=&quot;Cambria Math&quot;/&gt;&lt;wx:font wx:val=&quot;Cambria Math&quot;/&gt;&lt;w:i/&gt;&lt;w:sz w:val=&quot;20&quot;/&gt;&lt;w:lang w:val=&quot;EN-AU&quot; w:fareast=&quot;JA&quot;/&gt;&lt;/w:rPr&gt;&lt;/m:ctrlPr&gt;&lt;/m:accPr&gt;&lt;m:e&gt;&lt;m:sSub&gt;&lt;m:sSubPr&gt;&lt;m:ctrlPr&gt;&lt;w:rPr&gt;&lt;w:rFonts w:ascii=&quot;Cambria Math&quot; w:fareast=&quot;MS PGothic&quot; w:h-ansi=&quot;Cambria Math&quot;/&gt;&lt;wx:font wx:val=&quot;Cambria Math&quot;/&gt;&lt;w:i/&gt;&lt;w:sz w:val=&quot;20&quot;/&gt;&lt;w:lang w:val=&quot;EN-AU&quot; w:fareast=&quot;JA&quot;/&gt;&lt;/w:rPr&gt;&lt;/m:ctrlPr&gt;&lt;/m:sSubPr&gt;&lt;m:e&gt;&lt;m:r&gt;&lt;w:rPr&gt;&lt;w:rFonts w:ascii=&quot;Cambria Math&quot; w:fareast=&quot;MS PGothic&quot; w:h-ansi=&quot;Cambria Math&quot;/&gt;&lt;wx:font wx:val=&quot;Cambria Math&quot;/&gt;&lt;w:i/&gt;&lt;w:sz w:val=&quot;20&quot;/&gt;&lt;w:lang w:val=&quot;EN-AU&quot; w:fareast=&quot;JA&quot;/&gt;&lt;/w:rPr&gt;&lt;m:t&gt;C&lt;/m:t&gt;&lt;/m:r&gt;&lt;/m:e&gt;&lt;m:sub&gt;&lt;m:r&gt;&lt;w:rPr&gt;&lt;w:rFonts w:ascii=&quot;Cambria Math&quot; w:fareast=&quot;MS PGothic&quot; w:h-ansi=&quot;Cambria Math&quot;/&gt;&lt;wx:font wx:val=&quot;Cambria Math&quot;/&gt;&lt;w:i/&gt;&lt;w:sz w:val=&quot;20&quot;/&gt;&lt;w:lang w:val=&quot;EN-AU&quot; w:fareast=&quot;JA&quot;/&gt;&lt;/w:rPr&gt;&lt;m:t&gt;j&lt;/m:t&gt;&lt;/m:r&gt;&lt;/m:sub&gt;&lt;/m:sSub&gt;&lt;/m:e&gt;&lt;/m:acc&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 o:title="" chromakey="white"/>
          </v:shape>
        </w:pict>
      </w:r>
      <w:r w:rsidRPr="00454559">
        <w:rPr>
          <w:rStyle w:val="FootnoteReference"/>
          <w:rFonts w:ascii="Arial" w:eastAsia="MS PGothic" w:hAnsi="Arial" w:cs="Arial"/>
          <w:sz w:val="16"/>
          <w:szCs w:val="16"/>
          <w:vertAlign w:val="baseline"/>
        </w:rPr>
        <w:fldChar w:fldCharType="end"/>
      </w:r>
      <w:r w:rsidRPr="00454559">
        <w:rPr>
          <w:rStyle w:val="FootnoteReference"/>
          <w:rFonts w:ascii="Arial" w:hAnsi="Arial" w:cs="Arial"/>
          <w:sz w:val="16"/>
          <w:szCs w:val="16"/>
          <w:vertAlign w:val="baseline"/>
        </w:rPr>
        <w:t>, which means that costs are higher in zones with lower construction productivity.</w:t>
      </w:r>
    </w:p>
  </w:footnote>
  <w:footnote w:id="15">
    <w:p w14:paraId="6EB24419" w14:textId="5573EDFA" w:rsidR="00454559" w:rsidRPr="00454559" w:rsidRDefault="00454559" w:rsidP="00E5556B">
      <w:pPr>
        <w:pStyle w:val="FootnoteText"/>
        <w:rPr>
          <w:rStyle w:val="FootnoteReference"/>
          <w:rFonts w:ascii="Arial" w:hAnsi="Arial" w:cs="Arial"/>
          <w:sz w:val="16"/>
          <w:szCs w:val="16"/>
          <w:vertAlign w:val="baseline"/>
        </w:rPr>
      </w:pPr>
      <w:r w:rsidRPr="00454559">
        <w:rPr>
          <w:rStyle w:val="FootnoteReference"/>
          <w:rFonts w:ascii="Arial" w:hAnsi="Arial" w:cs="Arial"/>
          <w:sz w:val="16"/>
          <w:szCs w:val="16"/>
        </w:rPr>
        <w:footnoteRef/>
      </w:r>
      <w:r w:rsidRPr="00454559">
        <w:rPr>
          <w:rStyle w:val="FootnoteReference"/>
          <w:rFonts w:ascii="Arial" w:hAnsi="Arial" w:cs="Arial"/>
          <w:sz w:val="16"/>
          <w:szCs w:val="16"/>
          <w:vertAlign w:val="baseline"/>
        </w:rPr>
        <w:t xml:space="preserve"> This term is similar to the effective job density measure </w:t>
      </w:r>
      <w:r w:rsidR="001E131F">
        <w:rPr>
          <w:rFonts w:ascii="Arial" w:hAnsi="Arial" w:cs="Arial"/>
          <w:sz w:val="16"/>
          <w:szCs w:val="16"/>
        </w:rPr>
        <w:t xml:space="preserve">that is commonly </w:t>
      </w:r>
      <w:r w:rsidR="001E131F">
        <w:rPr>
          <w:rStyle w:val="FootnoteReference"/>
          <w:rFonts w:ascii="Arial" w:hAnsi="Arial" w:cs="Arial"/>
          <w:sz w:val="16"/>
          <w:szCs w:val="16"/>
          <w:vertAlign w:val="baseline"/>
        </w:rPr>
        <w:t xml:space="preserve">used to calculate </w:t>
      </w:r>
      <w:r w:rsidRPr="00454559">
        <w:rPr>
          <w:rStyle w:val="FootnoteReference"/>
          <w:rFonts w:ascii="Arial" w:hAnsi="Arial" w:cs="Arial"/>
          <w:sz w:val="16"/>
          <w:szCs w:val="16"/>
          <w:vertAlign w:val="baseline"/>
        </w:rPr>
        <w:t>agglomeration potential.</w:t>
      </w:r>
    </w:p>
  </w:footnote>
  <w:footnote w:id="16">
    <w:p w14:paraId="13155C86" w14:textId="36E26342" w:rsidR="001E131F" w:rsidRPr="001E131F" w:rsidRDefault="001E131F">
      <w:pPr>
        <w:pStyle w:val="FootnoteText"/>
        <w:rPr>
          <w:sz w:val="16"/>
          <w:szCs w:val="16"/>
        </w:rPr>
      </w:pPr>
      <w:r w:rsidRPr="001E131F">
        <w:rPr>
          <w:rFonts w:ascii="Arial" w:hAnsi="Arial" w:cs="Arial"/>
          <w:sz w:val="16"/>
          <w:szCs w:val="16"/>
          <w:vertAlign w:val="superscript"/>
        </w:rPr>
        <w:footnoteRef/>
      </w:r>
      <w:r w:rsidRPr="001E131F">
        <w:rPr>
          <w:sz w:val="16"/>
          <w:szCs w:val="16"/>
        </w:rPr>
        <w:t xml:space="preserve"> </w:t>
      </w:r>
      <w:r w:rsidRPr="001E131F">
        <w:rPr>
          <w:rFonts w:ascii="Arial" w:hAnsi="Arial" w:cs="Arial"/>
          <w:sz w:val="16"/>
          <w:szCs w:val="16"/>
        </w:rPr>
        <w:t>This entails normalising housing supply to a per-worker basis. This normalisation has no impact on the interpretation of the model.</w:t>
      </w:r>
    </w:p>
  </w:footnote>
  <w:footnote w:id="17">
    <w:p w14:paraId="4E5DEA0E" w14:textId="79959774" w:rsidR="001E131F" w:rsidRPr="001E131F" w:rsidRDefault="001E131F">
      <w:pPr>
        <w:pStyle w:val="FootnoteText"/>
        <w:rPr>
          <w:rFonts w:ascii="Arial" w:hAnsi="Arial" w:cs="Arial"/>
          <w:sz w:val="16"/>
          <w:szCs w:val="16"/>
        </w:rPr>
      </w:pPr>
      <w:r w:rsidRPr="001E131F">
        <w:rPr>
          <w:rFonts w:ascii="Arial" w:hAnsi="Arial" w:cs="Arial"/>
          <w:sz w:val="16"/>
          <w:szCs w:val="16"/>
          <w:vertAlign w:val="superscript"/>
        </w:rPr>
        <w:footnoteRef/>
      </w:r>
      <w:r w:rsidRPr="001E131F">
        <w:rPr>
          <w:rFonts w:ascii="Arial" w:hAnsi="Arial" w:cs="Arial"/>
          <w:sz w:val="16"/>
          <w:szCs w:val="16"/>
        </w:rPr>
        <w:t xml:space="preserve"> An alternative approach (drawing upon the open-city Alonso-Muth-Mills model) would be to hold utility levels fixed at their starting level and allow city size to adjust accordingly.</w:t>
      </w:r>
    </w:p>
  </w:footnote>
  <w:footnote w:id="18">
    <w:p w14:paraId="7CCEB795" w14:textId="5B1133FC" w:rsidR="004021C5" w:rsidRPr="004021C5" w:rsidRDefault="004021C5">
      <w:pPr>
        <w:pStyle w:val="FootnoteText"/>
        <w:rPr>
          <w:rFonts w:ascii="Arial" w:hAnsi="Arial" w:cs="Arial"/>
          <w:sz w:val="16"/>
          <w:szCs w:val="16"/>
          <w:lang w:val="mi-NZ"/>
        </w:rPr>
      </w:pPr>
      <w:r w:rsidRPr="004021C5">
        <w:rPr>
          <w:rStyle w:val="FootnoteReference"/>
          <w:rFonts w:ascii="Arial" w:hAnsi="Arial" w:cs="Arial"/>
          <w:sz w:val="16"/>
          <w:szCs w:val="16"/>
        </w:rPr>
        <w:footnoteRef/>
      </w:r>
      <w:r w:rsidRPr="004021C5">
        <w:rPr>
          <w:rFonts w:ascii="Arial" w:hAnsi="Arial" w:cs="Arial"/>
          <w:sz w:val="16"/>
          <w:szCs w:val="16"/>
        </w:rPr>
        <w:t xml:space="preserve"> </w:t>
      </w:r>
      <w:r w:rsidRPr="004021C5">
        <w:rPr>
          <w:rFonts w:ascii="Arial" w:hAnsi="Arial" w:cs="Arial"/>
          <w:bCs/>
          <w:sz w:val="16"/>
          <w:szCs w:val="16"/>
          <w:lang w:val="en-AU"/>
        </w:rPr>
        <w:t>If it is not possible to apply an instrumental variables approach, then it may be possible to fall back on alternative techniques such as panel data regression.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C8D42C4" w14:textId="77777777" w:rsidR="00454559" w:rsidRPr="00BB7E88" w:rsidRDefault="00454559"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Transport investment and housing development</w:t>
    </w:r>
    <w:r>
      <w:rPr>
        <w:rStyle w:val="PageNumber"/>
        <w:rFonts w:ascii="Arial" w:hAnsi="Arial" w:cs="Arial"/>
        <w:i/>
        <w:sz w:val="18"/>
        <w:szCs w:val="18"/>
      </w:rPr>
      <w:tab/>
      <w:t xml:space="preserve">Nunns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58651C">
      <w:rPr>
        <w:rStyle w:val="PageNumber"/>
        <w:rFonts w:ascii="Arial" w:hAnsi="Arial" w:cs="Arial"/>
        <w:i/>
        <w:noProof/>
        <w:sz w:val="18"/>
        <w:szCs w:val="18"/>
      </w:rPr>
      <w:t>13</w:t>
    </w:r>
    <w:r w:rsidRPr="00BB7E88">
      <w:rPr>
        <w:rStyle w:val="PageNumber"/>
        <w:rFonts w:ascii="Arial" w:hAnsi="Arial" w:cs="Arial"/>
        <w:i/>
        <w:sz w:val="18"/>
        <w:szCs w:val="18"/>
      </w:rPr>
      <w:fldChar w:fldCharType="end"/>
    </w:r>
  </w:p>
  <w:p w14:paraId="52474360" w14:textId="77777777" w:rsidR="00454559" w:rsidRDefault="0045455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1B6"/>
    <w:multiLevelType w:val="multilevel"/>
    <w:tmpl w:val="23BEA59E"/>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D2F43C2"/>
    <w:multiLevelType w:val="hybridMultilevel"/>
    <w:tmpl w:val="D05842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3066481"/>
    <w:multiLevelType w:val="multilevel"/>
    <w:tmpl w:val="23BEA59E"/>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31CA5084"/>
    <w:multiLevelType w:val="multilevel"/>
    <w:tmpl w:val="23BEA59E"/>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3B877580"/>
    <w:multiLevelType w:val="hybridMultilevel"/>
    <w:tmpl w:val="94EA4242"/>
    <w:lvl w:ilvl="0" w:tplc="B6D0BDCA">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BA56ED3"/>
    <w:multiLevelType w:val="multilevel"/>
    <w:tmpl w:val="23BEA59E"/>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3FA739CA"/>
    <w:multiLevelType w:val="multilevel"/>
    <w:tmpl w:val="23BEA59E"/>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4C1F140A"/>
    <w:multiLevelType w:val="hybridMultilevel"/>
    <w:tmpl w:val="5312314A"/>
    <w:lvl w:ilvl="0" w:tplc="324861A4">
      <w:numFmt w:val="bullet"/>
      <w:lvlText w:val=""/>
      <w:lvlJc w:val="left"/>
      <w:pPr>
        <w:ind w:left="720" w:hanging="360"/>
      </w:pPr>
      <w:rPr>
        <w:rFonts w:ascii="Symbol" w:eastAsia="MS PGothic"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CCD1AA8"/>
    <w:multiLevelType w:val="multilevel"/>
    <w:tmpl w:val="23BEA59E"/>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50B86B3C"/>
    <w:multiLevelType w:val="hybridMultilevel"/>
    <w:tmpl w:val="7FA68766"/>
    <w:lvl w:ilvl="0" w:tplc="33D628D2">
      <w:start w:val="5"/>
      <w:numFmt w:val="bullet"/>
      <w:lvlText w:val=""/>
      <w:lvlJc w:val="left"/>
      <w:pPr>
        <w:ind w:left="720" w:hanging="360"/>
      </w:pPr>
      <w:rPr>
        <w:rFonts w:ascii="Symbol" w:eastAsia="MS PGothic"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1">
    <w:nsid w:val="571879C5"/>
    <w:multiLevelType w:val="multilevel"/>
    <w:tmpl w:val="23BEA59E"/>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58655BDA"/>
    <w:multiLevelType w:val="multilevel"/>
    <w:tmpl w:val="23BEA59E"/>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61885713"/>
    <w:multiLevelType w:val="hybridMultilevel"/>
    <w:tmpl w:val="AB5ED652"/>
    <w:lvl w:ilvl="0" w:tplc="3BA0D8A4">
      <w:numFmt w:val="bullet"/>
      <w:lvlText w:val="•"/>
      <w:lvlJc w:val="left"/>
      <w:pPr>
        <w:ind w:left="1080" w:hanging="360"/>
      </w:pPr>
      <w:rPr>
        <w:rFonts w:ascii="Segoe UI" w:eastAsia="MS PGothic" w:hAnsi="Segoe UI" w:cs="Segoe U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70192E39"/>
    <w:multiLevelType w:val="multilevel"/>
    <w:tmpl w:val="23BEA59E"/>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11D2F44"/>
    <w:multiLevelType w:val="hybridMultilevel"/>
    <w:tmpl w:val="1C0AEE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AFD7E0A"/>
    <w:multiLevelType w:val="hybridMultilevel"/>
    <w:tmpl w:val="33A6F280"/>
    <w:lvl w:ilvl="0" w:tplc="B9F0A944">
      <w:start w:val="2"/>
      <w:numFmt w:val="bullet"/>
      <w:lvlText w:val=""/>
      <w:lvlJc w:val="left"/>
      <w:pPr>
        <w:ind w:left="720" w:hanging="360"/>
      </w:pPr>
      <w:rPr>
        <w:rFonts w:ascii="Symbol" w:eastAsia="MS PGothic"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num>
  <w:num w:numId="4">
    <w:abstractNumId w:val="13"/>
  </w:num>
  <w:num w:numId="5">
    <w:abstractNumId w:val="4"/>
  </w:num>
  <w:num w:numId="6">
    <w:abstractNumId w:val="0"/>
  </w:num>
  <w:num w:numId="7">
    <w:abstractNumId w:val="6"/>
  </w:num>
  <w:num w:numId="8">
    <w:abstractNumId w:val="3"/>
  </w:num>
  <w:num w:numId="9">
    <w:abstractNumId w:val="11"/>
  </w:num>
  <w:num w:numId="10">
    <w:abstractNumId w:val="12"/>
  </w:num>
  <w:num w:numId="11">
    <w:abstractNumId w:val="14"/>
  </w:num>
  <w:num w:numId="12">
    <w:abstractNumId w:val="5"/>
  </w:num>
  <w:num w:numId="13">
    <w:abstractNumId w:val="15"/>
  </w:num>
  <w:num w:numId="14">
    <w:abstractNumId w:val="1"/>
  </w:num>
  <w:num w:numId="15">
    <w:abstractNumId w:val="8"/>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2E24"/>
    <w:rsid w:val="00043F98"/>
    <w:rsid w:val="00054B1E"/>
    <w:rsid w:val="00054CD6"/>
    <w:rsid w:val="00072D80"/>
    <w:rsid w:val="00085C5F"/>
    <w:rsid w:val="000A60CB"/>
    <w:rsid w:val="000A6535"/>
    <w:rsid w:val="000E07B4"/>
    <w:rsid w:val="000E4F69"/>
    <w:rsid w:val="000E5C83"/>
    <w:rsid w:val="000E764B"/>
    <w:rsid w:val="000F3497"/>
    <w:rsid w:val="000F7377"/>
    <w:rsid w:val="001024B0"/>
    <w:rsid w:val="00102CE0"/>
    <w:rsid w:val="00106A2C"/>
    <w:rsid w:val="0012619F"/>
    <w:rsid w:val="00134C6E"/>
    <w:rsid w:val="00176E4C"/>
    <w:rsid w:val="001847E9"/>
    <w:rsid w:val="0019548F"/>
    <w:rsid w:val="00197422"/>
    <w:rsid w:val="001A31AE"/>
    <w:rsid w:val="001C2BE3"/>
    <w:rsid w:val="001E131F"/>
    <w:rsid w:val="001E16BB"/>
    <w:rsid w:val="001E6A82"/>
    <w:rsid w:val="001F4884"/>
    <w:rsid w:val="002057A2"/>
    <w:rsid w:val="00217D5F"/>
    <w:rsid w:val="002335F5"/>
    <w:rsid w:val="00245312"/>
    <w:rsid w:val="00251885"/>
    <w:rsid w:val="00251D2E"/>
    <w:rsid w:val="002670DB"/>
    <w:rsid w:val="00271505"/>
    <w:rsid w:val="00275061"/>
    <w:rsid w:val="00290415"/>
    <w:rsid w:val="00291821"/>
    <w:rsid w:val="002A5EE3"/>
    <w:rsid w:val="002D6A98"/>
    <w:rsid w:val="002E3D4B"/>
    <w:rsid w:val="002E523F"/>
    <w:rsid w:val="00307C97"/>
    <w:rsid w:val="00310162"/>
    <w:rsid w:val="00331756"/>
    <w:rsid w:val="003402A4"/>
    <w:rsid w:val="00352508"/>
    <w:rsid w:val="00371501"/>
    <w:rsid w:val="00383B28"/>
    <w:rsid w:val="00393B8E"/>
    <w:rsid w:val="003B2370"/>
    <w:rsid w:val="003B50F1"/>
    <w:rsid w:val="003B7A8E"/>
    <w:rsid w:val="003D529F"/>
    <w:rsid w:val="00400ABA"/>
    <w:rsid w:val="00401E1B"/>
    <w:rsid w:val="004021C5"/>
    <w:rsid w:val="00403697"/>
    <w:rsid w:val="00405E3D"/>
    <w:rsid w:val="004138FC"/>
    <w:rsid w:val="00443505"/>
    <w:rsid w:val="004437C2"/>
    <w:rsid w:val="00454559"/>
    <w:rsid w:val="00455D4F"/>
    <w:rsid w:val="00467137"/>
    <w:rsid w:val="0047239D"/>
    <w:rsid w:val="00472C6F"/>
    <w:rsid w:val="00474EE0"/>
    <w:rsid w:val="00485848"/>
    <w:rsid w:val="004B0D3E"/>
    <w:rsid w:val="004E6B08"/>
    <w:rsid w:val="004F1202"/>
    <w:rsid w:val="004F5498"/>
    <w:rsid w:val="004F609D"/>
    <w:rsid w:val="004F6514"/>
    <w:rsid w:val="004F77C0"/>
    <w:rsid w:val="0050300C"/>
    <w:rsid w:val="0051052A"/>
    <w:rsid w:val="00513DAC"/>
    <w:rsid w:val="005341B7"/>
    <w:rsid w:val="005411F5"/>
    <w:rsid w:val="00542C62"/>
    <w:rsid w:val="0055012F"/>
    <w:rsid w:val="00563F29"/>
    <w:rsid w:val="0058651C"/>
    <w:rsid w:val="00595A0F"/>
    <w:rsid w:val="005A16ED"/>
    <w:rsid w:val="005B10A1"/>
    <w:rsid w:val="005B4422"/>
    <w:rsid w:val="005C39E3"/>
    <w:rsid w:val="005F0C56"/>
    <w:rsid w:val="005F4FCF"/>
    <w:rsid w:val="005F745D"/>
    <w:rsid w:val="00605AB5"/>
    <w:rsid w:val="006216A8"/>
    <w:rsid w:val="00623B92"/>
    <w:rsid w:val="006326C0"/>
    <w:rsid w:val="0065152D"/>
    <w:rsid w:val="00651EF7"/>
    <w:rsid w:val="00682046"/>
    <w:rsid w:val="00683CB5"/>
    <w:rsid w:val="0069683F"/>
    <w:rsid w:val="006A44CC"/>
    <w:rsid w:val="006E43D1"/>
    <w:rsid w:val="006E4990"/>
    <w:rsid w:val="006E4C68"/>
    <w:rsid w:val="006F47BE"/>
    <w:rsid w:val="00704538"/>
    <w:rsid w:val="0072000A"/>
    <w:rsid w:val="00726E62"/>
    <w:rsid w:val="007421F2"/>
    <w:rsid w:val="00753A65"/>
    <w:rsid w:val="00762CDE"/>
    <w:rsid w:val="007679D8"/>
    <w:rsid w:val="007765CD"/>
    <w:rsid w:val="007A0E3D"/>
    <w:rsid w:val="007A3CEA"/>
    <w:rsid w:val="007B331C"/>
    <w:rsid w:val="007B63FE"/>
    <w:rsid w:val="007B6E4F"/>
    <w:rsid w:val="007C2385"/>
    <w:rsid w:val="007D6A41"/>
    <w:rsid w:val="007F702A"/>
    <w:rsid w:val="007F7B30"/>
    <w:rsid w:val="00801ED1"/>
    <w:rsid w:val="008021FA"/>
    <w:rsid w:val="008119A9"/>
    <w:rsid w:val="0081394B"/>
    <w:rsid w:val="008249BB"/>
    <w:rsid w:val="00825FB9"/>
    <w:rsid w:val="00832321"/>
    <w:rsid w:val="0085419A"/>
    <w:rsid w:val="00872C4B"/>
    <w:rsid w:val="008918FD"/>
    <w:rsid w:val="008A169A"/>
    <w:rsid w:val="008A7C8F"/>
    <w:rsid w:val="008C107E"/>
    <w:rsid w:val="008E04EC"/>
    <w:rsid w:val="008E57F8"/>
    <w:rsid w:val="008F19F2"/>
    <w:rsid w:val="00907275"/>
    <w:rsid w:val="0091071A"/>
    <w:rsid w:val="00921B28"/>
    <w:rsid w:val="00926356"/>
    <w:rsid w:val="00945182"/>
    <w:rsid w:val="0095386A"/>
    <w:rsid w:val="009627F7"/>
    <w:rsid w:val="00964287"/>
    <w:rsid w:val="00966A0C"/>
    <w:rsid w:val="009777B4"/>
    <w:rsid w:val="00985F70"/>
    <w:rsid w:val="009A23E4"/>
    <w:rsid w:val="009B34D8"/>
    <w:rsid w:val="009B69CA"/>
    <w:rsid w:val="009C501E"/>
    <w:rsid w:val="009C6776"/>
    <w:rsid w:val="009F0F03"/>
    <w:rsid w:val="009F7CD0"/>
    <w:rsid w:val="00A0749D"/>
    <w:rsid w:val="00A27C03"/>
    <w:rsid w:val="00A304F1"/>
    <w:rsid w:val="00A45169"/>
    <w:rsid w:val="00A46E3B"/>
    <w:rsid w:val="00A47196"/>
    <w:rsid w:val="00A62F4F"/>
    <w:rsid w:val="00A75552"/>
    <w:rsid w:val="00AB0377"/>
    <w:rsid w:val="00AB1253"/>
    <w:rsid w:val="00AB181B"/>
    <w:rsid w:val="00AC0FED"/>
    <w:rsid w:val="00AD15E4"/>
    <w:rsid w:val="00AD3E2D"/>
    <w:rsid w:val="00AE0009"/>
    <w:rsid w:val="00AE315B"/>
    <w:rsid w:val="00B211F4"/>
    <w:rsid w:val="00B47541"/>
    <w:rsid w:val="00B75CA2"/>
    <w:rsid w:val="00B914D1"/>
    <w:rsid w:val="00BA17F8"/>
    <w:rsid w:val="00BB7E88"/>
    <w:rsid w:val="00BC4C34"/>
    <w:rsid w:val="00BD2FF1"/>
    <w:rsid w:val="00BF1F15"/>
    <w:rsid w:val="00C0356B"/>
    <w:rsid w:val="00C052B6"/>
    <w:rsid w:val="00C07EB6"/>
    <w:rsid w:val="00C24A4E"/>
    <w:rsid w:val="00C420A7"/>
    <w:rsid w:val="00C52349"/>
    <w:rsid w:val="00C71873"/>
    <w:rsid w:val="00C9570A"/>
    <w:rsid w:val="00CA1AA7"/>
    <w:rsid w:val="00CB2702"/>
    <w:rsid w:val="00CB5456"/>
    <w:rsid w:val="00CD3A35"/>
    <w:rsid w:val="00CE7D1D"/>
    <w:rsid w:val="00CF6962"/>
    <w:rsid w:val="00D2666B"/>
    <w:rsid w:val="00D272F0"/>
    <w:rsid w:val="00D35DAE"/>
    <w:rsid w:val="00D65862"/>
    <w:rsid w:val="00D6711E"/>
    <w:rsid w:val="00D75901"/>
    <w:rsid w:val="00D81211"/>
    <w:rsid w:val="00D83529"/>
    <w:rsid w:val="00DA4078"/>
    <w:rsid w:val="00DC5758"/>
    <w:rsid w:val="00DC6934"/>
    <w:rsid w:val="00DE1393"/>
    <w:rsid w:val="00DF749E"/>
    <w:rsid w:val="00E054D3"/>
    <w:rsid w:val="00E22EC7"/>
    <w:rsid w:val="00E360C7"/>
    <w:rsid w:val="00E5556B"/>
    <w:rsid w:val="00E56F5C"/>
    <w:rsid w:val="00E605C2"/>
    <w:rsid w:val="00E61A85"/>
    <w:rsid w:val="00E80B42"/>
    <w:rsid w:val="00E84FFE"/>
    <w:rsid w:val="00E9567A"/>
    <w:rsid w:val="00EA2A6A"/>
    <w:rsid w:val="00EB5B9A"/>
    <w:rsid w:val="00EE203F"/>
    <w:rsid w:val="00EF19A0"/>
    <w:rsid w:val="00EF66EC"/>
    <w:rsid w:val="00F17621"/>
    <w:rsid w:val="00F20053"/>
    <w:rsid w:val="00F4091B"/>
    <w:rsid w:val="00F47887"/>
    <w:rsid w:val="00F54A51"/>
    <w:rsid w:val="00F556FA"/>
    <w:rsid w:val="00F62E24"/>
    <w:rsid w:val="00F63B95"/>
    <w:rsid w:val="00F90F29"/>
    <w:rsid w:val="00F93651"/>
    <w:rsid w:val="00FA627F"/>
    <w:rsid w:val="00FD10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BEB677B"/>
  <w15:chartTrackingRefBased/>
  <w15:docId w15:val="{931A808C-7E6F-4784-86AB-0447353F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83F"/>
    <w:pPr>
      <w:widowControl w:val="0"/>
      <w:autoSpaceDE w:val="0"/>
      <w:autoSpaceDN w:val="0"/>
      <w:adjustRightInd w:val="0"/>
    </w:pPr>
    <w:rPr>
      <w:sz w:val="24"/>
      <w:szCs w:val="24"/>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paragraph" w:styleId="FootnoteText">
    <w:name w:val="footnote text"/>
    <w:basedOn w:val="Normal"/>
    <w:link w:val="FootnoteTextChar"/>
    <w:rsid w:val="0051052A"/>
  </w:style>
  <w:style w:type="character" w:customStyle="1" w:styleId="FootnoteTextChar">
    <w:name w:val="Footnote Text Char"/>
    <w:link w:val="FootnoteText"/>
    <w:rsid w:val="0051052A"/>
    <w:rPr>
      <w:sz w:val="24"/>
      <w:szCs w:val="24"/>
      <w:lang w:eastAsia="en-US"/>
    </w:rPr>
  </w:style>
  <w:style w:type="character" w:styleId="FootnoteReference">
    <w:name w:val="footnote reference"/>
    <w:uiPriority w:val="99"/>
    <w:unhideWhenUsed/>
    <w:rsid w:val="0051052A"/>
    <w:rPr>
      <w:vertAlign w:val="superscript"/>
    </w:rPr>
  </w:style>
  <w:style w:type="paragraph" w:styleId="Caption">
    <w:name w:val="caption"/>
    <w:basedOn w:val="Normal"/>
    <w:next w:val="Normal"/>
    <w:unhideWhenUsed/>
    <w:qFormat/>
    <w:rsid w:val="0055012F"/>
    <w:rPr>
      <w:b/>
      <w:bCs/>
      <w:sz w:val="20"/>
      <w:szCs w:val="20"/>
    </w:rPr>
  </w:style>
  <w:style w:type="table" w:styleId="TableGrid">
    <w:name w:val="Table Grid"/>
    <w:basedOn w:val="TableNormal"/>
    <w:rsid w:val="00550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176E4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618">
      <w:bodyDiv w:val="1"/>
      <w:marLeft w:val="0"/>
      <w:marRight w:val="0"/>
      <w:marTop w:val="0"/>
      <w:marBottom w:val="0"/>
      <w:divBdr>
        <w:top w:val="none" w:sz="0" w:space="0" w:color="auto"/>
        <w:left w:val="none" w:sz="0" w:space="0" w:color="auto"/>
        <w:bottom w:val="none" w:sz="0" w:space="0" w:color="auto"/>
        <w:right w:val="none" w:sz="0" w:space="0" w:color="auto"/>
      </w:divBdr>
      <w:divsChild>
        <w:div w:id="1807580379">
          <w:marLeft w:val="0"/>
          <w:marRight w:val="0"/>
          <w:marTop w:val="0"/>
          <w:marBottom w:val="0"/>
          <w:divBdr>
            <w:top w:val="none" w:sz="0" w:space="0" w:color="auto"/>
            <w:left w:val="none" w:sz="0" w:space="0" w:color="auto"/>
            <w:bottom w:val="none" w:sz="0" w:space="0" w:color="auto"/>
            <w:right w:val="none" w:sz="0" w:space="0" w:color="auto"/>
          </w:divBdr>
        </w:div>
      </w:divsChild>
    </w:div>
    <w:div w:id="25956609">
      <w:bodyDiv w:val="1"/>
      <w:marLeft w:val="0"/>
      <w:marRight w:val="0"/>
      <w:marTop w:val="0"/>
      <w:marBottom w:val="0"/>
      <w:divBdr>
        <w:top w:val="none" w:sz="0" w:space="0" w:color="auto"/>
        <w:left w:val="none" w:sz="0" w:space="0" w:color="auto"/>
        <w:bottom w:val="none" w:sz="0" w:space="0" w:color="auto"/>
        <w:right w:val="none" w:sz="0" w:space="0" w:color="auto"/>
      </w:divBdr>
      <w:divsChild>
        <w:div w:id="792871474">
          <w:marLeft w:val="0"/>
          <w:marRight w:val="0"/>
          <w:marTop w:val="0"/>
          <w:marBottom w:val="0"/>
          <w:divBdr>
            <w:top w:val="none" w:sz="0" w:space="0" w:color="auto"/>
            <w:left w:val="none" w:sz="0" w:space="0" w:color="auto"/>
            <w:bottom w:val="none" w:sz="0" w:space="0" w:color="auto"/>
            <w:right w:val="none" w:sz="0" w:space="0" w:color="auto"/>
          </w:divBdr>
        </w:div>
      </w:divsChild>
    </w:div>
    <w:div w:id="40787398">
      <w:bodyDiv w:val="1"/>
      <w:marLeft w:val="0"/>
      <w:marRight w:val="0"/>
      <w:marTop w:val="0"/>
      <w:marBottom w:val="0"/>
      <w:divBdr>
        <w:top w:val="none" w:sz="0" w:space="0" w:color="auto"/>
        <w:left w:val="none" w:sz="0" w:space="0" w:color="auto"/>
        <w:bottom w:val="none" w:sz="0" w:space="0" w:color="auto"/>
        <w:right w:val="none" w:sz="0" w:space="0" w:color="auto"/>
      </w:divBdr>
      <w:divsChild>
        <w:div w:id="514343997">
          <w:marLeft w:val="0"/>
          <w:marRight w:val="0"/>
          <w:marTop w:val="0"/>
          <w:marBottom w:val="0"/>
          <w:divBdr>
            <w:top w:val="none" w:sz="0" w:space="0" w:color="auto"/>
            <w:left w:val="none" w:sz="0" w:space="0" w:color="auto"/>
            <w:bottom w:val="none" w:sz="0" w:space="0" w:color="auto"/>
            <w:right w:val="none" w:sz="0" w:space="0" w:color="auto"/>
          </w:divBdr>
        </w:div>
      </w:divsChild>
    </w:div>
    <w:div w:id="55856439">
      <w:bodyDiv w:val="1"/>
      <w:marLeft w:val="0"/>
      <w:marRight w:val="0"/>
      <w:marTop w:val="0"/>
      <w:marBottom w:val="0"/>
      <w:divBdr>
        <w:top w:val="none" w:sz="0" w:space="0" w:color="auto"/>
        <w:left w:val="none" w:sz="0" w:space="0" w:color="auto"/>
        <w:bottom w:val="none" w:sz="0" w:space="0" w:color="auto"/>
        <w:right w:val="none" w:sz="0" w:space="0" w:color="auto"/>
      </w:divBdr>
      <w:divsChild>
        <w:div w:id="1046837066">
          <w:marLeft w:val="0"/>
          <w:marRight w:val="0"/>
          <w:marTop w:val="0"/>
          <w:marBottom w:val="0"/>
          <w:divBdr>
            <w:top w:val="none" w:sz="0" w:space="0" w:color="auto"/>
            <w:left w:val="none" w:sz="0" w:space="0" w:color="auto"/>
            <w:bottom w:val="none" w:sz="0" w:space="0" w:color="auto"/>
            <w:right w:val="none" w:sz="0" w:space="0" w:color="auto"/>
          </w:divBdr>
        </w:div>
      </w:divsChild>
    </w:div>
    <w:div w:id="96341161">
      <w:bodyDiv w:val="1"/>
      <w:marLeft w:val="0"/>
      <w:marRight w:val="0"/>
      <w:marTop w:val="0"/>
      <w:marBottom w:val="0"/>
      <w:divBdr>
        <w:top w:val="none" w:sz="0" w:space="0" w:color="auto"/>
        <w:left w:val="none" w:sz="0" w:space="0" w:color="auto"/>
        <w:bottom w:val="none" w:sz="0" w:space="0" w:color="auto"/>
        <w:right w:val="none" w:sz="0" w:space="0" w:color="auto"/>
      </w:divBdr>
      <w:divsChild>
        <w:div w:id="1743214515">
          <w:marLeft w:val="0"/>
          <w:marRight w:val="0"/>
          <w:marTop w:val="0"/>
          <w:marBottom w:val="0"/>
          <w:divBdr>
            <w:top w:val="none" w:sz="0" w:space="0" w:color="auto"/>
            <w:left w:val="none" w:sz="0" w:space="0" w:color="auto"/>
            <w:bottom w:val="none" w:sz="0" w:space="0" w:color="auto"/>
            <w:right w:val="none" w:sz="0" w:space="0" w:color="auto"/>
          </w:divBdr>
        </w:div>
      </w:divsChild>
    </w:div>
    <w:div w:id="118576369">
      <w:bodyDiv w:val="1"/>
      <w:marLeft w:val="0"/>
      <w:marRight w:val="0"/>
      <w:marTop w:val="0"/>
      <w:marBottom w:val="0"/>
      <w:divBdr>
        <w:top w:val="none" w:sz="0" w:space="0" w:color="auto"/>
        <w:left w:val="none" w:sz="0" w:space="0" w:color="auto"/>
        <w:bottom w:val="none" w:sz="0" w:space="0" w:color="auto"/>
        <w:right w:val="none" w:sz="0" w:space="0" w:color="auto"/>
      </w:divBdr>
      <w:divsChild>
        <w:div w:id="740518226">
          <w:marLeft w:val="0"/>
          <w:marRight w:val="0"/>
          <w:marTop w:val="0"/>
          <w:marBottom w:val="0"/>
          <w:divBdr>
            <w:top w:val="none" w:sz="0" w:space="0" w:color="auto"/>
            <w:left w:val="none" w:sz="0" w:space="0" w:color="auto"/>
            <w:bottom w:val="none" w:sz="0" w:space="0" w:color="auto"/>
            <w:right w:val="none" w:sz="0" w:space="0" w:color="auto"/>
          </w:divBdr>
        </w:div>
      </w:divsChild>
    </w:div>
    <w:div w:id="162476905">
      <w:bodyDiv w:val="1"/>
      <w:marLeft w:val="0"/>
      <w:marRight w:val="0"/>
      <w:marTop w:val="0"/>
      <w:marBottom w:val="0"/>
      <w:divBdr>
        <w:top w:val="none" w:sz="0" w:space="0" w:color="auto"/>
        <w:left w:val="none" w:sz="0" w:space="0" w:color="auto"/>
        <w:bottom w:val="none" w:sz="0" w:space="0" w:color="auto"/>
        <w:right w:val="none" w:sz="0" w:space="0" w:color="auto"/>
      </w:divBdr>
      <w:divsChild>
        <w:div w:id="2083330830">
          <w:marLeft w:val="0"/>
          <w:marRight w:val="0"/>
          <w:marTop w:val="0"/>
          <w:marBottom w:val="0"/>
          <w:divBdr>
            <w:top w:val="none" w:sz="0" w:space="0" w:color="auto"/>
            <w:left w:val="none" w:sz="0" w:space="0" w:color="auto"/>
            <w:bottom w:val="none" w:sz="0" w:space="0" w:color="auto"/>
            <w:right w:val="none" w:sz="0" w:space="0" w:color="auto"/>
          </w:divBdr>
        </w:div>
      </w:divsChild>
    </w:div>
    <w:div w:id="231081073">
      <w:bodyDiv w:val="1"/>
      <w:marLeft w:val="0"/>
      <w:marRight w:val="0"/>
      <w:marTop w:val="0"/>
      <w:marBottom w:val="0"/>
      <w:divBdr>
        <w:top w:val="none" w:sz="0" w:space="0" w:color="auto"/>
        <w:left w:val="none" w:sz="0" w:space="0" w:color="auto"/>
        <w:bottom w:val="none" w:sz="0" w:space="0" w:color="auto"/>
        <w:right w:val="none" w:sz="0" w:space="0" w:color="auto"/>
      </w:divBdr>
      <w:divsChild>
        <w:div w:id="1293440416">
          <w:marLeft w:val="0"/>
          <w:marRight w:val="0"/>
          <w:marTop w:val="0"/>
          <w:marBottom w:val="0"/>
          <w:divBdr>
            <w:top w:val="none" w:sz="0" w:space="0" w:color="auto"/>
            <w:left w:val="none" w:sz="0" w:space="0" w:color="auto"/>
            <w:bottom w:val="none" w:sz="0" w:space="0" w:color="auto"/>
            <w:right w:val="none" w:sz="0" w:space="0" w:color="auto"/>
          </w:divBdr>
        </w:div>
      </w:divsChild>
    </w:div>
    <w:div w:id="242375881">
      <w:bodyDiv w:val="1"/>
      <w:marLeft w:val="0"/>
      <w:marRight w:val="0"/>
      <w:marTop w:val="0"/>
      <w:marBottom w:val="0"/>
      <w:divBdr>
        <w:top w:val="none" w:sz="0" w:space="0" w:color="auto"/>
        <w:left w:val="none" w:sz="0" w:space="0" w:color="auto"/>
        <w:bottom w:val="none" w:sz="0" w:space="0" w:color="auto"/>
        <w:right w:val="none" w:sz="0" w:space="0" w:color="auto"/>
      </w:divBdr>
      <w:divsChild>
        <w:div w:id="1746418299">
          <w:marLeft w:val="0"/>
          <w:marRight w:val="0"/>
          <w:marTop w:val="0"/>
          <w:marBottom w:val="0"/>
          <w:divBdr>
            <w:top w:val="none" w:sz="0" w:space="0" w:color="auto"/>
            <w:left w:val="none" w:sz="0" w:space="0" w:color="auto"/>
            <w:bottom w:val="none" w:sz="0" w:space="0" w:color="auto"/>
            <w:right w:val="none" w:sz="0" w:space="0" w:color="auto"/>
          </w:divBdr>
        </w:div>
      </w:divsChild>
    </w:div>
    <w:div w:id="313340067">
      <w:bodyDiv w:val="1"/>
      <w:marLeft w:val="0"/>
      <w:marRight w:val="0"/>
      <w:marTop w:val="0"/>
      <w:marBottom w:val="0"/>
      <w:divBdr>
        <w:top w:val="none" w:sz="0" w:space="0" w:color="auto"/>
        <w:left w:val="none" w:sz="0" w:space="0" w:color="auto"/>
        <w:bottom w:val="none" w:sz="0" w:space="0" w:color="auto"/>
        <w:right w:val="none" w:sz="0" w:space="0" w:color="auto"/>
      </w:divBdr>
      <w:divsChild>
        <w:div w:id="1652171292">
          <w:marLeft w:val="0"/>
          <w:marRight w:val="0"/>
          <w:marTop w:val="0"/>
          <w:marBottom w:val="0"/>
          <w:divBdr>
            <w:top w:val="none" w:sz="0" w:space="0" w:color="auto"/>
            <w:left w:val="none" w:sz="0" w:space="0" w:color="auto"/>
            <w:bottom w:val="none" w:sz="0" w:space="0" w:color="auto"/>
            <w:right w:val="none" w:sz="0" w:space="0" w:color="auto"/>
          </w:divBdr>
        </w:div>
      </w:divsChild>
    </w:div>
    <w:div w:id="327025526">
      <w:bodyDiv w:val="1"/>
      <w:marLeft w:val="0"/>
      <w:marRight w:val="0"/>
      <w:marTop w:val="0"/>
      <w:marBottom w:val="0"/>
      <w:divBdr>
        <w:top w:val="none" w:sz="0" w:space="0" w:color="auto"/>
        <w:left w:val="none" w:sz="0" w:space="0" w:color="auto"/>
        <w:bottom w:val="none" w:sz="0" w:space="0" w:color="auto"/>
        <w:right w:val="none" w:sz="0" w:space="0" w:color="auto"/>
      </w:divBdr>
      <w:divsChild>
        <w:div w:id="1038898606">
          <w:marLeft w:val="0"/>
          <w:marRight w:val="0"/>
          <w:marTop w:val="0"/>
          <w:marBottom w:val="0"/>
          <w:divBdr>
            <w:top w:val="none" w:sz="0" w:space="0" w:color="auto"/>
            <w:left w:val="none" w:sz="0" w:space="0" w:color="auto"/>
            <w:bottom w:val="none" w:sz="0" w:space="0" w:color="auto"/>
            <w:right w:val="none" w:sz="0" w:space="0" w:color="auto"/>
          </w:divBdr>
        </w:div>
      </w:divsChild>
    </w:div>
    <w:div w:id="403263225">
      <w:bodyDiv w:val="1"/>
      <w:marLeft w:val="0"/>
      <w:marRight w:val="0"/>
      <w:marTop w:val="0"/>
      <w:marBottom w:val="0"/>
      <w:divBdr>
        <w:top w:val="none" w:sz="0" w:space="0" w:color="auto"/>
        <w:left w:val="none" w:sz="0" w:space="0" w:color="auto"/>
        <w:bottom w:val="none" w:sz="0" w:space="0" w:color="auto"/>
        <w:right w:val="none" w:sz="0" w:space="0" w:color="auto"/>
      </w:divBdr>
      <w:divsChild>
        <w:div w:id="591280349">
          <w:marLeft w:val="0"/>
          <w:marRight w:val="0"/>
          <w:marTop w:val="0"/>
          <w:marBottom w:val="0"/>
          <w:divBdr>
            <w:top w:val="none" w:sz="0" w:space="0" w:color="auto"/>
            <w:left w:val="none" w:sz="0" w:space="0" w:color="auto"/>
            <w:bottom w:val="none" w:sz="0" w:space="0" w:color="auto"/>
            <w:right w:val="none" w:sz="0" w:space="0" w:color="auto"/>
          </w:divBdr>
        </w:div>
      </w:divsChild>
    </w:div>
    <w:div w:id="416361696">
      <w:bodyDiv w:val="1"/>
      <w:marLeft w:val="0"/>
      <w:marRight w:val="0"/>
      <w:marTop w:val="0"/>
      <w:marBottom w:val="0"/>
      <w:divBdr>
        <w:top w:val="none" w:sz="0" w:space="0" w:color="auto"/>
        <w:left w:val="none" w:sz="0" w:space="0" w:color="auto"/>
        <w:bottom w:val="none" w:sz="0" w:space="0" w:color="auto"/>
        <w:right w:val="none" w:sz="0" w:space="0" w:color="auto"/>
      </w:divBdr>
      <w:divsChild>
        <w:div w:id="2069183743">
          <w:marLeft w:val="0"/>
          <w:marRight w:val="0"/>
          <w:marTop w:val="0"/>
          <w:marBottom w:val="0"/>
          <w:divBdr>
            <w:top w:val="none" w:sz="0" w:space="0" w:color="auto"/>
            <w:left w:val="none" w:sz="0" w:space="0" w:color="auto"/>
            <w:bottom w:val="none" w:sz="0" w:space="0" w:color="auto"/>
            <w:right w:val="none" w:sz="0" w:space="0" w:color="auto"/>
          </w:divBdr>
        </w:div>
      </w:divsChild>
    </w:div>
    <w:div w:id="507140526">
      <w:bodyDiv w:val="1"/>
      <w:marLeft w:val="0"/>
      <w:marRight w:val="0"/>
      <w:marTop w:val="0"/>
      <w:marBottom w:val="0"/>
      <w:divBdr>
        <w:top w:val="none" w:sz="0" w:space="0" w:color="auto"/>
        <w:left w:val="none" w:sz="0" w:space="0" w:color="auto"/>
        <w:bottom w:val="none" w:sz="0" w:space="0" w:color="auto"/>
        <w:right w:val="none" w:sz="0" w:space="0" w:color="auto"/>
      </w:divBdr>
      <w:divsChild>
        <w:div w:id="2038969902">
          <w:marLeft w:val="0"/>
          <w:marRight w:val="0"/>
          <w:marTop w:val="0"/>
          <w:marBottom w:val="0"/>
          <w:divBdr>
            <w:top w:val="none" w:sz="0" w:space="0" w:color="auto"/>
            <w:left w:val="none" w:sz="0" w:space="0" w:color="auto"/>
            <w:bottom w:val="none" w:sz="0" w:space="0" w:color="auto"/>
            <w:right w:val="none" w:sz="0" w:space="0" w:color="auto"/>
          </w:divBdr>
        </w:div>
      </w:divsChild>
    </w:div>
    <w:div w:id="527138026">
      <w:bodyDiv w:val="1"/>
      <w:marLeft w:val="0"/>
      <w:marRight w:val="0"/>
      <w:marTop w:val="0"/>
      <w:marBottom w:val="0"/>
      <w:divBdr>
        <w:top w:val="none" w:sz="0" w:space="0" w:color="auto"/>
        <w:left w:val="none" w:sz="0" w:space="0" w:color="auto"/>
        <w:bottom w:val="none" w:sz="0" w:space="0" w:color="auto"/>
        <w:right w:val="none" w:sz="0" w:space="0" w:color="auto"/>
      </w:divBdr>
      <w:divsChild>
        <w:div w:id="1792820053">
          <w:marLeft w:val="0"/>
          <w:marRight w:val="0"/>
          <w:marTop w:val="0"/>
          <w:marBottom w:val="0"/>
          <w:divBdr>
            <w:top w:val="none" w:sz="0" w:space="0" w:color="auto"/>
            <w:left w:val="none" w:sz="0" w:space="0" w:color="auto"/>
            <w:bottom w:val="none" w:sz="0" w:space="0" w:color="auto"/>
            <w:right w:val="none" w:sz="0" w:space="0" w:color="auto"/>
          </w:divBdr>
        </w:div>
      </w:divsChild>
    </w:div>
    <w:div w:id="575674241">
      <w:bodyDiv w:val="1"/>
      <w:marLeft w:val="0"/>
      <w:marRight w:val="0"/>
      <w:marTop w:val="0"/>
      <w:marBottom w:val="0"/>
      <w:divBdr>
        <w:top w:val="none" w:sz="0" w:space="0" w:color="auto"/>
        <w:left w:val="none" w:sz="0" w:space="0" w:color="auto"/>
        <w:bottom w:val="none" w:sz="0" w:space="0" w:color="auto"/>
        <w:right w:val="none" w:sz="0" w:space="0" w:color="auto"/>
      </w:divBdr>
      <w:divsChild>
        <w:div w:id="622810075">
          <w:marLeft w:val="0"/>
          <w:marRight w:val="0"/>
          <w:marTop w:val="0"/>
          <w:marBottom w:val="0"/>
          <w:divBdr>
            <w:top w:val="none" w:sz="0" w:space="0" w:color="auto"/>
            <w:left w:val="none" w:sz="0" w:space="0" w:color="auto"/>
            <w:bottom w:val="none" w:sz="0" w:space="0" w:color="auto"/>
            <w:right w:val="none" w:sz="0" w:space="0" w:color="auto"/>
          </w:divBdr>
        </w:div>
      </w:divsChild>
    </w:div>
    <w:div w:id="575752379">
      <w:bodyDiv w:val="1"/>
      <w:marLeft w:val="0"/>
      <w:marRight w:val="0"/>
      <w:marTop w:val="0"/>
      <w:marBottom w:val="0"/>
      <w:divBdr>
        <w:top w:val="none" w:sz="0" w:space="0" w:color="auto"/>
        <w:left w:val="none" w:sz="0" w:space="0" w:color="auto"/>
        <w:bottom w:val="none" w:sz="0" w:space="0" w:color="auto"/>
        <w:right w:val="none" w:sz="0" w:space="0" w:color="auto"/>
      </w:divBdr>
      <w:divsChild>
        <w:div w:id="2067491324">
          <w:marLeft w:val="0"/>
          <w:marRight w:val="0"/>
          <w:marTop w:val="0"/>
          <w:marBottom w:val="0"/>
          <w:divBdr>
            <w:top w:val="none" w:sz="0" w:space="0" w:color="auto"/>
            <w:left w:val="none" w:sz="0" w:space="0" w:color="auto"/>
            <w:bottom w:val="none" w:sz="0" w:space="0" w:color="auto"/>
            <w:right w:val="none" w:sz="0" w:space="0" w:color="auto"/>
          </w:divBdr>
        </w:div>
      </w:divsChild>
    </w:div>
    <w:div w:id="584650443">
      <w:bodyDiv w:val="1"/>
      <w:marLeft w:val="0"/>
      <w:marRight w:val="0"/>
      <w:marTop w:val="0"/>
      <w:marBottom w:val="0"/>
      <w:divBdr>
        <w:top w:val="none" w:sz="0" w:space="0" w:color="auto"/>
        <w:left w:val="none" w:sz="0" w:space="0" w:color="auto"/>
        <w:bottom w:val="none" w:sz="0" w:space="0" w:color="auto"/>
        <w:right w:val="none" w:sz="0" w:space="0" w:color="auto"/>
      </w:divBdr>
      <w:divsChild>
        <w:div w:id="906525826">
          <w:marLeft w:val="0"/>
          <w:marRight w:val="0"/>
          <w:marTop w:val="0"/>
          <w:marBottom w:val="0"/>
          <w:divBdr>
            <w:top w:val="none" w:sz="0" w:space="0" w:color="auto"/>
            <w:left w:val="none" w:sz="0" w:space="0" w:color="auto"/>
            <w:bottom w:val="none" w:sz="0" w:space="0" w:color="auto"/>
            <w:right w:val="none" w:sz="0" w:space="0" w:color="auto"/>
          </w:divBdr>
        </w:div>
      </w:divsChild>
    </w:div>
    <w:div w:id="597980752">
      <w:bodyDiv w:val="1"/>
      <w:marLeft w:val="0"/>
      <w:marRight w:val="0"/>
      <w:marTop w:val="0"/>
      <w:marBottom w:val="0"/>
      <w:divBdr>
        <w:top w:val="none" w:sz="0" w:space="0" w:color="auto"/>
        <w:left w:val="none" w:sz="0" w:space="0" w:color="auto"/>
        <w:bottom w:val="none" w:sz="0" w:space="0" w:color="auto"/>
        <w:right w:val="none" w:sz="0" w:space="0" w:color="auto"/>
      </w:divBdr>
      <w:divsChild>
        <w:div w:id="1438795358">
          <w:marLeft w:val="0"/>
          <w:marRight w:val="0"/>
          <w:marTop w:val="0"/>
          <w:marBottom w:val="0"/>
          <w:divBdr>
            <w:top w:val="none" w:sz="0" w:space="0" w:color="auto"/>
            <w:left w:val="none" w:sz="0" w:space="0" w:color="auto"/>
            <w:bottom w:val="none" w:sz="0" w:space="0" w:color="auto"/>
            <w:right w:val="none" w:sz="0" w:space="0" w:color="auto"/>
          </w:divBdr>
        </w:div>
      </w:divsChild>
    </w:div>
    <w:div w:id="599262421">
      <w:bodyDiv w:val="1"/>
      <w:marLeft w:val="0"/>
      <w:marRight w:val="0"/>
      <w:marTop w:val="0"/>
      <w:marBottom w:val="0"/>
      <w:divBdr>
        <w:top w:val="none" w:sz="0" w:space="0" w:color="auto"/>
        <w:left w:val="none" w:sz="0" w:space="0" w:color="auto"/>
        <w:bottom w:val="none" w:sz="0" w:space="0" w:color="auto"/>
        <w:right w:val="none" w:sz="0" w:space="0" w:color="auto"/>
      </w:divBdr>
      <w:divsChild>
        <w:div w:id="1344624477">
          <w:marLeft w:val="0"/>
          <w:marRight w:val="0"/>
          <w:marTop w:val="0"/>
          <w:marBottom w:val="0"/>
          <w:divBdr>
            <w:top w:val="none" w:sz="0" w:space="0" w:color="auto"/>
            <w:left w:val="none" w:sz="0" w:space="0" w:color="auto"/>
            <w:bottom w:val="none" w:sz="0" w:space="0" w:color="auto"/>
            <w:right w:val="none" w:sz="0" w:space="0" w:color="auto"/>
          </w:divBdr>
        </w:div>
      </w:divsChild>
    </w:div>
    <w:div w:id="650789682">
      <w:bodyDiv w:val="1"/>
      <w:marLeft w:val="0"/>
      <w:marRight w:val="0"/>
      <w:marTop w:val="0"/>
      <w:marBottom w:val="0"/>
      <w:divBdr>
        <w:top w:val="none" w:sz="0" w:space="0" w:color="auto"/>
        <w:left w:val="none" w:sz="0" w:space="0" w:color="auto"/>
        <w:bottom w:val="none" w:sz="0" w:space="0" w:color="auto"/>
        <w:right w:val="none" w:sz="0" w:space="0" w:color="auto"/>
      </w:divBdr>
      <w:divsChild>
        <w:div w:id="1591816503">
          <w:marLeft w:val="0"/>
          <w:marRight w:val="0"/>
          <w:marTop w:val="0"/>
          <w:marBottom w:val="0"/>
          <w:divBdr>
            <w:top w:val="none" w:sz="0" w:space="0" w:color="auto"/>
            <w:left w:val="none" w:sz="0" w:space="0" w:color="auto"/>
            <w:bottom w:val="none" w:sz="0" w:space="0" w:color="auto"/>
            <w:right w:val="none" w:sz="0" w:space="0" w:color="auto"/>
          </w:divBdr>
        </w:div>
      </w:divsChild>
    </w:div>
    <w:div w:id="735125698">
      <w:bodyDiv w:val="1"/>
      <w:marLeft w:val="0"/>
      <w:marRight w:val="0"/>
      <w:marTop w:val="0"/>
      <w:marBottom w:val="0"/>
      <w:divBdr>
        <w:top w:val="none" w:sz="0" w:space="0" w:color="auto"/>
        <w:left w:val="none" w:sz="0" w:space="0" w:color="auto"/>
        <w:bottom w:val="none" w:sz="0" w:space="0" w:color="auto"/>
        <w:right w:val="none" w:sz="0" w:space="0" w:color="auto"/>
      </w:divBdr>
      <w:divsChild>
        <w:div w:id="2106227702">
          <w:marLeft w:val="0"/>
          <w:marRight w:val="0"/>
          <w:marTop w:val="0"/>
          <w:marBottom w:val="0"/>
          <w:divBdr>
            <w:top w:val="none" w:sz="0" w:space="0" w:color="auto"/>
            <w:left w:val="none" w:sz="0" w:space="0" w:color="auto"/>
            <w:bottom w:val="none" w:sz="0" w:space="0" w:color="auto"/>
            <w:right w:val="none" w:sz="0" w:space="0" w:color="auto"/>
          </w:divBdr>
        </w:div>
      </w:divsChild>
    </w:div>
    <w:div w:id="769207545">
      <w:bodyDiv w:val="1"/>
      <w:marLeft w:val="0"/>
      <w:marRight w:val="0"/>
      <w:marTop w:val="0"/>
      <w:marBottom w:val="0"/>
      <w:divBdr>
        <w:top w:val="none" w:sz="0" w:space="0" w:color="auto"/>
        <w:left w:val="none" w:sz="0" w:space="0" w:color="auto"/>
        <w:bottom w:val="none" w:sz="0" w:space="0" w:color="auto"/>
        <w:right w:val="none" w:sz="0" w:space="0" w:color="auto"/>
      </w:divBdr>
      <w:divsChild>
        <w:div w:id="285158865">
          <w:marLeft w:val="0"/>
          <w:marRight w:val="0"/>
          <w:marTop w:val="0"/>
          <w:marBottom w:val="0"/>
          <w:divBdr>
            <w:top w:val="none" w:sz="0" w:space="0" w:color="auto"/>
            <w:left w:val="none" w:sz="0" w:space="0" w:color="auto"/>
            <w:bottom w:val="none" w:sz="0" w:space="0" w:color="auto"/>
            <w:right w:val="none" w:sz="0" w:space="0" w:color="auto"/>
          </w:divBdr>
        </w:div>
      </w:divsChild>
    </w:div>
    <w:div w:id="775173138">
      <w:bodyDiv w:val="1"/>
      <w:marLeft w:val="0"/>
      <w:marRight w:val="0"/>
      <w:marTop w:val="0"/>
      <w:marBottom w:val="0"/>
      <w:divBdr>
        <w:top w:val="none" w:sz="0" w:space="0" w:color="auto"/>
        <w:left w:val="none" w:sz="0" w:space="0" w:color="auto"/>
        <w:bottom w:val="none" w:sz="0" w:space="0" w:color="auto"/>
        <w:right w:val="none" w:sz="0" w:space="0" w:color="auto"/>
      </w:divBdr>
      <w:divsChild>
        <w:div w:id="1515074031">
          <w:marLeft w:val="0"/>
          <w:marRight w:val="0"/>
          <w:marTop w:val="0"/>
          <w:marBottom w:val="0"/>
          <w:divBdr>
            <w:top w:val="none" w:sz="0" w:space="0" w:color="auto"/>
            <w:left w:val="none" w:sz="0" w:space="0" w:color="auto"/>
            <w:bottom w:val="none" w:sz="0" w:space="0" w:color="auto"/>
            <w:right w:val="none" w:sz="0" w:space="0" w:color="auto"/>
          </w:divBdr>
        </w:div>
      </w:divsChild>
    </w:div>
    <w:div w:id="877938813">
      <w:bodyDiv w:val="1"/>
      <w:marLeft w:val="0"/>
      <w:marRight w:val="0"/>
      <w:marTop w:val="0"/>
      <w:marBottom w:val="0"/>
      <w:divBdr>
        <w:top w:val="none" w:sz="0" w:space="0" w:color="auto"/>
        <w:left w:val="none" w:sz="0" w:space="0" w:color="auto"/>
        <w:bottom w:val="none" w:sz="0" w:space="0" w:color="auto"/>
        <w:right w:val="none" w:sz="0" w:space="0" w:color="auto"/>
      </w:divBdr>
      <w:divsChild>
        <w:div w:id="308828881">
          <w:marLeft w:val="0"/>
          <w:marRight w:val="0"/>
          <w:marTop w:val="0"/>
          <w:marBottom w:val="0"/>
          <w:divBdr>
            <w:top w:val="none" w:sz="0" w:space="0" w:color="auto"/>
            <w:left w:val="none" w:sz="0" w:space="0" w:color="auto"/>
            <w:bottom w:val="none" w:sz="0" w:space="0" w:color="auto"/>
            <w:right w:val="none" w:sz="0" w:space="0" w:color="auto"/>
          </w:divBdr>
        </w:div>
      </w:divsChild>
    </w:div>
    <w:div w:id="912550441">
      <w:bodyDiv w:val="1"/>
      <w:marLeft w:val="0"/>
      <w:marRight w:val="0"/>
      <w:marTop w:val="0"/>
      <w:marBottom w:val="0"/>
      <w:divBdr>
        <w:top w:val="none" w:sz="0" w:space="0" w:color="auto"/>
        <w:left w:val="none" w:sz="0" w:space="0" w:color="auto"/>
        <w:bottom w:val="none" w:sz="0" w:space="0" w:color="auto"/>
        <w:right w:val="none" w:sz="0" w:space="0" w:color="auto"/>
      </w:divBdr>
      <w:divsChild>
        <w:div w:id="820073029">
          <w:marLeft w:val="0"/>
          <w:marRight w:val="0"/>
          <w:marTop w:val="0"/>
          <w:marBottom w:val="0"/>
          <w:divBdr>
            <w:top w:val="none" w:sz="0" w:space="0" w:color="auto"/>
            <w:left w:val="none" w:sz="0" w:space="0" w:color="auto"/>
            <w:bottom w:val="none" w:sz="0" w:space="0" w:color="auto"/>
            <w:right w:val="none" w:sz="0" w:space="0" w:color="auto"/>
          </w:divBdr>
        </w:div>
      </w:divsChild>
    </w:div>
    <w:div w:id="912667106">
      <w:bodyDiv w:val="1"/>
      <w:marLeft w:val="0"/>
      <w:marRight w:val="0"/>
      <w:marTop w:val="0"/>
      <w:marBottom w:val="0"/>
      <w:divBdr>
        <w:top w:val="none" w:sz="0" w:space="0" w:color="auto"/>
        <w:left w:val="none" w:sz="0" w:space="0" w:color="auto"/>
        <w:bottom w:val="none" w:sz="0" w:space="0" w:color="auto"/>
        <w:right w:val="none" w:sz="0" w:space="0" w:color="auto"/>
      </w:divBdr>
      <w:divsChild>
        <w:div w:id="1101727262">
          <w:marLeft w:val="0"/>
          <w:marRight w:val="0"/>
          <w:marTop w:val="0"/>
          <w:marBottom w:val="0"/>
          <w:divBdr>
            <w:top w:val="none" w:sz="0" w:space="0" w:color="auto"/>
            <w:left w:val="none" w:sz="0" w:space="0" w:color="auto"/>
            <w:bottom w:val="none" w:sz="0" w:space="0" w:color="auto"/>
            <w:right w:val="none" w:sz="0" w:space="0" w:color="auto"/>
          </w:divBdr>
        </w:div>
      </w:divsChild>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978340565">
      <w:bodyDiv w:val="1"/>
      <w:marLeft w:val="0"/>
      <w:marRight w:val="0"/>
      <w:marTop w:val="0"/>
      <w:marBottom w:val="0"/>
      <w:divBdr>
        <w:top w:val="none" w:sz="0" w:space="0" w:color="auto"/>
        <w:left w:val="none" w:sz="0" w:space="0" w:color="auto"/>
        <w:bottom w:val="none" w:sz="0" w:space="0" w:color="auto"/>
        <w:right w:val="none" w:sz="0" w:space="0" w:color="auto"/>
      </w:divBdr>
      <w:divsChild>
        <w:div w:id="660933407">
          <w:marLeft w:val="0"/>
          <w:marRight w:val="0"/>
          <w:marTop w:val="0"/>
          <w:marBottom w:val="0"/>
          <w:divBdr>
            <w:top w:val="none" w:sz="0" w:space="0" w:color="auto"/>
            <w:left w:val="none" w:sz="0" w:space="0" w:color="auto"/>
            <w:bottom w:val="none" w:sz="0" w:space="0" w:color="auto"/>
            <w:right w:val="none" w:sz="0" w:space="0" w:color="auto"/>
          </w:divBdr>
        </w:div>
      </w:divsChild>
    </w:div>
    <w:div w:id="1014917287">
      <w:bodyDiv w:val="1"/>
      <w:marLeft w:val="0"/>
      <w:marRight w:val="0"/>
      <w:marTop w:val="0"/>
      <w:marBottom w:val="0"/>
      <w:divBdr>
        <w:top w:val="none" w:sz="0" w:space="0" w:color="auto"/>
        <w:left w:val="none" w:sz="0" w:space="0" w:color="auto"/>
        <w:bottom w:val="none" w:sz="0" w:space="0" w:color="auto"/>
        <w:right w:val="none" w:sz="0" w:space="0" w:color="auto"/>
      </w:divBdr>
      <w:divsChild>
        <w:div w:id="855732347">
          <w:marLeft w:val="0"/>
          <w:marRight w:val="0"/>
          <w:marTop w:val="0"/>
          <w:marBottom w:val="0"/>
          <w:divBdr>
            <w:top w:val="none" w:sz="0" w:space="0" w:color="auto"/>
            <w:left w:val="none" w:sz="0" w:space="0" w:color="auto"/>
            <w:bottom w:val="none" w:sz="0" w:space="0" w:color="auto"/>
            <w:right w:val="none" w:sz="0" w:space="0" w:color="auto"/>
          </w:divBdr>
        </w:div>
      </w:divsChild>
    </w:div>
    <w:div w:id="1059018219">
      <w:bodyDiv w:val="1"/>
      <w:marLeft w:val="0"/>
      <w:marRight w:val="0"/>
      <w:marTop w:val="0"/>
      <w:marBottom w:val="0"/>
      <w:divBdr>
        <w:top w:val="none" w:sz="0" w:space="0" w:color="auto"/>
        <w:left w:val="none" w:sz="0" w:space="0" w:color="auto"/>
        <w:bottom w:val="none" w:sz="0" w:space="0" w:color="auto"/>
        <w:right w:val="none" w:sz="0" w:space="0" w:color="auto"/>
      </w:divBdr>
      <w:divsChild>
        <w:div w:id="1745834078">
          <w:marLeft w:val="0"/>
          <w:marRight w:val="0"/>
          <w:marTop w:val="0"/>
          <w:marBottom w:val="0"/>
          <w:divBdr>
            <w:top w:val="none" w:sz="0" w:space="0" w:color="auto"/>
            <w:left w:val="none" w:sz="0" w:space="0" w:color="auto"/>
            <w:bottom w:val="none" w:sz="0" w:space="0" w:color="auto"/>
            <w:right w:val="none" w:sz="0" w:space="0" w:color="auto"/>
          </w:divBdr>
        </w:div>
      </w:divsChild>
    </w:div>
    <w:div w:id="1081752612">
      <w:bodyDiv w:val="1"/>
      <w:marLeft w:val="0"/>
      <w:marRight w:val="0"/>
      <w:marTop w:val="0"/>
      <w:marBottom w:val="0"/>
      <w:divBdr>
        <w:top w:val="none" w:sz="0" w:space="0" w:color="auto"/>
        <w:left w:val="none" w:sz="0" w:space="0" w:color="auto"/>
        <w:bottom w:val="none" w:sz="0" w:space="0" w:color="auto"/>
        <w:right w:val="none" w:sz="0" w:space="0" w:color="auto"/>
      </w:divBdr>
      <w:divsChild>
        <w:div w:id="1657297161">
          <w:marLeft w:val="0"/>
          <w:marRight w:val="0"/>
          <w:marTop w:val="0"/>
          <w:marBottom w:val="0"/>
          <w:divBdr>
            <w:top w:val="none" w:sz="0" w:space="0" w:color="auto"/>
            <w:left w:val="none" w:sz="0" w:space="0" w:color="auto"/>
            <w:bottom w:val="none" w:sz="0" w:space="0" w:color="auto"/>
            <w:right w:val="none" w:sz="0" w:space="0" w:color="auto"/>
          </w:divBdr>
        </w:div>
      </w:divsChild>
    </w:div>
    <w:div w:id="1083718621">
      <w:bodyDiv w:val="1"/>
      <w:marLeft w:val="0"/>
      <w:marRight w:val="0"/>
      <w:marTop w:val="0"/>
      <w:marBottom w:val="0"/>
      <w:divBdr>
        <w:top w:val="none" w:sz="0" w:space="0" w:color="auto"/>
        <w:left w:val="none" w:sz="0" w:space="0" w:color="auto"/>
        <w:bottom w:val="none" w:sz="0" w:space="0" w:color="auto"/>
        <w:right w:val="none" w:sz="0" w:space="0" w:color="auto"/>
      </w:divBdr>
      <w:divsChild>
        <w:div w:id="472211628">
          <w:marLeft w:val="0"/>
          <w:marRight w:val="0"/>
          <w:marTop w:val="0"/>
          <w:marBottom w:val="0"/>
          <w:divBdr>
            <w:top w:val="none" w:sz="0" w:space="0" w:color="auto"/>
            <w:left w:val="none" w:sz="0" w:space="0" w:color="auto"/>
            <w:bottom w:val="none" w:sz="0" w:space="0" w:color="auto"/>
            <w:right w:val="none" w:sz="0" w:space="0" w:color="auto"/>
          </w:divBdr>
        </w:div>
      </w:divsChild>
    </w:div>
    <w:div w:id="1090739963">
      <w:bodyDiv w:val="1"/>
      <w:marLeft w:val="0"/>
      <w:marRight w:val="0"/>
      <w:marTop w:val="0"/>
      <w:marBottom w:val="0"/>
      <w:divBdr>
        <w:top w:val="none" w:sz="0" w:space="0" w:color="auto"/>
        <w:left w:val="none" w:sz="0" w:space="0" w:color="auto"/>
        <w:bottom w:val="none" w:sz="0" w:space="0" w:color="auto"/>
        <w:right w:val="none" w:sz="0" w:space="0" w:color="auto"/>
      </w:divBdr>
      <w:divsChild>
        <w:div w:id="1230728535">
          <w:marLeft w:val="0"/>
          <w:marRight w:val="0"/>
          <w:marTop w:val="0"/>
          <w:marBottom w:val="0"/>
          <w:divBdr>
            <w:top w:val="none" w:sz="0" w:space="0" w:color="auto"/>
            <w:left w:val="none" w:sz="0" w:space="0" w:color="auto"/>
            <w:bottom w:val="none" w:sz="0" w:space="0" w:color="auto"/>
            <w:right w:val="none" w:sz="0" w:space="0" w:color="auto"/>
          </w:divBdr>
        </w:div>
      </w:divsChild>
    </w:div>
    <w:div w:id="1157452430">
      <w:bodyDiv w:val="1"/>
      <w:marLeft w:val="0"/>
      <w:marRight w:val="0"/>
      <w:marTop w:val="0"/>
      <w:marBottom w:val="0"/>
      <w:divBdr>
        <w:top w:val="none" w:sz="0" w:space="0" w:color="auto"/>
        <w:left w:val="none" w:sz="0" w:space="0" w:color="auto"/>
        <w:bottom w:val="none" w:sz="0" w:space="0" w:color="auto"/>
        <w:right w:val="none" w:sz="0" w:space="0" w:color="auto"/>
      </w:divBdr>
      <w:divsChild>
        <w:div w:id="1230113127">
          <w:marLeft w:val="0"/>
          <w:marRight w:val="0"/>
          <w:marTop w:val="0"/>
          <w:marBottom w:val="0"/>
          <w:divBdr>
            <w:top w:val="none" w:sz="0" w:space="0" w:color="auto"/>
            <w:left w:val="none" w:sz="0" w:space="0" w:color="auto"/>
            <w:bottom w:val="none" w:sz="0" w:space="0" w:color="auto"/>
            <w:right w:val="none" w:sz="0" w:space="0" w:color="auto"/>
          </w:divBdr>
        </w:div>
      </w:divsChild>
    </w:div>
    <w:div w:id="1181941779">
      <w:bodyDiv w:val="1"/>
      <w:marLeft w:val="0"/>
      <w:marRight w:val="0"/>
      <w:marTop w:val="0"/>
      <w:marBottom w:val="0"/>
      <w:divBdr>
        <w:top w:val="none" w:sz="0" w:space="0" w:color="auto"/>
        <w:left w:val="none" w:sz="0" w:space="0" w:color="auto"/>
        <w:bottom w:val="none" w:sz="0" w:space="0" w:color="auto"/>
        <w:right w:val="none" w:sz="0" w:space="0" w:color="auto"/>
      </w:divBdr>
      <w:divsChild>
        <w:div w:id="1441800760">
          <w:marLeft w:val="0"/>
          <w:marRight w:val="0"/>
          <w:marTop w:val="0"/>
          <w:marBottom w:val="0"/>
          <w:divBdr>
            <w:top w:val="none" w:sz="0" w:space="0" w:color="auto"/>
            <w:left w:val="none" w:sz="0" w:space="0" w:color="auto"/>
            <w:bottom w:val="none" w:sz="0" w:space="0" w:color="auto"/>
            <w:right w:val="none" w:sz="0" w:space="0" w:color="auto"/>
          </w:divBdr>
        </w:div>
      </w:divsChild>
    </w:div>
    <w:div w:id="1211069975">
      <w:bodyDiv w:val="1"/>
      <w:marLeft w:val="0"/>
      <w:marRight w:val="0"/>
      <w:marTop w:val="0"/>
      <w:marBottom w:val="0"/>
      <w:divBdr>
        <w:top w:val="none" w:sz="0" w:space="0" w:color="auto"/>
        <w:left w:val="none" w:sz="0" w:space="0" w:color="auto"/>
        <w:bottom w:val="none" w:sz="0" w:space="0" w:color="auto"/>
        <w:right w:val="none" w:sz="0" w:space="0" w:color="auto"/>
      </w:divBdr>
      <w:divsChild>
        <w:div w:id="1385906082">
          <w:marLeft w:val="0"/>
          <w:marRight w:val="0"/>
          <w:marTop w:val="0"/>
          <w:marBottom w:val="0"/>
          <w:divBdr>
            <w:top w:val="none" w:sz="0" w:space="0" w:color="auto"/>
            <w:left w:val="none" w:sz="0" w:space="0" w:color="auto"/>
            <w:bottom w:val="none" w:sz="0" w:space="0" w:color="auto"/>
            <w:right w:val="none" w:sz="0" w:space="0" w:color="auto"/>
          </w:divBdr>
        </w:div>
      </w:divsChild>
    </w:div>
    <w:div w:id="1228222133">
      <w:bodyDiv w:val="1"/>
      <w:marLeft w:val="0"/>
      <w:marRight w:val="0"/>
      <w:marTop w:val="0"/>
      <w:marBottom w:val="0"/>
      <w:divBdr>
        <w:top w:val="none" w:sz="0" w:space="0" w:color="auto"/>
        <w:left w:val="none" w:sz="0" w:space="0" w:color="auto"/>
        <w:bottom w:val="none" w:sz="0" w:space="0" w:color="auto"/>
        <w:right w:val="none" w:sz="0" w:space="0" w:color="auto"/>
      </w:divBdr>
      <w:divsChild>
        <w:div w:id="423500907">
          <w:marLeft w:val="0"/>
          <w:marRight w:val="0"/>
          <w:marTop w:val="0"/>
          <w:marBottom w:val="0"/>
          <w:divBdr>
            <w:top w:val="none" w:sz="0" w:space="0" w:color="auto"/>
            <w:left w:val="none" w:sz="0" w:space="0" w:color="auto"/>
            <w:bottom w:val="none" w:sz="0" w:space="0" w:color="auto"/>
            <w:right w:val="none" w:sz="0" w:space="0" w:color="auto"/>
          </w:divBdr>
        </w:div>
      </w:divsChild>
    </w:div>
    <w:div w:id="1246107224">
      <w:bodyDiv w:val="1"/>
      <w:marLeft w:val="0"/>
      <w:marRight w:val="0"/>
      <w:marTop w:val="0"/>
      <w:marBottom w:val="0"/>
      <w:divBdr>
        <w:top w:val="none" w:sz="0" w:space="0" w:color="auto"/>
        <w:left w:val="none" w:sz="0" w:space="0" w:color="auto"/>
        <w:bottom w:val="none" w:sz="0" w:space="0" w:color="auto"/>
        <w:right w:val="none" w:sz="0" w:space="0" w:color="auto"/>
      </w:divBdr>
      <w:divsChild>
        <w:div w:id="1066806527">
          <w:marLeft w:val="0"/>
          <w:marRight w:val="0"/>
          <w:marTop w:val="0"/>
          <w:marBottom w:val="0"/>
          <w:divBdr>
            <w:top w:val="none" w:sz="0" w:space="0" w:color="auto"/>
            <w:left w:val="none" w:sz="0" w:space="0" w:color="auto"/>
            <w:bottom w:val="none" w:sz="0" w:space="0" w:color="auto"/>
            <w:right w:val="none" w:sz="0" w:space="0" w:color="auto"/>
          </w:divBdr>
        </w:div>
      </w:divsChild>
    </w:div>
    <w:div w:id="1261454665">
      <w:bodyDiv w:val="1"/>
      <w:marLeft w:val="0"/>
      <w:marRight w:val="0"/>
      <w:marTop w:val="0"/>
      <w:marBottom w:val="0"/>
      <w:divBdr>
        <w:top w:val="none" w:sz="0" w:space="0" w:color="auto"/>
        <w:left w:val="none" w:sz="0" w:space="0" w:color="auto"/>
        <w:bottom w:val="none" w:sz="0" w:space="0" w:color="auto"/>
        <w:right w:val="none" w:sz="0" w:space="0" w:color="auto"/>
      </w:divBdr>
      <w:divsChild>
        <w:div w:id="1349988150">
          <w:marLeft w:val="0"/>
          <w:marRight w:val="0"/>
          <w:marTop w:val="0"/>
          <w:marBottom w:val="0"/>
          <w:divBdr>
            <w:top w:val="none" w:sz="0" w:space="0" w:color="auto"/>
            <w:left w:val="none" w:sz="0" w:space="0" w:color="auto"/>
            <w:bottom w:val="none" w:sz="0" w:space="0" w:color="auto"/>
            <w:right w:val="none" w:sz="0" w:space="0" w:color="auto"/>
          </w:divBdr>
        </w:div>
      </w:divsChild>
    </w:div>
    <w:div w:id="1264874594">
      <w:bodyDiv w:val="1"/>
      <w:marLeft w:val="0"/>
      <w:marRight w:val="0"/>
      <w:marTop w:val="0"/>
      <w:marBottom w:val="0"/>
      <w:divBdr>
        <w:top w:val="none" w:sz="0" w:space="0" w:color="auto"/>
        <w:left w:val="none" w:sz="0" w:space="0" w:color="auto"/>
        <w:bottom w:val="none" w:sz="0" w:space="0" w:color="auto"/>
        <w:right w:val="none" w:sz="0" w:space="0" w:color="auto"/>
      </w:divBdr>
      <w:divsChild>
        <w:div w:id="493032975">
          <w:marLeft w:val="0"/>
          <w:marRight w:val="0"/>
          <w:marTop w:val="0"/>
          <w:marBottom w:val="0"/>
          <w:divBdr>
            <w:top w:val="none" w:sz="0" w:space="0" w:color="auto"/>
            <w:left w:val="none" w:sz="0" w:space="0" w:color="auto"/>
            <w:bottom w:val="none" w:sz="0" w:space="0" w:color="auto"/>
            <w:right w:val="none" w:sz="0" w:space="0" w:color="auto"/>
          </w:divBdr>
        </w:div>
      </w:divsChild>
    </w:div>
    <w:div w:id="1273584934">
      <w:bodyDiv w:val="1"/>
      <w:marLeft w:val="0"/>
      <w:marRight w:val="0"/>
      <w:marTop w:val="0"/>
      <w:marBottom w:val="0"/>
      <w:divBdr>
        <w:top w:val="none" w:sz="0" w:space="0" w:color="auto"/>
        <w:left w:val="none" w:sz="0" w:space="0" w:color="auto"/>
        <w:bottom w:val="none" w:sz="0" w:space="0" w:color="auto"/>
        <w:right w:val="none" w:sz="0" w:space="0" w:color="auto"/>
      </w:divBdr>
      <w:divsChild>
        <w:div w:id="1377436290">
          <w:marLeft w:val="0"/>
          <w:marRight w:val="0"/>
          <w:marTop w:val="0"/>
          <w:marBottom w:val="0"/>
          <w:divBdr>
            <w:top w:val="none" w:sz="0" w:space="0" w:color="auto"/>
            <w:left w:val="none" w:sz="0" w:space="0" w:color="auto"/>
            <w:bottom w:val="none" w:sz="0" w:space="0" w:color="auto"/>
            <w:right w:val="none" w:sz="0" w:space="0" w:color="auto"/>
          </w:divBdr>
        </w:div>
      </w:divsChild>
    </w:div>
    <w:div w:id="1305742776">
      <w:bodyDiv w:val="1"/>
      <w:marLeft w:val="0"/>
      <w:marRight w:val="0"/>
      <w:marTop w:val="0"/>
      <w:marBottom w:val="0"/>
      <w:divBdr>
        <w:top w:val="none" w:sz="0" w:space="0" w:color="auto"/>
        <w:left w:val="none" w:sz="0" w:space="0" w:color="auto"/>
        <w:bottom w:val="none" w:sz="0" w:space="0" w:color="auto"/>
        <w:right w:val="none" w:sz="0" w:space="0" w:color="auto"/>
      </w:divBdr>
      <w:divsChild>
        <w:div w:id="42875283">
          <w:marLeft w:val="0"/>
          <w:marRight w:val="0"/>
          <w:marTop w:val="0"/>
          <w:marBottom w:val="0"/>
          <w:divBdr>
            <w:top w:val="none" w:sz="0" w:space="0" w:color="auto"/>
            <w:left w:val="none" w:sz="0" w:space="0" w:color="auto"/>
            <w:bottom w:val="none" w:sz="0" w:space="0" w:color="auto"/>
            <w:right w:val="none" w:sz="0" w:space="0" w:color="auto"/>
          </w:divBdr>
        </w:div>
      </w:divsChild>
    </w:div>
    <w:div w:id="1305892724">
      <w:bodyDiv w:val="1"/>
      <w:marLeft w:val="0"/>
      <w:marRight w:val="0"/>
      <w:marTop w:val="0"/>
      <w:marBottom w:val="0"/>
      <w:divBdr>
        <w:top w:val="none" w:sz="0" w:space="0" w:color="auto"/>
        <w:left w:val="none" w:sz="0" w:space="0" w:color="auto"/>
        <w:bottom w:val="none" w:sz="0" w:space="0" w:color="auto"/>
        <w:right w:val="none" w:sz="0" w:space="0" w:color="auto"/>
      </w:divBdr>
      <w:divsChild>
        <w:div w:id="1288245341">
          <w:marLeft w:val="0"/>
          <w:marRight w:val="0"/>
          <w:marTop w:val="0"/>
          <w:marBottom w:val="0"/>
          <w:divBdr>
            <w:top w:val="none" w:sz="0" w:space="0" w:color="auto"/>
            <w:left w:val="none" w:sz="0" w:space="0" w:color="auto"/>
            <w:bottom w:val="none" w:sz="0" w:space="0" w:color="auto"/>
            <w:right w:val="none" w:sz="0" w:space="0" w:color="auto"/>
          </w:divBdr>
        </w:div>
      </w:divsChild>
    </w:div>
    <w:div w:id="1355230798">
      <w:bodyDiv w:val="1"/>
      <w:marLeft w:val="0"/>
      <w:marRight w:val="0"/>
      <w:marTop w:val="0"/>
      <w:marBottom w:val="0"/>
      <w:divBdr>
        <w:top w:val="none" w:sz="0" w:space="0" w:color="auto"/>
        <w:left w:val="none" w:sz="0" w:space="0" w:color="auto"/>
        <w:bottom w:val="none" w:sz="0" w:space="0" w:color="auto"/>
        <w:right w:val="none" w:sz="0" w:space="0" w:color="auto"/>
      </w:divBdr>
      <w:divsChild>
        <w:div w:id="894782518">
          <w:marLeft w:val="0"/>
          <w:marRight w:val="0"/>
          <w:marTop w:val="0"/>
          <w:marBottom w:val="0"/>
          <w:divBdr>
            <w:top w:val="none" w:sz="0" w:space="0" w:color="auto"/>
            <w:left w:val="none" w:sz="0" w:space="0" w:color="auto"/>
            <w:bottom w:val="none" w:sz="0" w:space="0" w:color="auto"/>
            <w:right w:val="none" w:sz="0" w:space="0" w:color="auto"/>
          </w:divBdr>
        </w:div>
      </w:divsChild>
    </w:div>
    <w:div w:id="1366832407">
      <w:bodyDiv w:val="1"/>
      <w:marLeft w:val="0"/>
      <w:marRight w:val="0"/>
      <w:marTop w:val="0"/>
      <w:marBottom w:val="0"/>
      <w:divBdr>
        <w:top w:val="none" w:sz="0" w:space="0" w:color="auto"/>
        <w:left w:val="none" w:sz="0" w:space="0" w:color="auto"/>
        <w:bottom w:val="none" w:sz="0" w:space="0" w:color="auto"/>
        <w:right w:val="none" w:sz="0" w:space="0" w:color="auto"/>
      </w:divBdr>
      <w:divsChild>
        <w:div w:id="1891843629">
          <w:marLeft w:val="0"/>
          <w:marRight w:val="0"/>
          <w:marTop w:val="0"/>
          <w:marBottom w:val="0"/>
          <w:divBdr>
            <w:top w:val="none" w:sz="0" w:space="0" w:color="auto"/>
            <w:left w:val="none" w:sz="0" w:space="0" w:color="auto"/>
            <w:bottom w:val="none" w:sz="0" w:space="0" w:color="auto"/>
            <w:right w:val="none" w:sz="0" w:space="0" w:color="auto"/>
          </w:divBdr>
        </w:div>
      </w:divsChild>
    </w:div>
    <w:div w:id="1384327030">
      <w:bodyDiv w:val="1"/>
      <w:marLeft w:val="0"/>
      <w:marRight w:val="0"/>
      <w:marTop w:val="0"/>
      <w:marBottom w:val="0"/>
      <w:divBdr>
        <w:top w:val="none" w:sz="0" w:space="0" w:color="auto"/>
        <w:left w:val="none" w:sz="0" w:space="0" w:color="auto"/>
        <w:bottom w:val="none" w:sz="0" w:space="0" w:color="auto"/>
        <w:right w:val="none" w:sz="0" w:space="0" w:color="auto"/>
      </w:divBdr>
      <w:divsChild>
        <w:div w:id="1139223540">
          <w:marLeft w:val="0"/>
          <w:marRight w:val="0"/>
          <w:marTop w:val="0"/>
          <w:marBottom w:val="0"/>
          <w:divBdr>
            <w:top w:val="none" w:sz="0" w:space="0" w:color="auto"/>
            <w:left w:val="none" w:sz="0" w:space="0" w:color="auto"/>
            <w:bottom w:val="none" w:sz="0" w:space="0" w:color="auto"/>
            <w:right w:val="none" w:sz="0" w:space="0" w:color="auto"/>
          </w:divBdr>
        </w:div>
      </w:divsChild>
    </w:div>
    <w:div w:id="1430196405">
      <w:bodyDiv w:val="1"/>
      <w:marLeft w:val="0"/>
      <w:marRight w:val="0"/>
      <w:marTop w:val="0"/>
      <w:marBottom w:val="0"/>
      <w:divBdr>
        <w:top w:val="none" w:sz="0" w:space="0" w:color="auto"/>
        <w:left w:val="none" w:sz="0" w:space="0" w:color="auto"/>
        <w:bottom w:val="none" w:sz="0" w:space="0" w:color="auto"/>
        <w:right w:val="none" w:sz="0" w:space="0" w:color="auto"/>
      </w:divBdr>
      <w:divsChild>
        <w:div w:id="1765883914">
          <w:marLeft w:val="0"/>
          <w:marRight w:val="0"/>
          <w:marTop w:val="0"/>
          <w:marBottom w:val="0"/>
          <w:divBdr>
            <w:top w:val="none" w:sz="0" w:space="0" w:color="auto"/>
            <w:left w:val="none" w:sz="0" w:space="0" w:color="auto"/>
            <w:bottom w:val="none" w:sz="0" w:space="0" w:color="auto"/>
            <w:right w:val="none" w:sz="0" w:space="0" w:color="auto"/>
          </w:divBdr>
        </w:div>
      </w:divsChild>
    </w:div>
    <w:div w:id="1436290768">
      <w:bodyDiv w:val="1"/>
      <w:marLeft w:val="0"/>
      <w:marRight w:val="0"/>
      <w:marTop w:val="0"/>
      <w:marBottom w:val="0"/>
      <w:divBdr>
        <w:top w:val="none" w:sz="0" w:space="0" w:color="auto"/>
        <w:left w:val="none" w:sz="0" w:space="0" w:color="auto"/>
        <w:bottom w:val="none" w:sz="0" w:space="0" w:color="auto"/>
        <w:right w:val="none" w:sz="0" w:space="0" w:color="auto"/>
      </w:divBdr>
      <w:divsChild>
        <w:div w:id="1478378953">
          <w:marLeft w:val="0"/>
          <w:marRight w:val="0"/>
          <w:marTop w:val="0"/>
          <w:marBottom w:val="0"/>
          <w:divBdr>
            <w:top w:val="none" w:sz="0" w:space="0" w:color="auto"/>
            <w:left w:val="none" w:sz="0" w:space="0" w:color="auto"/>
            <w:bottom w:val="none" w:sz="0" w:space="0" w:color="auto"/>
            <w:right w:val="none" w:sz="0" w:space="0" w:color="auto"/>
          </w:divBdr>
        </w:div>
      </w:divsChild>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493833646">
      <w:bodyDiv w:val="1"/>
      <w:marLeft w:val="0"/>
      <w:marRight w:val="0"/>
      <w:marTop w:val="0"/>
      <w:marBottom w:val="0"/>
      <w:divBdr>
        <w:top w:val="none" w:sz="0" w:space="0" w:color="auto"/>
        <w:left w:val="none" w:sz="0" w:space="0" w:color="auto"/>
        <w:bottom w:val="none" w:sz="0" w:space="0" w:color="auto"/>
        <w:right w:val="none" w:sz="0" w:space="0" w:color="auto"/>
      </w:divBdr>
      <w:divsChild>
        <w:div w:id="971983042">
          <w:marLeft w:val="0"/>
          <w:marRight w:val="0"/>
          <w:marTop w:val="0"/>
          <w:marBottom w:val="0"/>
          <w:divBdr>
            <w:top w:val="none" w:sz="0" w:space="0" w:color="auto"/>
            <w:left w:val="none" w:sz="0" w:space="0" w:color="auto"/>
            <w:bottom w:val="none" w:sz="0" w:space="0" w:color="auto"/>
            <w:right w:val="none" w:sz="0" w:space="0" w:color="auto"/>
          </w:divBdr>
        </w:div>
      </w:divsChild>
    </w:div>
    <w:div w:id="1568029220">
      <w:bodyDiv w:val="1"/>
      <w:marLeft w:val="0"/>
      <w:marRight w:val="0"/>
      <w:marTop w:val="0"/>
      <w:marBottom w:val="0"/>
      <w:divBdr>
        <w:top w:val="none" w:sz="0" w:space="0" w:color="auto"/>
        <w:left w:val="none" w:sz="0" w:space="0" w:color="auto"/>
        <w:bottom w:val="none" w:sz="0" w:space="0" w:color="auto"/>
        <w:right w:val="none" w:sz="0" w:space="0" w:color="auto"/>
      </w:divBdr>
      <w:divsChild>
        <w:div w:id="474492216">
          <w:marLeft w:val="0"/>
          <w:marRight w:val="0"/>
          <w:marTop w:val="0"/>
          <w:marBottom w:val="0"/>
          <w:divBdr>
            <w:top w:val="none" w:sz="0" w:space="0" w:color="auto"/>
            <w:left w:val="none" w:sz="0" w:space="0" w:color="auto"/>
            <w:bottom w:val="none" w:sz="0" w:space="0" w:color="auto"/>
            <w:right w:val="none" w:sz="0" w:space="0" w:color="auto"/>
          </w:divBdr>
        </w:div>
      </w:divsChild>
    </w:div>
    <w:div w:id="1591305815">
      <w:bodyDiv w:val="1"/>
      <w:marLeft w:val="0"/>
      <w:marRight w:val="0"/>
      <w:marTop w:val="0"/>
      <w:marBottom w:val="0"/>
      <w:divBdr>
        <w:top w:val="none" w:sz="0" w:space="0" w:color="auto"/>
        <w:left w:val="none" w:sz="0" w:space="0" w:color="auto"/>
        <w:bottom w:val="none" w:sz="0" w:space="0" w:color="auto"/>
        <w:right w:val="none" w:sz="0" w:space="0" w:color="auto"/>
      </w:divBdr>
    </w:div>
    <w:div w:id="1660184547">
      <w:bodyDiv w:val="1"/>
      <w:marLeft w:val="0"/>
      <w:marRight w:val="0"/>
      <w:marTop w:val="0"/>
      <w:marBottom w:val="0"/>
      <w:divBdr>
        <w:top w:val="none" w:sz="0" w:space="0" w:color="auto"/>
        <w:left w:val="none" w:sz="0" w:space="0" w:color="auto"/>
        <w:bottom w:val="none" w:sz="0" w:space="0" w:color="auto"/>
        <w:right w:val="none" w:sz="0" w:space="0" w:color="auto"/>
      </w:divBdr>
      <w:divsChild>
        <w:div w:id="1023939498">
          <w:marLeft w:val="0"/>
          <w:marRight w:val="0"/>
          <w:marTop w:val="0"/>
          <w:marBottom w:val="0"/>
          <w:divBdr>
            <w:top w:val="none" w:sz="0" w:space="0" w:color="auto"/>
            <w:left w:val="none" w:sz="0" w:space="0" w:color="auto"/>
            <w:bottom w:val="none" w:sz="0" w:space="0" w:color="auto"/>
            <w:right w:val="none" w:sz="0" w:space="0" w:color="auto"/>
          </w:divBdr>
        </w:div>
      </w:divsChild>
    </w:div>
    <w:div w:id="1700005010">
      <w:bodyDiv w:val="1"/>
      <w:marLeft w:val="0"/>
      <w:marRight w:val="0"/>
      <w:marTop w:val="0"/>
      <w:marBottom w:val="0"/>
      <w:divBdr>
        <w:top w:val="none" w:sz="0" w:space="0" w:color="auto"/>
        <w:left w:val="none" w:sz="0" w:space="0" w:color="auto"/>
        <w:bottom w:val="none" w:sz="0" w:space="0" w:color="auto"/>
        <w:right w:val="none" w:sz="0" w:space="0" w:color="auto"/>
      </w:divBdr>
      <w:divsChild>
        <w:div w:id="56756117">
          <w:marLeft w:val="0"/>
          <w:marRight w:val="0"/>
          <w:marTop w:val="0"/>
          <w:marBottom w:val="0"/>
          <w:divBdr>
            <w:top w:val="none" w:sz="0" w:space="0" w:color="auto"/>
            <w:left w:val="none" w:sz="0" w:space="0" w:color="auto"/>
            <w:bottom w:val="none" w:sz="0" w:space="0" w:color="auto"/>
            <w:right w:val="none" w:sz="0" w:space="0" w:color="auto"/>
          </w:divBdr>
        </w:div>
      </w:divsChild>
    </w:div>
    <w:div w:id="1740132462">
      <w:bodyDiv w:val="1"/>
      <w:marLeft w:val="0"/>
      <w:marRight w:val="0"/>
      <w:marTop w:val="0"/>
      <w:marBottom w:val="0"/>
      <w:divBdr>
        <w:top w:val="none" w:sz="0" w:space="0" w:color="auto"/>
        <w:left w:val="none" w:sz="0" w:space="0" w:color="auto"/>
        <w:bottom w:val="none" w:sz="0" w:space="0" w:color="auto"/>
        <w:right w:val="none" w:sz="0" w:space="0" w:color="auto"/>
      </w:divBdr>
      <w:divsChild>
        <w:div w:id="548733134">
          <w:marLeft w:val="0"/>
          <w:marRight w:val="0"/>
          <w:marTop w:val="0"/>
          <w:marBottom w:val="0"/>
          <w:divBdr>
            <w:top w:val="none" w:sz="0" w:space="0" w:color="auto"/>
            <w:left w:val="none" w:sz="0" w:space="0" w:color="auto"/>
            <w:bottom w:val="none" w:sz="0" w:space="0" w:color="auto"/>
            <w:right w:val="none" w:sz="0" w:space="0" w:color="auto"/>
          </w:divBdr>
        </w:div>
      </w:divsChild>
    </w:div>
    <w:div w:id="1740396763">
      <w:bodyDiv w:val="1"/>
      <w:marLeft w:val="0"/>
      <w:marRight w:val="0"/>
      <w:marTop w:val="0"/>
      <w:marBottom w:val="0"/>
      <w:divBdr>
        <w:top w:val="none" w:sz="0" w:space="0" w:color="auto"/>
        <w:left w:val="none" w:sz="0" w:space="0" w:color="auto"/>
        <w:bottom w:val="none" w:sz="0" w:space="0" w:color="auto"/>
        <w:right w:val="none" w:sz="0" w:space="0" w:color="auto"/>
      </w:divBdr>
      <w:divsChild>
        <w:div w:id="291332112">
          <w:marLeft w:val="0"/>
          <w:marRight w:val="0"/>
          <w:marTop w:val="0"/>
          <w:marBottom w:val="0"/>
          <w:divBdr>
            <w:top w:val="none" w:sz="0" w:space="0" w:color="auto"/>
            <w:left w:val="none" w:sz="0" w:space="0" w:color="auto"/>
            <w:bottom w:val="none" w:sz="0" w:space="0" w:color="auto"/>
            <w:right w:val="none" w:sz="0" w:space="0" w:color="auto"/>
          </w:divBdr>
        </w:div>
      </w:divsChild>
    </w:div>
    <w:div w:id="1796020106">
      <w:bodyDiv w:val="1"/>
      <w:marLeft w:val="0"/>
      <w:marRight w:val="0"/>
      <w:marTop w:val="0"/>
      <w:marBottom w:val="0"/>
      <w:divBdr>
        <w:top w:val="none" w:sz="0" w:space="0" w:color="auto"/>
        <w:left w:val="none" w:sz="0" w:space="0" w:color="auto"/>
        <w:bottom w:val="none" w:sz="0" w:space="0" w:color="auto"/>
        <w:right w:val="none" w:sz="0" w:space="0" w:color="auto"/>
      </w:divBdr>
      <w:divsChild>
        <w:div w:id="1990403090">
          <w:marLeft w:val="0"/>
          <w:marRight w:val="0"/>
          <w:marTop w:val="0"/>
          <w:marBottom w:val="0"/>
          <w:divBdr>
            <w:top w:val="none" w:sz="0" w:space="0" w:color="auto"/>
            <w:left w:val="none" w:sz="0" w:space="0" w:color="auto"/>
            <w:bottom w:val="none" w:sz="0" w:space="0" w:color="auto"/>
            <w:right w:val="none" w:sz="0" w:space="0" w:color="auto"/>
          </w:divBdr>
        </w:div>
      </w:divsChild>
    </w:div>
    <w:div w:id="1800101908">
      <w:bodyDiv w:val="1"/>
      <w:marLeft w:val="0"/>
      <w:marRight w:val="0"/>
      <w:marTop w:val="0"/>
      <w:marBottom w:val="0"/>
      <w:divBdr>
        <w:top w:val="none" w:sz="0" w:space="0" w:color="auto"/>
        <w:left w:val="none" w:sz="0" w:space="0" w:color="auto"/>
        <w:bottom w:val="none" w:sz="0" w:space="0" w:color="auto"/>
        <w:right w:val="none" w:sz="0" w:space="0" w:color="auto"/>
      </w:divBdr>
      <w:divsChild>
        <w:div w:id="1490101063">
          <w:marLeft w:val="0"/>
          <w:marRight w:val="0"/>
          <w:marTop w:val="0"/>
          <w:marBottom w:val="0"/>
          <w:divBdr>
            <w:top w:val="none" w:sz="0" w:space="0" w:color="auto"/>
            <w:left w:val="none" w:sz="0" w:space="0" w:color="auto"/>
            <w:bottom w:val="none" w:sz="0" w:space="0" w:color="auto"/>
            <w:right w:val="none" w:sz="0" w:space="0" w:color="auto"/>
          </w:divBdr>
        </w:div>
      </w:divsChild>
    </w:div>
    <w:div w:id="1909026774">
      <w:bodyDiv w:val="1"/>
      <w:marLeft w:val="0"/>
      <w:marRight w:val="0"/>
      <w:marTop w:val="0"/>
      <w:marBottom w:val="0"/>
      <w:divBdr>
        <w:top w:val="none" w:sz="0" w:space="0" w:color="auto"/>
        <w:left w:val="none" w:sz="0" w:space="0" w:color="auto"/>
        <w:bottom w:val="none" w:sz="0" w:space="0" w:color="auto"/>
        <w:right w:val="none" w:sz="0" w:space="0" w:color="auto"/>
      </w:divBdr>
      <w:divsChild>
        <w:div w:id="513570203">
          <w:marLeft w:val="0"/>
          <w:marRight w:val="0"/>
          <w:marTop w:val="0"/>
          <w:marBottom w:val="0"/>
          <w:divBdr>
            <w:top w:val="none" w:sz="0" w:space="0" w:color="auto"/>
            <w:left w:val="none" w:sz="0" w:space="0" w:color="auto"/>
            <w:bottom w:val="none" w:sz="0" w:space="0" w:color="auto"/>
            <w:right w:val="none" w:sz="0" w:space="0" w:color="auto"/>
          </w:divBdr>
        </w:div>
      </w:divsChild>
    </w:div>
    <w:div w:id="1969621658">
      <w:bodyDiv w:val="1"/>
      <w:marLeft w:val="0"/>
      <w:marRight w:val="0"/>
      <w:marTop w:val="0"/>
      <w:marBottom w:val="0"/>
      <w:divBdr>
        <w:top w:val="none" w:sz="0" w:space="0" w:color="auto"/>
        <w:left w:val="none" w:sz="0" w:space="0" w:color="auto"/>
        <w:bottom w:val="none" w:sz="0" w:space="0" w:color="auto"/>
        <w:right w:val="none" w:sz="0" w:space="0" w:color="auto"/>
      </w:divBdr>
      <w:divsChild>
        <w:div w:id="551112312">
          <w:marLeft w:val="0"/>
          <w:marRight w:val="0"/>
          <w:marTop w:val="0"/>
          <w:marBottom w:val="0"/>
          <w:divBdr>
            <w:top w:val="none" w:sz="0" w:space="0" w:color="auto"/>
            <w:left w:val="none" w:sz="0" w:space="0" w:color="auto"/>
            <w:bottom w:val="none" w:sz="0" w:space="0" w:color="auto"/>
            <w:right w:val="none" w:sz="0" w:space="0" w:color="auto"/>
          </w:divBdr>
        </w:div>
      </w:divsChild>
    </w:div>
    <w:div w:id="1977710493">
      <w:bodyDiv w:val="1"/>
      <w:marLeft w:val="0"/>
      <w:marRight w:val="0"/>
      <w:marTop w:val="0"/>
      <w:marBottom w:val="0"/>
      <w:divBdr>
        <w:top w:val="none" w:sz="0" w:space="0" w:color="auto"/>
        <w:left w:val="none" w:sz="0" w:space="0" w:color="auto"/>
        <w:bottom w:val="none" w:sz="0" w:space="0" w:color="auto"/>
        <w:right w:val="none" w:sz="0" w:space="0" w:color="auto"/>
      </w:divBdr>
      <w:divsChild>
        <w:div w:id="2122649364">
          <w:marLeft w:val="0"/>
          <w:marRight w:val="0"/>
          <w:marTop w:val="0"/>
          <w:marBottom w:val="0"/>
          <w:divBdr>
            <w:top w:val="none" w:sz="0" w:space="0" w:color="auto"/>
            <w:left w:val="none" w:sz="0" w:space="0" w:color="auto"/>
            <w:bottom w:val="none" w:sz="0" w:space="0" w:color="auto"/>
            <w:right w:val="none" w:sz="0" w:space="0" w:color="auto"/>
          </w:divBdr>
        </w:div>
      </w:divsChild>
    </w:div>
    <w:div w:id="1988898932">
      <w:bodyDiv w:val="1"/>
      <w:marLeft w:val="0"/>
      <w:marRight w:val="0"/>
      <w:marTop w:val="0"/>
      <w:marBottom w:val="0"/>
      <w:divBdr>
        <w:top w:val="none" w:sz="0" w:space="0" w:color="auto"/>
        <w:left w:val="none" w:sz="0" w:space="0" w:color="auto"/>
        <w:bottom w:val="none" w:sz="0" w:space="0" w:color="auto"/>
        <w:right w:val="none" w:sz="0" w:space="0" w:color="auto"/>
      </w:divBdr>
      <w:divsChild>
        <w:div w:id="1310206635">
          <w:marLeft w:val="0"/>
          <w:marRight w:val="0"/>
          <w:marTop w:val="0"/>
          <w:marBottom w:val="0"/>
          <w:divBdr>
            <w:top w:val="none" w:sz="0" w:space="0" w:color="auto"/>
            <w:left w:val="none" w:sz="0" w:space="0" w:color="auto"/>
            <w:bottom w:val="none" w:sz="0" w:space="0" w:color="auto"/>
            <w:right w:val="none" w:sz="0" w:space="0" w:color="auto"/>
          </w:divBdr>
        </w:div>
      </w:divsChild>
    </w:div>
    <w:div w:id="2006586042">
      <w:bodyDiv w:val="1"/>
      <w:marLeft w:val="0"/>
      <w:marRight w:val="0"/>
      <w:marTop w:val="0"/>
      <w:marBottom w:val="0"/>
      <w:divBdr>
        <w:top w:val="none" w:sz="0" w:space="0" w:color="auto"/>
        <w:left w:val="none" w:sz="0" w:space="0" w:color="auto"/>
        <w:bottom w:val="none" w:sz="0" w:space="0" w:color="auto"/>
        <w:right w:val="none" w:sz="0" w:space="0" w:color="auto"/>
      </w:divBdr>
      <w:divsChild>
        <w:div w:id="1921793618">
          <w:marLeft w:val="0"/>
          <w:marRight w:val="0"/>
          <w:marTop w:val="0"/>
          <w:marBottom w:val="0"/>
          <w:divBdr>
            <w:top w:val="none" w:sz="0" w:space="0" w:color="auto"/>
            <w:left w:val="none" w:sz="0" w:space="0" w:color="auto"/>
            <w:bottom w:val="none" w:sz="0" w:space="0" w:color="auto"/>
            <w:right w:val="none" w:sz="0" w:space="0" w:color="auto"/>
          </w:divBdr>
        </w:div>
      </w:divsChild>
    </w:div>
    <w:div w:id="2017150587">
      <w:bodyDiv w:val="1"/>
      <w:marLeft w:val="0"/>
      <w:marRight w:val="0"/>
      <w:marTop w:val="0"/>
      <w:marBottom w:val="0"/>
      <w:divBdr>
        <w:top w:val="none" w:sz="0" w:space="0" w:color="auto"/>
        <w:left w:val="none" w:sz="0" w:space="0" w:color="auto"/>
        <w:bottom w:val="none" w:sz="0" w:space="0" w:color="auto"/>
        <w:right w:val="none" w:sz="0" w:space="0" w:color="auto"/>
      </w:divBdr>
    </w:div>
    <w:div w:id="2043896490">
      <w:bodyDiv w:val="1"/>
      <w:marLeft w:val="0"/>
      <w:marRight w:val="0"/>
      <w:marTop w:val="0"/>
      <w:marBottom w:val="0"/>
      <w:divBdr>
        <w:top w:val="none" w:sz="0" w:space="0" w:color="auto"/>
        <w:left w:val="none" w:sz="0" w:space="0" w:color="auto"/>
        <w:bottom w:val="none" w:sz="0" w:space="0" w:color="auto"/>
        <w:right w:val="none" w:sz="0" w:space="0" w:color="auto"/>
      </w:divBdr>
      <w:divsChild>
        <w:div w:id="743188946">
          <w:marLeft w:val="0"/>
          <w:marRight w:val="0"/>
          <w:marTop w:val="0"/>
          <w:marBottom w:val="0"/>
          <w:divBdr>
            <w:top w:val="none" w:sz="0" w:space="0" w:color="auto"/>
            <w:left w:val="none" w:sz="0" w:space="0" w:color="auto"/>
            <w:bottom w:val="none" w:sz="0" w:space="0" w:color="auto"/>
            <w:right w:val="none" w:sz="0" w:space="0" w:color="auto"/>
          </w:divBdr>
        </w:div>
      </w:divsChild>
    </w:div>
    <w:div w:id="2090692030">
      <w:bodyDiv w:val="1"/>
      <w:marLeft w:val="0"/>
      <w:marRight w:val="0"/>
      <w:marTop w:val="0"/>
      <w:marBottom w:val="0"/>
      <w:divBdr>
        <w:top w:val="none" w:sz="0" w:space="0" w:color="auto"/>
        <w:left w:val="none" w:sz="0" w:space="0" w:color="auto"/>
        <w:bottom w:val="none" w:sz="0" w:space="0" w:color="auto"/>
        <w:right w:val="none" w:sz="0" w:space="0" w:color="auto"/>
      </w:divBdr>
      <w:divsChild>
        <w:div w:id="899907082">
          <w:marLeft w:val="0"/>
          <w:marRight w:val="0"/>
          <w:marTop w:val="0"/>
          <w:marBottom w:val="0"/>
          <w:divBdr>
            <w:top w:val="none" w:sz="0" w:space="0" w:color="auto"/>
            <w:left w:val="none" w:sz="0" w:space="0" w:color="auto"/>
            <w:bottom w:val="none" w:sz="0" w:space="0" w:color="auto"/>
            <w:right w:val="none" w:sz="0" w:space="0" w:color="auto"/>
          </w:divBdr>
        </w:div>
      </w:divsChild>
    </w:div>
    <w:div w:id="2102145447">
      <w:bodyDiv w:val="1"/>
      <w:marLeft w:val="0"/>
      <w:marRight w:val="0"/>
      <w:marTop w:val="0"/>
      <w:marBottom w:val="0"/>
      <w:divBdr>
        <w:top w:val="none" w:sz="0" w:space="0" w:color="auto"/>
        <w:left w:val="none" w:sz="0" w:space="0" w:color="auto"/>
        <w:bottom w:val="none" w:sz="0" w:space="0" w:color="auto"/>
        <w:right w:val="none" w:sz="0" w:space="0" w:color="auto"/>
      </w:divBdr>
      <w:divsChild>
        <w:div w:id="1000422631">
          <w:marLeft w:val="0"/>
          <w:marRight w:val="0"/>
          <w:marTop w:val="0"/>
          <w:marBottom w:val="0"/>
          <w:divBdr>
            <w:top w:val="none" w:sz="0" w:space="0" w:color="auto"/>
            <w:left w:val="none" w:sz="0" w:space="0" w:color="auto"/>
            <w:bottom w:val="none" w:sz="0" w:space="0" w:color="auto"/>
            <w:right w:val="none" w:sz="0" w:space="0" w:color="auto"/>
          </w:divBdr>
        </w:div>
      </w:divsChild>
    </w:div>
    <w:div w:id="2109154972">
      <w:bodyDiv w:val="1"/>
      <w:marLeft w:val="0"/>
      <w:marRight w:val="0"/>
      <w:marTop w:val="0"/>
      <w:marBottom w:val="0"/>
      <w:divBdr>
        <w:top w:val="none" w:sz="0" w:space="0" w:color="auto"/>
        <w:left w:val="none" w:sz="0" w:space="0" w:color="auto"/>
        <w:bottom w:val="none" w:sz="0" w:space="0" w:color="auto"/>
        <w:right w:val="none" w:sz="0" w:space="0" w:color="auto"/>
      </w:divBdr>
      <w:divsChild>
        <w:div w:id="2028486450">
          <w:marLeft w:val="0"/>
          <w:marRight w:val="0"/>
          <w:marTop w:val="0"/>
          <w:marBottom w:val="0"/>
          <w:divBdr>
            <w:top w:val="none" w:sz="0" w:space="0" w:color="auto"/>
            <w:left w:val="none" w:sz="0" w:space="0" w:color="auto"/>
            <w:bottom w:val="none" w:sz="0" w:space="0" w:color="auto"/>
            <w:right w:val="none" w:sz="0" w:space="0" w:color="auto"/>
          </w:divBdr>
        </w:div>
      </w:divsChild>
    </w:div>
    <w:div w:id="2129007943">
      <w:bodyDiv w:val="1"/>
      <w:marLeft w:val="0"/>
      <w:marRight w:val="0"/>
      <w:marTop w:val="0"/>
      <w:marBottom w:val="0"/>
      <w:divBdr>
        <w:top w:val="none" w:sz="0" w:space="0" w:color="auto"/>
        <w:left w:val="none" w:sz="0" w:space="0" w:color="auto"/>
        <w:bottom w:val="none" w:sz="0" w:space="0" w:color="auto"/>
        <w:right w:val="none" w:sz="0" w:space="0" w:color="auto"/>
      </w:divBdr>
      <w:divsChild>
        <w:div w:id="1559436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10.emf"/><Relationship Id="rId19" Type="http://schemas.openxmlformats.org/officeDocument/2006/relationships/image" Target="media/image11.emf"/><Relationship Id="rId50" Type="http://schemas.openxmlformats.org/officeDocument/2006/relationships/hyperlink" Target="https://assets.publishing.service.gov.uk/government/uploads/system/uploads/attachment_data/file/427140/webtag-tag-supplementary-luti-models.pdf" TargetMode="External"/><Relationship Id="rId51" Type="http://schemas.openxmlformats.org/officeDocument/2006/relationships/hyperlink" Target="http://urban-development-capacity.mbie.govt.nz/" TargetMode="External"/><Relationship Id="rId52" Type="http://schemas.openxmlformats.org/officeDocument/2006/relationships/hyperlink" Target="https://www.mfe.govt.nz/publications/towns-and-cities/costs-and-benefits-of-urban-development" TargetMode="External"/><Relationship Id="rId53" Type="http://schemas.openxmlformats.org/officeDocument/2006/relationships/hyperlink" Target="https://www.nzta.govt.nz/planning-and-investment/planning/investment-decision-making-framework-review/" TargetMode="External"/><Relationship Id="rId54" Type="http://schemas.openxmlformats.org/officeDocument/2006/relationships/header" Target="header1.xml"/><Relationship Id="rId55" Type="http://schemas.openxmlformats.org/officeDocument/2006/relationships/footer" Target="footer1.xml"/><Relationship Id="rId56" Type="http://schemas.openxmlformats.org/officeDocument/2006/relationships/fontTable" Target="fontTable.xml"/><Relationship Id="rId57" Type="http://schemas.openxmlformats.org/officeDocument/2006/relationships/theme" Target="theme/theme1.xml"/><Relationship Id="rId40" Type="http://schemas.openxmlformats.org/officeDocument/2006/relationships/image" Target="media/image33.emf"/><Relationship Id="rId41" Type="http://schemas.openxmlformats.org/officeDocument/2006/relationships/image" Target="media/image34.emf"/><Relationship Id="rId42" Type="http://schemas.openxmlformats.org/officeDocument/2006/relationships/image" Target="media/image35.emf"/><Relationship Id="rId43" Type="http://schemas.openxmlformats.org/officeDocument/2006/relationships/image" Target="media/image36.emf"/><Relationship Id="rId44" Type="http://schemas.openxmlformats.org/officeDocument/2006/relationships/image" Target="media/image37.emf"/><Relationship Id="rId45" Type="http://schemas.openxmlformats.org/officeDocument/2006/relationships/image" Target="media/image38.emf"/><Relationship Id="rId46" Type="http://schemas.openxmlformats.org/officeDocument/2006/relationships/image" Target="media/image39.emf"/><Relationship Id="rId47" Type="http://schemas.openxmlformats.org/officeDocument/2006/relationships/image" Target="media/image40.emf"/><Relationship Id="rId48" Type="http://schemas.openxmlformats.org/officeDocument/2006/relationships/image" Target="media/image41.emf"/><Relationship Id="rId49" Type="http://schemas.openxmlformats.org/officeDocument/2006/relationships/image" Target="media/image42.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urban-development-capacity.mbie.govt.nz/" TargetMode="External"/><Relationship Id="rId9" Type="http://schemas.openxmlformats.org/officeDocument/2006/relationships/image" Target="media/image1.emf"/><Relationship Id="rId30" Type="http://schemas.openxmlformats.org/officeDocument/2006/relationships/image" Target="media/image22.emf"/><Relationship Id="rId31" Type="http://schemas.openxmlformats.org/officeDocument/2006/relationships/image" Target="media/image23.emf"/><Relationship Id="rId32" Type="http://schemas.openxmlformats.org/officeDocument/2006/relationships/image" Target="media/image24.emf"/><Relationship Id="rId33" Type="http://schemas.openxmlformats.org/officeDocument/2006/relationships/image" Target="media/image25.emf"/><Relationship Id="rId34" Type="http://schemas.openxmlformats.org/officeDocument/2006/relationships/image" Target="media/image26.emf"/><Relationship Id="rId35" Type="http://schemas.openxmlformats.org/officeDocument/2006/relationships/image" Target="media/image28.emf"/><Relationship Id="rId36" Type="http://schemas.openxmlformats.org/officeDocument/2006/relationships/image" Target="media/image29.emf"/><Relationship Id="rId37" Type="http://schemas.openxmlformats.org/officeDocument/2006/relationships/image" Target="media/image30.emf"/><Relationship Id="rId38" Type="http://schemas.openxmlformats.org/officeDocument/2006/relationships/image" Target="media/image31.emf"/><Relationship Id="rId39" Type="http://schemas.openxmlformats.org/officeDocument/2006/relationships/image" Target="media/image32.emf"/><Relationship Id="rId20" Type="http://schemas.openxmlformats.org/officeDocument/2006/relationships/image" Target="media/image12.emf"/><Relationship Id="rId21" Type="http://schemas.openxmlformats.org/officeDocument/2006/relationships/image" Target="media/image13.emf"/><Relationship Id="rId22" Type="http://schemas.openxmlformats.org/officeDocument/2006/relationships/image" Target="media/image14.emf"/><Relationship Id="rId23" Type="http://schemas.openxmlformats.org/officeDocument/2006/relationships/image" Target="media/image15.emf"/><Relationship Id="rId24" Type="http://schemas.openxmlformats.org/officeDocument/2006/relationships/image" Target="media/image16.emf"/><Relationship Id="rId25" Type="http://schemas.openxmlformats.org/officeDocument/2006/relationships/image" Target="media/image17.emf"/><Relationship Id="rId26" Type="http://schemas.openxmlformats.org/officeDocument/2006/relationships/image" Target="media/image18.emf"/><Relationship Id="rId27" Type="http://schemas.openxmlformats.org/officeDocument/2006/relationships/image" Target="media/image19.emf"/><Relationship Id="rId28" Type="http://schemas.openxmlformats.org/officeDocument/2006/relationships/image" Target="media/image20.emf"/><Relationship Id="rId29" Type="http://schemas.openxmlformats.org/officeDocument/2006/relationships/image" Target="media/image21.emf"/><Relationship Id="rId10" Type="http://schemas.openxmlformats.org/officeDocument/2006/relationships/image" Target="media/image2.emf"/><Relationship Id="rId11" Type="http://schemas.openxmlformats.org/officeDocument/2006/relationships/image" Target="media/image3.emf"/><Relationship Id="rId12" Type="http://schemas.openxmlformats.org/officeDocument/2006/relationships/image" Target="media/image4.emf"/></Relationships>
</file>

<file path=word/_rels/footer1.xml.rels><?xml version="1.0" encoding="UTF-8" standalone="yes"?>
<Relationships xmlns="http://schemas.openxmlformats.org/package/2006/relationships"><Relationship Id="rId1" Type="http://schemas.openxmlformats.org/officeDocument/2006/relationships/image" Target="media/image43.jpeg"/></Relationships>
</file>

<file path=word/_rels/footnotes.xml.rels><?xml version="1.0" encoding="UTF-8" standalone="yes"?>
<Relationships xmlns="http://schemas.openxmlformats.org/package/2006/relationships"><Relationship Id="rId1"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05DD45-F8F9-5540-91F9-2B86F30A8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16</Pages>
  <Words>9118</Words>
  <Characters>51975</Characters>
  <Application>Microsoft Macintosh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60972</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Peter Nunns</cp:lastModifiedBy>
  <cp:revision>20</cp:revision>
  <cp:lastPrinted>2013-10-15T01:27:00Z</cp:lastPrinted>
  <dcterms:created xsi:type="dcterms:W3CDTF">2020-02-16T07:10:00Z</dcterms:created>
  <dcterms:modified xsi:type="dcterms:W3CDTF">2020-02-17T11:12:00Z</dcterms:modified>
</cp:coreProperties>
</file>