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16A6" w14:textId="258F6A3C" w:rsidR="00DF7B85" w:rsidRDefault="00765D1D" w:rsidP="00765D1D">
      <w:pPr>
        <w:ind w:left="45"/>
        <w:rPr>
          <w:rFonts w:ascii="Circular Std Book" w:eastAsia="Times New Roman" w:hAnsi="Circular Std Book" w:cs="Circular Std Book"/>
          <w:b/>
          <w:color w:val="008A55"/>
          <w:kern w:val="32"/>
          <w:sz w:val="36"/>
          <w:szCs w:val="36"/>
          <w:lang w:val="en-NZ" w:eastAsia="en-NZ"/>
        </w:rPr>
      </w:pPr>
      <w:r w:rsidRPr="00765D1D">
        <w:rPr>
          <w:rFonts w:ascii="Circular Std Book" w:eastAsia="Times New Roman" w:hAnsi="Circular Std Book" w:cs="Circular Std Book"/>
          <w:b/>
          <w:color w:val="008A55"/>
          <w:kern w:val="32"/>
          <w:sz w:val="36"/>
          <w:szCs w:val="36"/>
          <w:lang w:val="en-NZ" w:eastAsia="en-NZ"/>
        </w:rPr>
        <w:t>T</w:t>
      </w:r>
      <w:r>
        <w:rPr>
          <w:rFonts w:ascii="Circular Std Book" w:eastAsia="Times New Roman" w:hAnsi="Circular Std Book" w:cs="Circular Std Book"/>
          <w:b/>
          <w:color w:val="008A55"/>
          <w:kern w:val="32"/>
          <w:sz w:val="36"/>
          <w:szCs w:val="36"/>
          <w:lang w:val="en-NZ" w:eastAsia="en-NZ"/>
        </w:rPr>
        <w:t>OD D</w:t>
      </w:r>
      <w:r w:rsidRPr="00765D1D">
        <w:rPr>
          <w:rFonts w:ascii="Circular Std Book" w:eastAsia="Times New Roman" w:hAnsi="Circular Std Book" w:cs="Circular Std Book"/>
          <w:b/>
          <w:color w:val="008A55"/>
          <w:kern w:val="32"/>
          <w:sz w:val="36"/>
          <w:szCs w:val="36"/>
          <w:lang w:val="en-NZ" w:eastAsia="en-NZ"/>
        </w:rPr>
        <w:t xml:space="preserve">ecision </w:t>
      </w:r>
      <w:r>
        <w:rPr>
          <w:rFonts w:ascii="Circular Std Book" w:eastAsia="Times New Roman" w:hAnsi="Circular Std Book" w:cs="Circular Std Book"/>
          <w:b/>
          <w:color w:val="008A55"/>
          <w:kern w:val="32"/>
          <w:sz w:val="36"/>
          <w:szCs w:val="36"/>
          <w:lang w:val="en-NZ" w:eastAsia="en-NZ"/>
        </w:rPr>
        <w:t>S</w:t>
      </w:r>
      <w:r w:rsidRPr="00765D1D">
        <w:rPr>
          <w:rFonts w:ascii="Circular Std Book" w:eastAsia="Times New Roman" w:hAnsi="Circular Std Book" w:cs="Circular Std Book"/>
          <w:b/>
          <w:color w:val="008A55"/>
          <w:kern w:val="32"/>
          <w:sz w:val="36"/>
          <w:szCs w:val="36"/>
          <w:lang w:val="en-NZ" w:eastAsia="en-NZ"/>
        </w:rPr>
        <w:t xml:space="preserve">upport </w:t>
      </w:r>
      <w:r>
        <w:rPr>
          <w:rFonts w:ascii="Circular Std Book" w:eastAsia="Times New Roman" w:hAnsi="Circular Std Book" w:cs="Circular Std Book"/>
          <w:b/>
          <w:color w:val="008A55"/>
          <w:kern w:val="32"/>
          <w:sz w:val="36"/>
          <w:szCs w:val="36"/>
          <w:lang w:val="en-NZ" w:eastAsia="en-NZ"/>
        </w:rPr>
        <w:t>T</w:t>
      </w:r>
      <w:r w:rsidRPr="00765D1D">
        <w:rPr>
          <w:rFonts w:ascii="Circular Std Book" w:eastAsia="Times New Roman" w:hAnsi="Circular Std Book" w:cs="Circular Std Book"/>
          <w:b/>
          <w:color w:val="008A55"/>
          <w:kern w:val="32"/>
          <w:sz w:val="36"/>
          <w:szCs w:val="36"/>
          <w:lang w:val="en-NZ" w:eastAsia="en-NZ"/>
        </w:rPr>
        <w:t>ool</w:t>
      </w:r>
      <w:r>
        <w:rPr>
          <w:rFonts w:ascii="Circular Std Book" w:eastAsia="Times New Roman" w:hAnsi="Circular Std Book" w:cs="Circular Std Book"/>
          <w:b/>
          <w:color w:val="008A55"/>
          <w:kern w:val="32"/>
          <w:sz w:val="36"/>
          <w:szCs w:val="36"/>
          <w:lang w:val="en-NZ" w:eastAsia="en-NZ"/>
        </w:rPr>
        <w:t xml:space="preserve"> </w:t>
      </w:r>
    </w:p>
    <w:p w14:paraId="597AA822" w14:textId="77777777" w:rsidR="00765D1D" w:rsidRPr="00DA3906" w:rsidRDefault="00765D1D" w:rsidP="00765D1D">
      <w:pPr>
        <w:ind w:left="45"/>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1E66FD7" w14:textId="2234C8D1" w:rsidR="00765D1D" w:rsidRP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 xml:space="preserve">In the last decade, transit-oriented development strategies have significantly increased in popularity.  Particularly since railway stations are ideal hubs from which sustainable land-use and transport practices and policies can be planned.  </w:t>
            </w:r>
          </w:p>
          <w:p w14:paraId="705D63F8" w14:textId="77777777" w:rsidR="00765D1D" w:rsidRPr="00765D1D" w:rsidRDefault="00765D1D" w:rsidP="00765D1D">
            <w:pPr>
              <w:autoSpaceDE w:val="0"/>
              <w:autoSpaceDN w:val="0"/>
              <w:adjustRightInd w:val="0"/>
              <w:rPr>
                <w:rFonts w:ascii="Fakt Pro Bln" w:hAnsi="Fakt Pro Bln" w:cs="Circular Std Book"/>
              </w:rPr>
            </w:pPr>
          </w:p>
          <w:p w14:paraId="49D10B44" w14:textId="77777777" w:rsidR="00765D1D" w:rsidRP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This integrated sustainable development approach, whether it is Transit Oriented Development’ (TOD) as labelled originally in the North American context or plainly as (re)development of and around railway stations as in Europe and elsewhere offers exciting opportunities to address various transport and land use issues simultaneously.</w:t>
            </w:r>
          </w:p>
          <w:p w14:paraId="73AA1860" w14:textId="77777777" w:rsidR="00765D1D" w:rsidRPr="00765D1D" w:rsidRDefault="00765D1D" w:rsidP="00765D1D">
            <w:pPr>
              <w:autoSpaceDE w:val="0"/>
              <w:autoSpaceDN w:val="0"/>
              <w:adjustRightInd w:val="0"/>
              <w:rPr>
                <w:rFonts w:ascii="Fakt Pro Bln" w:hAnsi="Fakt Pro Bln" w:cs="Circular Std Book"/>
              </w:rPr>
            </w:pPr>
          </w:p>
          <w:p w14:paraId="5F76118F" w14:textId="77777777" w:rsidR="00765D1D" w:rsidRP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Investment in Transport and land use around stations is not only an opportunity to increase housing supply but also offers wider opportunities to improve placemaking, active travel and the so-called station area “ecosystem” of civic and commercial uses around stations.</w:t>
            </w:r>
          </w:p>
          <w:p w14:paraId="4F8C905C" w14:textId="77777777" w:rsidR="00765D1D" w:rsidRPr="00765D1D" w:rsidRDefault="00765D1D" w:rsidP="00765D1D">
            <w:pPr>
              <w:autoSpaceDE w:val="0"/>
              <w:autoSpaceDN w:val="0"/>
              <w:adjustRightInd w:val="0"/>
              <w:rPr>
                <w:rFonts w:ascii="Fakt Pro Bln" w:hAnsi="Fakt Pro Bln" w:cs="Circular Std Book"/>
              </w:rPr>
            </w:pPr>
          </w:p>
          <w:p w14:paraId="5E8B0B76" w14:textId="152C4655" w:rsidR="00765D1D" w:rsidRP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 xml:space="preserve">Despite all the opportunities available and the international consensus about TOD, in practice </w:t>
            </w:r>
            <w:r w:rsidR="00CC0890">
              <w:rPr>
                <w:rFonts w:ascii="Fakt Pro Bln" w:hAnsi="Fakt Pro Bln" w:cs="Circular Std Book"/>
              </w:rPr>
              <w:t xml:space="preserve">it </w:t>
            </w:r>
            <w:r w:rsidRPr="00765D1D">
              <w:rPr>
                <w:rFonts w:ascii="Fakt Pro Bln" w:hAnsi="Fakt Pro Bln" w:cs="Circular Std Book"/>
              </w:rPr>
              <w:t xml:space="preserve">is not really experiencing widespread adoption in New Zealand.  </w:t>
            </w:r>
            <w:commentRangeStart w:id="0"/>
            <w:r w:rsidRPr="00765D1D">
              <w:rPr>
                <w:rFonts w:ascii="Fakt Pro Bln" w:hAnsi="Fakt Pro Bln" w:cs="Circular Std Book"/>
              </w:rPr>
              <w:t xml:space="preserve">One reason argued is that the land use legislation in New Zealand limiting and the planning practices are fragmented with a considerate amount of governance and institutional barriers.  As a result, this makes station area planning in the rest of New Zealand more challenging than it needs to be. </w:t>
            </w:r>
            <w:commentRangeEnd w:id="0"/>
            <w:r w:rsidR="006A1300">
              <w:rPr>
                <w:rStyle w:val="CommentReference"/>
              </w:rPr>
              <w:commentReference w:id="0"/>
            </w:r>
          </w:p>
          <w:p w14:paraId="4D520D2F" w14:textId="77777777" w:rsidR="00765D1D" w:rsidRDefault="00765D1D" w:rsidP="00765D1D">
            <w:pPr>
              <w:autoSpaceDE w:val="0"/>
              <w:autoSpaceDN w:val="0"/>
              <w:adjustRightInd w:val="0"/>
              <w:rPr>
                <w:rFonts w:ascii="Fakt Pro Bln" w:hAnsi="Fakt Pro Bln" w:cs="Circular Std Book"/>
              </w:rPr>
            </w:pPr>
          </w:p>
          <w:p w14:paraId="1743993E" w14:textId="450E369D" w:rsidR="00765D1D" w:rsidRP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More recently, the National Policy Statement on Urban Development 2020 came into effect, unlocking the potential for a new era, where height and density can reflect the level of accessibility of public transport. This change triggered the need to develop more sophisticated methods for decision making to work together seamlessly despite all our governance and institutional differences.</w:t>
            </w:r>
          </w:p>
          <w:p w14:paraId="640A0BDD" w14:textId="77777777" w:rsidR="00765D1D" w:rsidRDefault="00765D1D" w:rsidP="00765D1D">
            <w:pPr>
              <w:autoSpaceDE w:val="0"/>
              <w:autoSpaceDN w:val="0"/>
              <w:adjustRightInd w:val="0"/>
              <w:rPr>
                <w:rFonts w:ascii="Fakt Pro Bln" w:hAnsi="Fakt Pro Bln" w:cs="Circular Std Book"/>
              </w:rPr>
            </w:pPr>
          </w:p>
          <w:p w14:paraId="175A9E2B" w14:textId="5FD0B058" w:rsidR="00765D1D"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 xml:space="preserve">In a North Holland context, a so-called ‘Butterfly Model decision support tool' was developed to streamline integrated decision making and to advance land use and transport planning surrounding transit hubs.  Which aims to measure and better understand the relationship between the transport network (movement) and land use (place), their functions within the public realm and how to shape multi-modal transport and planning policy interventions.  </w:t>
            </w:r>
          </w:p>
          <w:p w14:paraId="0DAEFD11" w14:textId="77777777" w:rsidR="00765D1D" w:rsidRPr="00765D1D" w:rsidRDefault="00765D1D" w:rsidP="00765D1D">
            <w:pPr>
              <w:autoSpaceDE w:val="0"/>
              <w:autoSpaceDN w:val="0"/>
              <w:adjustRightInd w:val="0"/>
              <w:rPr>
                <w:rFonts w:ascii="Fakt Pro Bln" w:hAnsi="Fakt Pro Bln" w:cs="Circular Std Book"/>
              </w:rPr>
            </w:pPr>
          </w:p>
          <w:p w14:paraId="0A728568" w14:textId="5E92F8CE" w:rsidR="00765D1D" w:rsidRPr="00657112" w:rsidRDefault="00765D1D" w:rsidP="00765D1D">
            <w:pPr>
              <w:autoSpaceDE w:val="0"/>
              <w:autoSpaceDN w:val="0"/>
              <w:adjustRightInd w:val="0"/>
              <w:rPr>
                <w:rFonts w:ascii="Fakt Pro Bln" w:hAnsi="Fakt Pro Bln" w:cs="Circular Std Book"/>
              </w:rPr>
            </w:pPr>
            <w:r w:rsidRPr="00765D1D">
              <w:rPr>
                <w:rFonts w:ascii="Fakt Pro Bln" w:hAnsi="Fakt Pro Bln" w:cs="Circular Std Book"/>
              </w:rPr>
              <w:t>The paper will describe the dominant factors and players involved in implementing this ‘Butterfly Model decision support tool' in New Zealand, as well as using a case study of Auckland to demonstrate how it could work.</w:t>
            </w:r>
          </w:p>
          <w:p w14:paraId="2ACCD1EC" w14:textId="029A9394" w:rsidR="00657112" w:rsidRPr="00AC2F42" w:rsidRDefault="00657112" w:rsidP="00E73FE4">
            <w:pPr>
              <w:rPr>
                <w:rFonts w:ascii="Graphik Regular" w:hAnsi="Graphik Regular" w:cs="Circular Std Book"/>
                <w:sz w:val="22"/>
                <w:szCs w:val="22"/>
              </w:rPr>
            </w:pPr>
          </w:p>
        </w:tc>
      </w:tr>
    </w:tbl>
    <w:p w14:paraId="5FBDBD50" w14:textId="3A74E79E" w:rsidR="00BE3A75" w:rsidRPr="00657112" w:rsidRDefault="00BE3A75" w:rsidP="00765D1D">
      <w:pPr>
        <w:autoSpaceDE w:val="0"/>
        <w:autoSpaceDN w:val="0"/>
        <w:adjustRightInd w:val="0"/>
        <w:rPr>
          <w:rFonts w:ascii="Fakt Pro Bln" w:hAnsi="Fakt Pro Bln" w:cs="Circular Std Book"/>
        </w:rPr>
      </w:pPr>
    </w:p>
    <w:sectPr w:rsidR="00BE3A75" w:rsidRPr="00657112" w:rsidSect="009202AF">
      <w:headerReference w:type="default" r:id="rId11"/>
      <w:footerReference w:type="even" r:id="rId12"/>
      <w:footerReference w:type="default" r:id="rId13"/>
      <w:pgSz w:w="11906" w:h="16838" w:code="9"/>
      <w:pgMar w:top="720" w:right="720" w:bottom="57" w:left="851" w:header="0" w:footer="7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ony Brennand" w:date="2021-04-01T13:45:00Z" w:initials="TB">
    <w:p w14:paraId="7EF75CF0" w14:textId="67A7CDDA" w:rsidR="006A1300" w:rsidRDefault="006A1300">
      <w:pPr>
        <w:pStyle w:val="CommentText"/>
      </w:pPr>
      <w:r>
        <w:rPr>
          <w:rStyle w:val="CommentReference"/>
        </w:rPr>
        <w:annotationRef/>
      </w:r>
      <w:r>
        <w:t>Are there other reasons proposed and what is the evidence to support this hypothesis?</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F75C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F75CF0" w16cid:durableId="24104C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9E027" w14:textId="77777777" w:rsidR="002A7D31" w:rsidRDefault="002A7D31">
      <w:r>
        <w:separator/>
      </w:r>
    </w:p>
  </w:endnote>
  <w:endnote w:type="continuationSeparator" w:id="0">
    <w:p w14:paraId="1B0A0705" w14:textId="77777777" w:rsidR="002A7D31" w:rsidRDefault="002A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D112F" w14:textId="77777777" w:rsidR="002A7D31" w:rsidRDefault="002A7D31">
      <w:r>
        <w:separator/>
      </w:r>
    </w:p>
  </w:footnote>
  <w:footnote w:type="continuationSeparator" w:id="0">
    <w:p w14:paraId="20C36485" w14:textId="77777777" w:rsidR="002A7D31" w:rsidRDefault="002A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5pt" o:bullet="t">
        <v:imagedata r:id="rId1" o:title="Bullet Point"/>
      </v:shape>
    </w:pict>
  </w:numPicBullet>
  <w:numPicBullet w:numPicBulletId="1">
    <w:pict>
      <v:shape id="_x0000_i1027" type="#_x0000_t75" style="width:177.4pt;height:169.35pt" o:bullet="t">
        <v:imagedata r:id="rId2" o:title="Conf-Icon"/>
      </v:shape>
    </w:pict>
  </w:numPicBullet>
  <w:numPicBullet w:numPicBulletId="2">
    <w:pict>
      <v:shape id="_x0000_i1028" type="#_x0000_t75" style="width:151.5pt;height:145.15pt" o:bullet="t">
        <v:imagedata r:id="rId3" o:title="Conf-Icon"/>
      </v:shape>
    </w:pict>
  </w:numPicBullet>
  <w:numPicBullet w:numPicBulletId="3">
    <w:pict>
      <v:shape id="_x0000_i1029" type="#_x0000_t75" style="width:122.1pt;height:112.9pt" o:bullet="t">
        <v:imagedata r:id="rId4" o:title="Bullet Point"/>
      </v:shape>
    </w:pict>
  </w:numPicBullet>
  <w:numPicBullet w:numPicBulletId="4">
    <w:pict>
      <v:shape id="_x0000_i1030" type="#_x0000_t75" style="width:109.4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ny Brennand">
    <w15:presenceInfo w15:providerId="AD" w15:userId="S::Tony.Brennand@nzta.govt.nz::41c66013-366b-4b23-aa1b-adeea5dc17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1tDQ0sTA1M7A0MTBT0lEKTi0uzszPAykwrAUAyiVwfC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A7D31"/>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1300"/>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65D1D"/>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0890"/>
    <w:rsid w:val="00CC3F26"/>
    <w:rsid w:val="00CC5B1D"/>
    <w:rsid w:val="00CD37E8"/>
    <w:rsid w:val="00CE14E0"/>
    <w:rsid w:val="00CE155D"/>
    <w:rsid w:val="00CE6E57"/>
    <w:rsid w:val="00CE7A3D"/>
    <w:rsid w:val="00CF1AEF"/>
    <w:rsid w:val="00D055DF"/>
    <w:rsid w:val="00D45092"/>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B43A5-AB00-4FC4-8530-2AA231B6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2399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Tony Brennand</cp:lastModifiedBy>
  <cp:revision>2</cp:revision>
  <cp:lastPrinted>2017-09-24T23:53:00Z</cp:lastPrinted>
  <dcterms:created xsi:type="dcterms:W3CDTF">2021-04-01T00:48:00Z</dcterms:created>
  <dcterms:modified xsi:type="dcterms:W3CDTF">2021-04-01T00:48:00Z</dcterms:modified>
</cp:coreProperties>
</file>