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57D9B9D0" w:rsidR="001C5FFF" w:rsidRPr="00C11ED7" w:rsidRDefault="00AE0AE1">
      <w:pPr>
        <w:rPr>
          <w:rFonts w:ascii="Montserrat" w:hAnsi="Montserrat"/>
          <w:b/>
          <w:bCs/>
          <w:color w:val="0088C5"/>
          <w:sz w:val="28"/>
          <w:szCs w:val="28"/>
        </w:rPr>
      </w:pPr>
      <w:r>
        <w:rPr>
          <w:rFonts w:ascii="Montserrat" w:hAnsi="Montserrat"/>
          <w:b/>
          <w:bCs/>
          <w:color w:val="0088C5"/>
          <w:sz w:val="28"/>
          <w:szCs w:val="28"/>
        </w:rPr>
        <w:t>Planning EV Charging – Key concepts and practice</w:t>
      </w:r>
    </w:p>
    <w:p w14:paraId="51729E03" w14:textId="60BE4156"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 xml:space="preserve">Electric vehicle sales have </w:t>
      </w:r>
      <w:r>
        <w:rPr>
          <w:rFonts w:ascii="Verdana" w:eastAsia="Times New Roman" w:hAnsi="Verdana" w:cs="Times New Roman"/>
          <w:color w:val="000000"/>
          <w:kern w:val="0"/>
          <w:sz w:val="17"/>
          <w:szCs w:val="17"/>
          <w:lang w:eastAsia="en-GB"/>
          <w14:ligatures w14:val="none"/>
        </w:rPr>
        <w:t>been growing in NZ, but still lag behind many other OECD countries</w:t>
      </w:r>
      <w:r w:rsidRPr="00223621">
        <w:rPr>
          <w:rFonts w:ascii="Verdana" w:eastAsia="Times New Roman" w:hAnsi="Verdana" w:cs="Times New Roman"/>
          <w:color w:val="000000"/>
          <w:kern w:val="0"/>
          <w:sz w:val="17"/>
          <w:szCs w:val="17"/>
          <w:lang w:eastAsia="en-GB"/>
          <w14:ligatures w14:val="none"/>
        </w:rPr>
        <w:t xml:space="preserve">. </w:t>
      </w:r>
      <w:r>
        <w:rPr>
          <w:rFonts w:ascii="Verdana" w:eastAsia="Times New Roman" w:hAnsi="Verdana" w:cs="Times New Roman"/>
          <w:color w:val="000000"/>
          <w:kern w:val="0"/>
          <w:sz w:val="17"/>
          <w:szCs w:val="17"/>
          <w:lang w:eastAsia="en-GB"/>
          <w14:ligatures w14:val="none"/>
        </w:rPr>
        <w:t>T</w:t>
      </w:r>
      <w:r w:rsidRPr="00223621">
        <w:rPr>
          <w:rFonts w:ascii="Verdana" w:eastAsia="Times New Roman" w:hAnsi="Verdana" w:cs="Times New Roman"/>
          <w:color w:val="000000"/>
          <w:kern w:val="0"/>
          <w:sz w:val="17"/>
          <w:szCs w:val="17"/>
          <w:lang w:eastAsia="en-GB"/>
          <w14:ligatures w14:val="none"/>
        </w:rPr>
        <w:t xml:space="preserve">he development of charging infrastructure in </w:t>
      </w:r>
      <w:r>
        <w:rPr>
          <w:rFonts w:ascii="Verdana" w:eastAsia="Times New Roman" w:hAnsi="Verdana" w:cs="Times New Roman"/>
          <w:color w:val="000000"/>
          <w:kern w:val="0"/>
          <w:sz w:val="17"/>
          <w:szCs w:val="17"/>
          <w:lang w:eastAsia="en-GB"/>
          <w14:ligatures w14:val="none"/>
        </w:rPr>
        <w:t xml:space="preserve">metropolitan and </w:t>
      </w:r>
      <w:r w:rsidRPr="00223621">
        <w:rPr>
          <w:rFonts w:ascii="Verdana" w:eastAsia="Times New Roman" w:hAnsi="Verdana" w:cs="Times New Roman"/>
          <w:color w:val="000000"/>
          <w:kern w:val="0"/>
          <w:sz w:val="17"/>
          <w:szCs w:val="17"/>
          <w:lang w:eastAsia="en-GB"/>
          <w14:ligatures w14:val="none"/>
        </w:rPr>
        <w:t>regional areas is critical</w:t>
      </w:r>
      <w:r>
        <w:rPr>
          <w:rFonts w:ascii="Verdana" w:eastAsia="Times New Roman" w:hAnsi="Verdana" w:cs="Times New Roman"/>
          <w:color w:val="000000"/>
          <w:kern w:val="0"/>
          <w:sz w:val="17"/>
          <w:szCs w:val="17"/>
          <w:lang w:eastAsia="en-GB"/>
          <w14:ligatures w14:val="none"/>
        </w:rPr>
        <w:t xml:space="preserve"> to achieving a reduction in transport emissions. </w:t>
      </w:r>
      <w:r w:rsidRPr="00223621">
        <w:rPr>
          <w:rFonts w:ascii="Verdana" w:eastAsia="Times New Roman" w:hAnsi="Verdana" w:cs="Times New Roman"/>
          <w:color w:val="000000"/>
          <w:kern w:val="0"/>
          <w:sz w:val="17"/>
          <w:szCs w:val="17"/>
          <w:lang w:eastAsia="en-GB"/>
          <w14:ligatures w14:val="none"/>
        </w:rPr>
        <w:t>This presentation outlines the different types of charging infrastructure, how to decide which speed of charger is most appropriate in different contexts, and the role of government in the expansion of charging opportunities.</w:t>
      </w:r>
    </w:p>
    <w:p w14:paraId="3524CC08" w14:textId="77777777"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The second half of the presentation will </w:t>
      </w:r>
      <w:r>
        <w:rPr>
          <w:rFonts w:ascii="Verdana" w:eastAsia="Times New Roman" w:hAnsi="Verdana" w:cs="Times New Roman"/>
          <w:color w:val="000000"/>
          <w:kern w:val="0"/>
          <w:sz w:val="17"/>
          <w:szCs w:val="17"/>
          <w:lang w:eastAsia="en-GB"/>
          <w14:ligatures w14:val="none"/>
        </w:rPr>
        <w:t xml:space="preserve">describe </w:t>
      </w:r>
      <w:r w:rsidRPr="00223621">
        <w:rPr>
          <w:rFonts w:ascii="Verdana" w:eastAsia="Times New Roman" w:hAnsi="Verdana" w:cs="Times New Roman"/>
          <w:color w:val="000000"/>
          <w:kern w:val="0"/>
          <w:sz w:val="17"/>
          <w:szCs w:val="17"/>
          <w:lang w:eastAsia="en-GB"/>
          <w14:ligatures w14:val="none"/>
        </w:rPr>
        <w:t>the facilitator role that local government can adopt to ensure the growth of charging opportunities, at least cost to Council. The economics of EV charging will also be described, as well as methods of forecasting demand for charging. Finally, emerging trends in EV charging will be explored and how government are able to capitalise on these. Following the presentation, the audience will understand:</w:t>
      </w:r>
    </w:p>
    <w:p w14:paraId="5FB41ACF" w14:textId="77777777"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 xml:space="preserve">1. Different types of charging infrastructure, from slow, overnight chargers, through to </w:t>
      </w:r>
      <w:proofErr w:type="spellStart"/>
      <w:r w:rsidRPr="00223621">
        <w:rPr>
          <w:rFonts w:ascii="Verdana" w:eastAsia="Times New Roman" w:hAnsi="Verdana" w:cs="Times New Roman"/>
          <w:color w:val="000000"/>
          <w:kern w:val="0"/>
          <w:sz w:val="17"/>
          <w:szCs w:val="17"/>
          <w:lang w:eastAsia="en-GB"/>
          <w14:ligatures w14:val="none"/>
        </w:rPr>
        <w:t>ultra fast</w:t>
      </w:r>
      <w:proofErr w:type="spellEnd"/>
      <w:r w:rsidRPr="00223621">
        <w:rPr>
          <w:rFonts w:ascii="Verdana" w:eastAsia="Times New Roman" w:hAnsi="Verdana" w:cs="Times New Roman"/>
          <w:color w:val="000000"/>
          <w:kern w:val="0"/>
          <w:sz w:val="17"/>
          <w:szCs w:val="17"/>
          <w:lang w:eastAsia="en-GB"/>
          <w14:ligatures w14:val="none"/>
        </w:rPr>
        <w:t xml:space="preserve"> chargers can that complete a charge cycle in as little as 15 minutes</w:t>
      </w:r>
    </w:p>
    <w:p w14:paraId="1B75511E" w14:textId="77777777"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2. How to select the right speed of charger in different contexts</w:t>
      </w:r>
    </w:p>
    <w:p w14:paraId="7EB59E2C" w14:textId="77777777"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3. What makes a good site for an EV charging station</w:t>
      </w:r>
    </w:p>
    <w:p w14:paraId="1881F99E" w14:textId="77777777"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4. The most effective role for government in the development of future charging sites</w:t>
      </w:r>
    </w:p>
    <w:p w14:paraId="4D51F126" w14:textId="77777777"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5. Methods of forecasting demand</w:t>
      </w:r>
    </w:p>
    <w:p w14:paraId="5B9D14F9" w14:textId="053B965E" w:rsidR="00AE0AE1" w:rsidRPr="00223621" w:rsidRDefault="00AE0AE1" w:rsidP="00AE0AE1">
      <w:pPr>
        <w:spacing w:before="100" w:beforeAutospacing="1" w:after="100" w:afterAutospacing="1"/>
        <w:rPr>
          <w:rFonts w:ascii="Verdana" w:eastAsia="Times New Roman" w:hAnsi="Verdana" w:cs="Times New Roman"/>
          <w:color w:val="000000"/>
          <w:kern w:val="0"/>
          <w:sz w:val="17"/>
          <w:szCs w:val="17"/>
          <w:lang w:eastAsia="en-GB"/>
          <w14:ligatures w14:val="none"/>
        </w:rPr>
      </w:pPr>
      <w:r w:rsidRPr="00223621">
        <w:rPr>
          <w:rFonts w:ascii="Verdana" w:eastAsia="Times New Roman" w:hAnsi="Verdana" w:cs="Times New Roman"/>
          <w:color w:val="000000"/>
          <w:kern w:val="0"/>
          <w:sz w:val="17"/>
          <w:szCs w:val="17"/>
          <w:lang w:eastAsia="en-GB"/>
          <w14:ligatures w14:val="none"/>
        </w:rPr>
        <w:t>6. The economics of EV charging</w:t>
      </w:r>
      <w:r>
        <w:rPr>
          <w:rFonts w:ascii="Verdana" w:eastAsia="Times New Roman" w:hAnsi="Verdana" w:cs="Times New Roman"/>
          <w:color w:val="000000"/>
          <w:kern w:val="0"/>
          <w:sz w:val="17"/>
          <w:szCs w:val="17"/>
          <w:lang w:eastAsia="en-GB"/>
          <w14:ligatures w14:val="none"/>
        </w:rPr>
        <w:t>.</w:t>
      </w:r>
    </w:p>
    <w:p w14:paraId="636AD3AC" w14:textId="15289897" w:rsidR="00C11ED7" w:rsidRPr="00C11ED7" w:rsidRDefault="00C11ED7" w:rsidP="00AE0AE1">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98723A"/>
    <w:rsid w:val="00AE0AE1"/>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Elliot Fishman</cp:lastModifiedBy>
  <cp:revision>2</cp:revision>
  <dcterms:created xsi:type="dcterms:W3CDTF">2025-08-04T02:16:00Z</dcterms:created>
  <dcterms:modified xsi:type="dcterms:W3CDTF">2025-08-04T02:16:00Z</dcterms:modified>
</cp:coreProperties>
</file>