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C656C" w14:textId="3DB14577" w:rsidR="001D6CD3" w:rsidRDefault="00A018F4" w:rsidP="00706FC6">
      <w:pPr>
        <w:pStyle w:val="Heading1"/>
        <w:numPr>
          <w:ilvl w:val="0"/>
          <w:numId w:val="0"/>
        </w:numPr>
        <w:ind w:left="567" w:hanging="567"/>
        <w:rPr>
          <w:lang w:val="en-US"/>
        </w:rPr>
      </w:pPr>
      <w:r>
        <w:rPr>
          <w:lang w:val="en-US"/>
        </w:rPr>
        <w:t xml:space="preserve">Te Araroa – More than a trail </w:t>
      </w:r>
    </w:p>
    <w:p w14:paraId="11176312" w14:textId="77777777" w:rsidR="00A018F4" w:rsidRDefault="00A018F4" w:rsidP="00A018F4">
      <w:pPr>
        <w:shd w:val="clear" w:color="auto" w:fill="FFFFFF"/>
        <w:spacing w:after="150"/>
        <w:rPr>
          <w:rFonts w:ascii="Century Gothic" w:eastAsia="Times New Roman" w:hAnsi="Century Gothic" w:cs="Helvetica"/>
          <w:b/>
          <w:color w:val="333333"/>
          <w:sz w:val="18"/>
          <w:szCs w:val="18"/>
          <w:lang w:val="en-US"/>
        </w:rPr>
      </w:pPr>
      <w:r>
        <w:rPr>
          <w:rFonts w:ascii="Century Gothic" w:eastAsia="Times New Roman" w:hAnsi="Century Gothic" w:cs="Helvetica"/>
          <w:b/>
          <w:color w:val="333333"/>
          <w:sz w:val="18"/>
          <w:szCs w:val="18"/>
          <w:lang w:val="en-US"/>
        </w:rPr>
        <w:t>Introduction</w:t>
      </w:r>
    </w:p>
    <w:p w14:paraId="49406508" w14:textId="302CAD01" w:rsidR="00A018F4" w:rsidRDefault="00A018F4" w:rsidP="00A018F4">
      <w:pPr>
        <w:shd w:val="clear" w:color="auto" w:fill="FFFFFF"/>
        <w:spacing w:after="150"/>
        <w:rPr>
          <w:rFonts w:ascii="Century Gothic" w:eastAsia="Times New Roman" w:hAnsi="Century Gothic" w:cs="Helvetica"/>
          <w:color w:val="333333"/>
          <w:sz w:val="18"/>
          <w:szCs w:val="18"/>
          <w:lang w:val="en-US"/>
        </w:rPr>
      </w:pPr>
      <w:r>
        <w:rPr>
          <w:rFonts w:ascii="Century Gothic" w:eastAsia="Times New Roman" w:hAnsi="Century Gothic" w:cs="Helvetica"/>
          <w:color w:val="333333"/>
          <w:sz w:val="18"/>
          <w:szCs w:val="18"/>
          <w:lang w:val="en-US"/>
        </w:rPr>
        <w:t xml:space="preserve">Te Araroa - New Zealand's Trail - is a continuous 3,000 km walking trail from Cape Reinga to Bluff. Te Araroa is the ultimate 5-month New Zealand experience, that also offers section tramps lasting anything from a few days to a week or more, and many attractive day or overnight walks. It is a different kind of trail from the traditional back-country tramping tracks; Te Araroa has been designed to connect townships and cities. </w:t>
      </w:r>
      <w:proofErr w:type="gramStart"/>
      <w:r>
        <w:rPr>
          <w:rFonts w:ascii="Century Gothic" w:eastAsia="Times New Roman" w:hAnsi="Century Gothic" w:cs="Helvetica"/>
          <w:color w:val="333333"/>
          <w:sz w:val="18"/>
          <w:szCs w:val="18"/>
          <w:lang w:val="en-US"/>
        </w:rPr>
        <w:t>It's</w:t>
      </w:r>
      <w:proofErr w:type="gramEnd"/>
      <w:r>
        <w:rPr>
          <w:rFonts w:ascii="Century Gothic" w:eastAsia="Times New Roman" w:hAnsi="Century Gothic" w:cs="Helvetica"/>
          <w:color w:val="333333"/>
          <w:sz w:val="18"/>
          <w:szCs w:val="18"/>
          <w:lang w:val="en-US"/>
        </w:rPr>
        <w:t xml:space="preserve"> a corridor that encourages social and economic transactions </w:t>
      </w:r>
      <w:proofErr w:type="spellStart"/>
      <w:r>
        <w:rPr>
          <w:rFonts w:ascii="Century Gothic" w:eastAsia="Times New Roman" w:hAnsi="Century Gothic" w:cs="Helvetica"/>
          <w:color w:val="333333"/>
          <w:sz w:val="18"/>
          <w:szCs w:val="18"/>
          <w:lang w:val="en-US"/>
        </w:rPr>
        <w:t>en</w:t>
      </w:r>
      <w:proofErr w:type="spellEnd"/>
      <w:r>
        <w:rPr>
          <w:rFonts w:ascii="Century Gothic" w:eastAsia="Times New Roman" w:hAnsi="Century Gothic" w:cs="Helvetica"/>
          <w:color w:val="333333"/>
          <w:sz w:val="18"/>
          <w:szCs w:val="18"/>
          <w:lang w:val="en-US"/>
        </w:rPr>
        <w:t xml:space="preserve"> route and showcases a wide variety of New Zealand experiences – natural, cultural and historic. Officially opened in 2011, the trail has seen year on year growth in the numbers of walkers taking on the challenge.</w:t>
      </w:r>
    </w:p>
    <w:p w14:paraId="4670C649" w14:textId="77777777" w:rsidR="00A018F4" w:rsidRDefault="00A018F4" w:rsidP="00A018F4">
      <w:pPr>
        <w:shd w:val="clear" w:color="auto" w:fill="FFFFFF"/>
        <w:spacing w:after="0"/>
        <w:rPr>
          <w:rFonts w:ascii="Century Gothic" w:eastAsia="Times New Roman" w:hAnsi="Century Gothic" w:cs="Helvetica"/>
          <w:b/>
          <w:color w:val="333333"/>
          <w:sz w:val="18"/>
          <w:szCs w:val="18"/>
          <w:lang w:val="en-US"/>
        </w:rPr>
      </w:pPr>
      <w:r>
        <w:rPr>
          <w:rFonts w:ascii="Century Gothic" w:eastAsia="Times New Roman" w:hAnsi="Century Gothic" w:cs="Helvetica"/>
          <w:b/>
          <w:color w:val="333333"/>
          <w:sz w:val="18"/>
          <w:szCs w:val="18"/>
          <w:lang w:val="en-US"/>
        </w:rPr>
        <w:t>Topic</w:t>
      </w:r>
    </w:p>
    <w:p w14:paraId="484BB260" w14:textId="61C17FC0" w:rsidR="00A018F4" w:rsidRDefault="00A018F4" w:rsidP="00A018F4">
      <w:pPr>
        <w:shd w:val="clear" w:color="auto" w:fill="FFFFFF"/>
        <w:spacing w:after="0"/>
        <w:rPr>
          <w:rFonts w:ascii="Century Gothic" w:eastAsia="Times New Roman" w:hAnsi="Century Gothic" w:cs="Helvetica"/>
          <w:color w:val="333333"/>
          <w:sz w:val="18"/>
          <w:szCs w:val="18"/>
          <w:lang w:val="en-US"/>
        </w:rPr>
      </w:pPr>
      <w:r>
        <w:rPr>
          <w:rFonts w:ascii="Century Gothic" w:eastAsia="Times New Roman" w:hAnsi="Century Gothic" w:cs="Helvetica"/>
          <w:color w:val="333333"/>
          <w:sz w:val="18"/>
          <w:szCs w:val="18"/>
          <w:lang w:val="en-US"/>
        </w:rPr>
        <w:t>Te Araroa Trust is determined to ensure the ongoing sustainability of the trail; in doing so, the focus of the Trust is to encourage more Kiwis to experience the trail, either as a complete 3000 km through walk, or by competing sections across their life time.   The people the walkers meet along the 3000 km trail is very diverse. We encourage walkers to take their time, not only to take in the many sites they will come across, but also to meet the people who make this trail unique and very special.</w:t>
      </w:r>
    </w:p>
    <w:p w14:paraId="71B9D891" w14:textId="09BFC13E" w:rsidR="00A018F4" w:rsidRDefault="00A018F4" w:rsidP="00A018F4">
      <w:pPr>
        <w:shd w:val="clear" w:color="auto" w:fill="FFFFFF"/>
        <w:spacing w:after="0"/>
        <w:rPr>
          <w:rFonts w:ascii="Century Gothic" w:eastAsia="Times New Roman" w:hAnsi="Century Gothic" w:cs="Helvetica"/>
          <w:color w:val="333333"/>
          <w:sz w:val="18"/>
          <w:szCs w:val="18"/>
          <w:lang w:val="en-US"/>
        </w:rPr>
      </w:pPr>
      <w:r>
        <w:rPr>
          <w:rFonts w:ascii="Century Gothic" w:eastAsia="Times New Roman" w:hAnsi="Century Gothic" w:cs="Helvetica"/>
          <w:color w:val="333333"/>
          <w:sz w:val="18"/>
          <w:szCs w:val="18"/>
          <w:lang w:val="en-US"/>
        </w:rPr>
        <w:t>The number of walkers completing Te Araroa is increasing year on year; this brings several challenges that the Trust is currently wrestling with and will continue to do so in the foreseeable future. Out of these challenges comes opportunities; some of which have been identified, and some of which will arise as the future sustainability of the trail evolves.</w:t>
      </w:r>
    </w:p>
    <w:p w14:paraId="1C6529C3" w14:textId="73910BA5" w:rsidR="006455D5" w:rsidRDefault="006455D5" w:rsidP="00A018F4">
      <w:pPr>
        <w:shd w:val="clear" w:color="auto" w:fill="FFFFFF"/>
        <w:spacing w:after="0"/>
        <w:rPr>
          <w:rFonts w:ascii="Century Gothic" w:eastAsia="Times New Roman" w:hAnsi="Century Gothic" w:cs="Helvetica"/>
          <w:color w:val="333333"/>
          <w:sz w:val="18"/>
          <w:szCs w:val="18"/>
          <w:lang w:val="en-US"/>
        </w:rPr>
      </w:pPr>
      <w:r>
        <w:rPr>
          <w:rFonts w:ascii="Century Gothic" w:eastAsia="Times New Roman" w:hAnsi="Century Gothic" w:cs="Helvetica"/>
          <w:color w:val="333333"/>
          <w:sz w:val="18"/>
          <w:szCs w:val="18"/>
          <w:lang w:val="en-US"/>
        </w:rPr>
        <w:t xml:space="preserve">In 2020 the Te </w:t>
      </w:r>
      <w:proofErr w:type="spellStart"/>
      <w:r>
        <w:rPr>
          <w:rFonts w:ascii="Century Gothic" w:eastAsia="Times New Roman" w:hAnsi="Century Gothic" w:cs="Helvetica"/>
          <w:color w:val="333333"/>
          <w:sz w:val="18"/>
          <w:szCs w:val="18"/>
          <w:lang w:val="en-US"/>
        </w:rPr>
        <w:t>Araora</w:t>
      </w:r>
      <w:proofErr w:type="spellEnd"/>
      <w:r>
        <w:rPr>
          <w:rFonts w:ascii="Century Gothic" w:eastAsia="Times New Roman" w:hAnsi="Century Gothic" w:cs="Helvetica"/>
          <w:color w:val="333333"/>
          <w:sz w:val="18"/>
          <w:szCs w:val="18"/>
          <w:lang w:val="en-US"/>
        </w:rPr>
        <w:t xml:space="preserve"> Trust signed a MOU with Walking Access Commission our presentation will cover off how that partnership is progressing and </w:t>
      </w:r>
    </w:p>
    <w:p w14:paraId="41C5A1C9" w14:textId="77777777" w:rsidR="00A018F4" w:rsidRDefault="00A018F4" w:rsidP="00A018F4">
      <w:pPr>
        <w:shd w:val="clear" w:color="auto" w:fill="FFFFFF"/>
        <w:spacing w:after="0"/>
        <w:rPr>
          <w:rFonts w:ascii="Century Gothic" w:eastAsia="Times New Roman" w:hAnsi="Century Gothic" w:cs="Helvetica"/>
          <w:color w:val="333333"/>
          <w:sz w:val="18"/>
          <w:szCs w:val="18"/>
          <w:lang w:val="en-US"/>
        </w:rPr>
      </w:pPr>
      <w:r>
        <w:rPr>
          <w:rFonts w:ascii="Century Gothic" w:eastAsia="Times New Roman" w:hAnsi="Century Gothic" w:cs="Helvetica"/>
          <w:color w:val="333333"/>
          <w:sz w:val="18"/>
          <w:szCs w:val="18"/>
          <w:lang w:val="en-US"/>
        </w:rPr>
        <w:t>What are the major challenges we face?</w:t>
      </w:r>
    </w:p>
    <w:p w14:paraId="55DC678C" w14:textId="77777777" w:rsidR="00A018F4" w:rsidRDefault="00A018F4" w:rsidP="00A018F4">
      <w:pPr>
        <w:shd w:val="clear" w:color="auto" w:fill="FFFFFF"/>
        <w:spacing w:after="0"/>
        <w:rPr>
          <w:rFonts w:ascii="Century Gothic" w:eastAsia="Times New Roman" w:hAnsi="Century Gothic" w:cs="Helvetica"/>
          <w:color w:val="333333"/>
          <w:sz w:val="18"/>
          <w:szCs w:val="18"/>
          <w:lang w:val="en-US"/>
        </w:rPr>
      </w:pPr>
    </w:p>
    <w:p w14:paraId="037D5A4D" w14:textId="77777777" w:rsidR="00A018F4" w:rsidRDefault="00A018F4" w:rsidP="00A018F4">
      <w:pPr>
        <w:pStyle w:val="ListParagraph"/>
        <w:numPr>
          <w:ilvl w:val="0"/>
          <w:numId w:val="35"/>
        </w:numPr>
        <w:shd w:val="clear" w:color="auto" w:fill="FFFFFF"/>
        <w:spacing w:before="0" w:after="0"/>
        <w:rPr>
          <w:rFonts w:ascii="Century Gothic" w:eastAsia="Times New Roman" w:hAnsi="Century Gothic" w:cs="Helvetica"/>
          <w:color w:val="333333"/>
          <w:sz w:val="18"/>
          <w:szCs w:val="18"/>
          <w:lang w:val="en-US"/>
        </w:rPr>
      </w:pPr>
      <w:r>
        <w:rPr>
          <w:rFonts w:ascii="Century Gothic" w:eastAsia="Times New Roman" w:hAnsi="Century Gothic" w:cs="Helvetica"/>
          <w:color w:val="333333"/>
          <w:sz w:val="18"/>
          <w:szCs w:val="18"/>
          <w:lang w:val="en-US"/>
        </w:rPr>
        <w:t>Kauri Dieback impact on the Northland sections of the trail</w:t>
      </w:r>
    </w:p>
    <w:p w14:paraId="7AFDF9C9" w14:textId="77777777" w:rsidR="00A018F4" w:rsidRDefault="00A018F4" w:rsidP="00A018F4">
      <w:pPr>
        <w:pStyle w:val="ListParagraph"/>
        <w:numPr>
          <w:ilvl w:val="0"/>
          <w:numId w:val="35"/>
        </w:numPr>
        <w:shd w:val="clear" w:color="auto" w:fill="FFFFFF"/>
        <w:spacing w:before="0" w:after="0"/>
        <w:rPr>
          <w:rFonts w:ascii="Century Gothic" w:eastAsia="Times New Roman" w:hAnsi="Century Gothic" w:cs="Helvetica"/>
          <w:color w:val="333333"/>
          <w:sz w:val="18"/>
          <w:szCs w:val="18"/>
          <w:lang w:val="en-US"/>
        </w:rPr>
      </w:pPr>
      <w:r>
        <w:rPr>
          <w:rFonts w:ascii="Century Gothic" w:eastAsia="Times New Roman" w:hAnsi="Century Gothic" w:cs="Helvetica"/>
          <w:color w:val="333333"/>
          <w:sz w:val="18"/>
          <w:szCs w:val="18"/>
          <w:lang w:val="en-US"/>
        </w:rPr>
        <w:t>Use of private land</w:t>
      </w:r>
    </w:p>
    <w:p w14:paraId="7C648E99" w14:textId="77777777" w:rsidR="00A018F4" w:rsidRDefault="00A018F4" w:rsidP="00A018F4">
      <w:pPr>
        <w:pStyle w:val="ListParagraph"/>
        <w:numPr>
          <w:ilvl w:val="0"/>
          <w:numId w:val="35"/>
        </w:numPr>
        <w:shd w:val="clear" w:color="auto" w:fill="FFFFFF"/>
        <w:spacing w:before="0" w:after="0"/>
        <w:rPr>
          <w:rFonts w:ascii="Century Gothic" w:eastAsia="Times New Roman" w:hAnsi="Century Gothic" w:cs="Helvetica"/>
          <w:color w:val="333333"/>
          <w:sz w:val="18"/>
          <w:szCs w:val="18"/>
          <w:lang w:val="en-US"/>
        </w:rPr>
      </w:pPr>
      <w:r>
        <w:rPr>
          <w:rFonts w:ascii="Century Gothic" w:eastAsia="Times New Roman" w:hAnsi="Century Gothic" w:cs="Helvetica"/>
          <w:color w:val="333333"/>
          <w:sz w:val="18"/>
          <w:szCs w:val="18"/>
          <w:lang w:val="en-US"/>
        </w:rPr>
        <w:t>Managing increase in walkers using the trail and the pressure on key infrastructure – e.g. toilets, huts and camping spots</w:t>
      </w:r>
    </w:p>
    <w:p w14:paraId="38BF8A14" w14:textId="77777777" w:rsidR="00A018F4" w:rsidRDefault="00A018F4" w:rsidP="00A018F4">
      <w:pPr>
        <w:pStyle w:val="ListParagraph"/>
        <w:numPr>
          <w:ilvl w:val="0"/>
          <w:numId w:val="35"/>
        </w:numPr>
        <w:shd w:val="clear" w:color="auto" w:fill="FFFFFF"/>
        <w:spacing w:before="0" w:after="0"/>
        <w:rPr>
          <w:rFonts w:ascii="Century Gothic" w:eastAsia="Times New Roman" w:hAnsi="Century Gothic" w:cs="Helvetica"/>
          <w:color w:val="333333"/>
          <w:sz w:val="18"/>
          <w:szCs w:val="18"/>
          <w:lang w:val="en-US"/>
        </w:rPr>
      </w:pPr>
      <w:r>
        <w:rPr>
          <w:rFonts w:ascii="Century Gothic" w:eastAsia="Times New Roman" w:hAnsi="Century Gothic" w:cs="Helvetica"/>
          <w:color w:val="333333"/>
          <w:sz w:val="18"/>
          <w:szCs w:val="18"/>
          <w:lang w:val="en-US"/>
        </w:rPr>
        <w:t>Walker behavior and how we develop a culture of what is expected by TA Walkers</w:t>
      </w:r>
    </w:p>
    <w:p w14:paraId="2720FCE8" w14:textId="77777777" w:rsidR="00A018F4" w:rsidRDefault="00A018F4" w:rsidP="00A018F4">
      <w:pPr>
        <w:pStyle w:val="ListParagraph"/>
        <w:numPr>
          <w:ilvl w:val="0"/>
          <w:numId w:val="35"/>
        </w:numPr>
        <w:shd w:val="clear" w:color="auto" w:fill="FFFFFF"/>
        <w:spacing w:before="0" w:after="0"/>
        <w:rPr>
          <w:rFonts w:ascii="Century Gothic" w:eastAsia="Times New Roman" w:hAnsi="Century Gothic" w:cs="Helvetica"/>
          <w:color w:val="333333"/>
          <w:sz w:val="18"/>
          <w:szCs w:val="18"/>
          <w:lang w:val="en-US"/>
        </w:rPr>
      </w:pPr>
      <w:r>
        <w:rPr>
          <w:rFonts w:ascii="Century Gothic" w:eastAsia="Times New Roman" w:hAnsi="Century Gothic" w:cs="Helvetica"/>
          <w:color w:val="333333"/>
          <w:sz w:val="18"/>
          <w:szCs w:val="18"/>
          <w:lang w:val="en-US"/>
        </w:rPr>
        <w:t>The ongoing enhancement of the trail – improving the walker experience e.g. reducing road walking</w:t>
      </w:r>
    </w:p>
    <w:p w14:paraId="1D9D6AEB" w14:textId="6775D95F" w:rsidR="006455D5" w:rsidRPr="006455D5" w:rsidRDefault="00A018F4" w:rsidP="0012399A">
      <w:pPr>
        <w:pStyle w:val="ListParagraph"/>
        <w:numPr>
          <w:ilvl w:val="0"/>
          <w:numId w:val="35"/>
        </w:numPr>
        <w:shd w:val="clear" w:color="auto" w:fill="FFFFFF"/>
        <w:spacing w:before="0" w:after="0"/>
        <w:rPr>
          <w:rFonts w:ascii="Century Gothic" w:eastAsia="Times New Roman" w:hAnsi="Century Gothic" w:cs="Helvetica"/>
          <w:color w:val="333333"/>
          <w:sz w:val="18"/>
          <w:szCs w:val="18"/>
          <w:lang w:val="en-US"/>
        </w:rPr>
      </w:pPr>
      <w:r w:rsidRPr="006455D5">
        <w:rPr>
          <w:rFonts w:ascii="Century Gothic" w:eastAsia="Times New Roman" w:hAnsi="Century Gothic" w:cs="Helvetica"/>
          <w:color w:val="333333"/>
          <w:sz w:val="18"/>
          <w:szCs w:val="18"/>
          <w:lang w:val="en-US"/>
        </w:rPr>
        <w:t>Obtaining sufficient resources to sustain and enhance a New Zealand Icon</w:t>
      </w:r>
      <w:r w:rsidR="006455D5" w:rsidRPr="006455D5">
        <w:rPr>
          <w:rFonts w:ascii="Century Gothic" w:eastAsia="Times New Roman" w:hAnsi="Century Gothic" w:cs="Helvetica"/>
          <w:color w:val="333333"/>
          <w:sz w:val="18"/>
          <w:szCs w:val="18"/>
          <w:lang w:val="en-US"/>
        </w:rPr>
        <w:t>, including having key volunteers in each our key regions.</w:t>
      </w:r>
    </w:p>
    <w:p w14:paraId="11436D31" w14:textId="77777777" w:rsidR="00A018F4" w:rsidRPr="00A018F4" w:rsidRDefault="00A018F4" w:rsidP="00A018F4">
      <w:pPr>
        <w:rPr>
          <w:lang w:val="en-US"/>
        </w:rPr>
      </w:pPr>
    </w:p>
    <w:sectPr w:rsidR="00A018F4" w:rsidRPr="00A018F4"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2B024" w14:textId="77777777" w:rsidR="007F05DA" w:rsidRDefault="007F05DA" w:rsidP="000B50C0">
      <w:r>
        <w:separator/>
      </w:r>
    </w:p>
  </w:endnote>
  <w:endnote w:type="continuationSeparator" w:id="0">
    <w:p w14:paraId="23C099B0" w14:textId="77777777" w:rsidR="007F05DA" w:rsidRDefault="007F05DA"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DC4CD" w14:textId="77777777" w:rsidR="007F05DA" w:rsidRDefault="007F05DA" w:rsidP="000B50C0">
      <w:r>
        <w:separator/>
      </w:r>
    </w:p>
  </w:footnote>
  <w:footnote w:type="continuationSeparator" w:id="0">
    <w:p w14:paraId="1F642C96" w14:textId="77777777" w:rsidR="007F05DA" w:rsidRDefault="007F05DA"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D242A" w14:textId="47F846D7" w:rsidR="00FD01D7" w:rsidRDefault="00E663E4" w:rsidP="00B523DE">
    <w:pPr>
      <w:pStyle w:val="Header"/>
      <w:spacing w:before="120"/>
    </w:pPr>
    <w:r>
      <w:rPr>
        <w:noProof/>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16A3232E"/>
    <w:multiLevelType w:val="hybridMultilevel"/>
    <w:tmpl w:val="85F22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7"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2"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22"/>
  </w:num>
  <w:num w:numId="3">
    <w:abstractNumId w:val="10"/>
  </w:num>
  <w:num w:numId="4">
    <w:abstractNumId w:val="16"/>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1"/>
  </w:num>
  <w:num w:numId="15">
    <w:abstractNumId w:val="15"/>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2"/>
  </w:num>
  <w:num w:numId="20">
    <w:abstractNumId w:val="17"/>
  </w:num>
  <w:num w:numId="21">
    <w:abstractNumId w:val="1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8"/>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519CB"/>
    <w:rsid w:val="000529F9"/>
    <w:rsid w:val="00054F8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7009"/>
    <w:rsid w:val="00227543"/>
    <w:rsid w:val="00237D2F"/>
    <w:rsid w:val="0024710F"/>
    <w:rsid w:val="00254792"/>
    <w:rsid w:val="00255C84"/>
    <w:rsid w:val="00261E22"/>
    <w:rsid w:val="0027176A"/>
    <w:rsid w:val="0028072F"/>
    <w:rsid w:val="00281DAA"/>
    <w:rsid w:val="00285C2D"/>
    <w:rsid w:val="00287D4B"/>
    <w:rsid w:val="0029199F"/>
    <w:rsid w:val="002A77D0"/>
    <w:rsid w:val="002B17FD"/>
    <w:rsid w:val="002B68CA"/>
    <w:rsid w:val="002B7D5D"/>
    <w:rsid w:val="002D3B0E"/>
    <w:rsid w:val="0031399B"/>
    <w:rsid w:val="00315BA7"/>
    <w:rsid w:val="003169B1"/>
    <w:rsid w:val="00323E30"/>
    <w:rsid w:val="0032460F"/>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455D5"/>
    <w:rsid w:val="0065406D"/>
    <w:rsid w:val="00661C92"/>
    <w:rsid w:val="006B00FA"/>
    <w:rsid w:val="006B739A"/>
    <w:rsid w:val="006C552F"/>
    <w:rsid w:val="006D2F4E"/>
    <w:rsid w:val="006D4586"/>
    <w:rsid w:val="006E35AB"/>
    <w:rsid w:val="006E4CA7"/>
    <w:rsid w:val="00705AEA"/>
    <w:rsid w:val="00706FC6"/>
    <w:rsid w:val="00711BEF"/>
    <w:rsid w:val="00722CB0"/>
    <w:rsid w:val="00743072"/>
    <w:rsid w:val="00757409"/>
    <w:rsid w:val="007713AC"/>
    <w:rsid w:val="007720D4"/>
    <w:rsid w:val="00782212"/>
    <w:rsid w:val="007906DD"/>
    <w:rsid w:val="0079704C"/>
    <w:rsid w:val="007A4C5A"/>
    <w:rsid w:val="007B2671"/>
    <w:rsid w:val="007B6758"/>
    <w:rsid w:val="007D567C"/>
    <w:rsid w:val="007F05DA"/>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678"/>
    <w:rsid w:val="009F6EC9"/>
    <w:rsid w:val="00A002DE"/>
    <w:rsid w:val="00A018F4"/>
    <w:rsid w:val="00A043E1"/>
    <w:rsid w:val="00A06469"/>
    <w:rsid w:val="00A23125"/>
    <w:rsid w:val="00A26CC8"/>
    <w:rsid w:val="00A3065F"/>
    <w:rsid w:val="00A46A44"/>
    <w:rsid w:val="00A6507D"/>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24CF0"/>
    <w:rsid w:val="00C30460"/>
    <w:rsid w:val="00C3084D"/>
    <w:rsid w:val="00C40D47"/>
    <w:rsid w:val="00C4563A"/>
    <w:rsid w:val="00C529ED"/>
    <w:rsid w:val="00C634CB"/>
    <w:rsid w:val="00C768B9"/>
    <w:rsid w:val="00CA1D55"/>
    <w:rsid w:val="00CC008D"/>
    <w:rsid w:val="00CC1B1B"/>
    <w:rsid w:val="00CC54F4"/>
    <w:rsid w:val="00CC778C"/>
    <w:rsid w:val="00CD00DF"/>
    <w:rsid w:val="00CD7919"/>
    <w:rsid w:val="00CE1826"/>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 w:type="character" w:customStyle="1" w:styleId="ListParagraphChar">
    <w:name w:val="List Paragraph Char"/>
    <w:link w:val="ListParagraph"/>
    <w:uiPriority w:val="34"/>
    <w:locked/>
    <w:rsid w:val="00A018F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738592">
      <w:bodyDiv w:val="1"/>
      <w:marLeft w:val="0"/>
      <w:marRight w:val="0"/>
      <w:marTop w:val="0"/>
      <w:marBottom w:val="0"/>
      <w:divBdr>
        <w:top w:val="none" w:sz="0" w:space="0" w:color="auto"/>
        <w:left w:val="none" w:sz="0" w:space="0" w:color="auto"/>
        <w:bottom w:val="none" w:sz="0" w:space="0" w:color="auto"/>
        <w:right w:val="none" w:sz="0" w:space="0" w:color="auto"/>
      </w:divBdr>
    </w:div>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A110CF-0336-4FFF-A487-BC9FBEA97BD4}">
  <ds:schemaRefs>
    <ds:schemaRef ds:uri="http://schemas.openxmlformats.org/officeDocument/2006/bibliography"/>
  </ds:schemaRefs>
</ds:datastoreItem>
</file>

<file path=customXml/itemProps4.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5.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Glenda Harding</cp:lastModifiedBy>
  <cp:revision>2</cp:revision>
  <dcterms:created xsi:type="dcterms:W3CDTF">2021-03-03T22:48:00Z</dcterms:created>
  <dcterms:modified xsi:type="dcterms:W3CDTF">2021-03-03T22:48:00Z</dcterms:modified>
</cp:coreProperties>
</file>