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4F7FFB" w:rsidRDefault="00B31FF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What does real choice look like?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B31FF5">
        <w:trPr>
          <w:trHeight w:val="993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862E2D" w:rsidRDefault="00862E2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For people on bikes….</w:t>
            </w:r>
          </w:p>
          <w:p w:rsidR="00862E2D" w:rsidRDefault="00862E2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862E2D" w:rsidRDefault="00B31F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In the age of our transportation renaissance where we are turning our attention to a multi-modal approach what does real choice </w:t>
            </w:r>
            <w:proofErr w:type="gramStart"/>
            <w:r>
              <w:rPr>
                <w:rFonts w:ascii="Graphik Regular" w:hAnsi="Graphik Regular" w:cs="Circular Std Book"/>
                <w:sz w:val="22"/>
                <w:szCs w:val="22"/>
              </w:rPr>
              <w:t>actually look</w:t>
            </w:r>
            <w:proofErr w:type="gramEnd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like? Equity in transport is of course about provision 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>for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active modes and public transport</w:t>
            </w:r>
            <w:r w:rsidR="004863E3">
              <w:rPr>
                <w:rFonts w:ascii="Graphik Regular" w:hAnsi="Graphik Regular" w:cs="Circular Std Book"/>
                <w:sz w:val="22"/>
                <w:szCs w:val="22"/>
              </w:rPr>
              <w:t>. As such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the look and feel of th</w:t>
            </w:r>
            <w:r w:rsidR="004863E3">
              <w:rPr>
                <w:rFonts w:ascii="Graphik Regular" w:hAnsi="Graphik Regular" w:cs="Circular Std Book"/>
                <w:sz w:val="22"/>
                <w:szCs w:val="22"/>
              </w:rPr>
              <w:t>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infrastructure we design for those</w:t>
            </w:r>
            <w:bookmarkStart w:id="0" w:name="_GoBack"/>
            <w:bookmarkEnd w:id="0"/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modes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and how it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connect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s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through neighbour</w:t>
            </w:r>
            <w:r w:rsidR="00692E54">
              <w:rPr>
                <w:rFonts w:ascii="Graphik Regular" w:hAnsi="Graphik Regular" w:cs="Circular Std Book"/>
                <w:sz w:val="22"/>
                <w:szCs w:val="22"/>
              </w:rPr>
              <w:t>hoods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to 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schools, to town centres, to employment precincts, to recreational facilities will influence how people see that mode as a legitimate choice. </w:t>
            </w:r>
          </w:p>
          <w:p w:rsidR="008061D0" w:rsidRDefault="008061D0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427AFA" w:rsidRDefault="00427AFA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Focusing on ou</w:t>
            </w:r>
            <w:r w:rsidR="00862E2D">
              <w:rPr>
                <w:rFonts w:ascii="Graphik Regular" w:hAnsi="Graphik Regular" w:cs="Circular Std Book"/>
                <w:sz w:val="22"/>
                <w:szCs w:val="22"/>
              </w:rPr>
              <w:t>r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most equitable forms of transport:</w:t>
            </w:r>
          </w:p>
          <w:p w:rsidR="00862E2D" w:rsidRDefault="00B31FF5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Is the provision of a </w:t>
            </w:r>
            <w:r w:rsidR="00427AFA">
              <w:rPr>
                <w:rFonts w:ascii="Graphik Regular" w:hAnsi="Graphik Regular" w:cs="Circular Std Book"/>
                <w:sz w:val="22"/>
                <w:szCs w:val="22"/>
              </w:rPr>
              <w:t xml:space="preserve">on road cycle lane that is shared with people walking at intersections providing real transport choice? </w:t>
            </w:r>
            <w:r w:rsidR="00862E2D">
              <w:rPr>
                <w:rFonts w:ascii="Graphik Regular" w:hAnsi="Graphik Regular" w:cs="Circular Std Book"/>
                <w:sz w:val="22"/>
                <w:szCs w:val="22"/>
              </w:rPr>
              <w:t>What about cycle lanes with a painted buffer?</w:t>
            </w:r>
          </w:p>
          <w:p w:rsidR="00427AFA" w:rsidRDefault="00427AFA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Are shared paths along busy roads with driveways providing real transport choice? Do shared paths provide real transport choice at all?</w:t>
            </w:r>
          </w:p>
          <w:p w:rsidR="00427AFA" w:rsidRDefault="00862E2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How about a</w:t>
            </w:r>
            <w:r w:rsidR="00427AFA">
              <w:rPr>
                <w:rFonts w:ascii="Graphik Regular" w:hAnsi="Graphik Regular" w:cs="Circular Std Book"/>
                <w:sz w:val="22"/>
                <w:szCs w:val="22"/>
              </w:rPr>
              <w:t xml:space="preserve"> cycle lane with concrete separators next to a busy road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with a lot of heavy vehicles? </w:t>
            </w:r>
          </w:p>
          <w:p w:rsidR="00862E2D" w:rsidRDefault="00862E2D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657112" w:rsidRDefault="00427AFA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Are any of these solutions building an equitable transport system – I would suggest no</w:t>
            </w:r>
            <w:r w:rsidR="00692E54">
              <w:rPr>
                <w:rFonts w:ascii="Graphik Regular" w:hAnsi="Graphik Regular" w:cs="Circular Std Book"/>
                <w:sz w:val="22"/>
                <w:szCs w:val="22"/>
              </w:rPr>
              <w:t>t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. </w:t>
            </w:r>
            <w:r w:rsidR="00862E2D">
              <w:rPr>
                <w:rFonts w:ascii="Graphik Regular" w:hAnsi="Graphik Regular" w:cs="Circular Std Book"/>
                <w:sz w:val="22"/>
                <w:szCs w:val="22"/>
              </w:rPr>
              <w:t>Okay then what does real choice for people walking and people on bikes look like?</w:t>
            </w:r>
          </w:p>
          <w:p w:rsidR="008061D0" w:rsidRDefault="008061D0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862E2D" w:rsidRDefault="00D45407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It’s</w:t>
            </w:r>
            <w:r w:rsidR="00862E2D">
              <w:rPr>
                <w:rFonts w:ascii="Graphik Regular" w:hAnsi="Graphik Regular" w:cs="Circular Std Book"/>
                <w:sz w:val="22"/>
                <w:szCs w:val="22"/>
              </w:rPr>
              <w:t xml:space="preserve"> the ‘vibe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of a thing’. Do you have a precedent that supports this ‘vibe’? </w:t>
            </w:r>
          </w:p>
          <w:p w:rsidR="008061D0" w:rsidRDefault="008061D0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8061D0" w:rsidRDefault="00D45407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Yes,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it’s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primarily 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>about integration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, legibility,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and designing for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‘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>feeling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’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as well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as function.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The</w:t>
            </w:r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proofErr w:type="spellStart"/>
            <w:r w:rsidR="008061D0">
              <w:rPr>
                <w:rFonts w:ascii="Graphik Regular" w:hAnsi="Graphik Regular" w:cs="Circular Std Book"/>
                <w:sz w:val="22"/>
                <w:szCs w:val="22"/>
              </w:rPr>
              <w:t>Auranga</w:t>
            </w:r>
            <w:proofErr w:type="spellEnd"/>
            <w:r w:rsidR="008061D0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development in Drury west demonstrates how we can do this </w:t>
            </w:r>
            <w:r w:rsidR="007B78DA">
              <w:rPr>
                <w:rFonts w:ascii="Graphik Regular" w:hAnsi="Graphik Regular" w:cs="Circular Std Book"/>
                <w:sz w:val="22"/>
                <w:szCs w:val="22"/>
              </w:rPr>
              <w:t xml:space="preserve">by creating legible, comfortable space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for people walking and people on bikes as well as our new-found friend ‘micro-mobility’. </w:t>
            </w:r>
          </w:p>
          <w:p w:rsidR="00D45407" w:rsidRDefault="00D45407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:rsidR="00D45407" w:rsidRPr="00AC2F42" w:rsidRDefault="00D45407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If we truly think equity in transport is something we want and </w:t>
            </w:r>
            <w:r w:rsidR="00692E54">
              <w:rPr>
                <w:rFonts w:ascii="Graphik Regular" w:hAnsi="Graphik Regular" w:cs="Circular Std Book"/>
                <w:sz w:val="22"/>
                <w:szCs w:val="22"/>
              </w:rPr>
              <w:t>value,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then we need to design for ‘real choice’ and perhaps that require a recalibration of priority on </w:t>
            </w:r>
            <w:r w:rsidR="00692E54">
              <w:rPr>
                <w:rFonts w:ascii="Graphik Regular" w:hAnsi="Graphik Regular" w:cs="Circular Std Book"/>
                <w:sz w:val="22"/>
                <w:szCs w:val="22"/>
              </w:rPr>
              <w:t>our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streets.</w:t>
            </w:r>
          </w:p>
        </w:tc>
      </w:tr>
    </w:tbl>
    <w:p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862E2D" w:rsidRDefault="00862E2D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862E2D" w:rsidRPr="00657112" w:rsidRDefault="00862E2D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862E2D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389" w:rsidRDefault="00E26389">
      <w:r>
        <w:separator/>
      </w:r>
    </w:p>
  </w:endnote>
  <w:endnote w:type="continuationSeparator" w:id="0">
    <w:p w:rsidR="00E26389" w:rsidRDefault="00E2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389" w:rsidRDefault="00E26389">
      <w:r>
        <w:separator/>
      </w:r>
    </w:p>
  </w:footnote>
  <w:footnote w:type="continuationSeparator" w:id="0">
    <w:p w:rsidR="00E26389" w:rsidRDefault="00E2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9.75pt;height:83.25pt" o:bullet="t">
        <v:imagedata r:id="rId1" o:title="Bullet Point"/>
      </v:shape>
    </w:pict>
  </w:numPicBullet>
  <w:numPicBullet w:numPicBulletId="1">
    <w:pict>
      <v:shape id="_x0000_i1052" type="#_x0000_t75" style="width:177pt;height:169.5pt" o:bullet="t">
        <v:imagedata r:id="rId2" o:title="Conf-Icon"/>
      </v:shape>
    </w:pict>
  </w:numPicBullet>
  <w:numPicBullet w:numPicBulletId="2">
    <w:pict>
      <v:shape id="_x0000_i1053" type="#_x0000_t75" style="width:151.5pt;height:144.75pt" o:bullet="t">
        <v:imagedata r:id="rId3" o:title="Conf-Icon"/>
      </v:shape>
    </w:pict>
  </w:numPicBullet>
  <w:numPicBullet w:numPicBulletId="3">
    <w:pict>
      <v:shape id="_x0000_i1054" type="#_x0000_t75" style="width:122.25pt;height:112.5pt" o:bullet="t">
        <v:imagedata r:id="rId4" o:title="Bullet Point"/>
      </v:shape>
    </w:pict>
  </w:numPicBullet>
  <w:numPicBullet w:numPicBulletId="4">
    <w:pict>
      <v:shape id="_x0000_i1055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A061F"/>
    <w:rsid w:val="003E27EF"/>
    <w:rsid w:val="00424CC0"/>
    <w:rsid w:val="00426508"/>
    <w:rsid w:val="00427AFA"/>
    <w:rsid w:val="00442674"/>
    <w:rsid w:val="00451684"/>
    <w:rsid w:val="004529D4"/>
    <w:rsid w:val="00455673"/>
    <w:rsid w:val="00457E30"/>
    <w:rsid w:val="00474E47"/>
    <w:rsid w:val="0048238B"/>
    <w:rsid w:val="004863E3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2E54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78DA"/>
    <w:rsid w:val="007D1481"/>
    <w:rsid w:val="007E7468"/>
    <w:rsid w:val="007F5CD2"/>
    <w:rsid w:val="008061D0"/>
    <w:rsid w:val="0081400B"/>
    <w:rsid w:val="00817D3F"/>
    <w:rsid w:val="00831EAC"/>
    <w:rsid w:val="00846CE2"/>
    <w:rsid w:val="00851929"/>
    <w:rsid w:val="00862192"/>
    <w:rsid w:val="00862E2D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1FF5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45407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6389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A9C11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9C451-8108-4598-9B22-0DF4911D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1750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Ben Frost</cp:lastModifiedBy>
  <cp:revision>4</cp:revision>
  <cp:lastPrinted>2017-09-24T23:53:00Z</cp:lastPrinted>
  <dcterms:created xsi:type="dcterms:W3CDTF">2019-09-01T21:03:00Z</dcterms:created>
  <dcterms:modified xsi:type="dcterms:W3CDTF">2019-09-03T00:22:00Z</dcterms:modified>
</cp:coreProperties>
</file>