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3A3014BD" w:rsidR="00714297" w:rsidRPr="00F37C39" w:rsidRDefault="00285EE2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Conversations on post-</w:t>
      </w:r>
      <w:proofErr w:type="spellStart"/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covid</w:t>
      </w:r>
      <w:proofErr w:type="spellEnd"/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transport futures</w:t>
      </w:r>
      <w:r w:rsidR="00C93D31" w:rsidRPr="00F37C39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</w:t>
      </w:r>
    </w:p>
    <w:p w14:paraId="621716A6" w14:textId="77777777" w:rsidR="00DF7B85" w:rsidRPr="00DA3906" w:rsidRDefault="00DF7B85" w:rsidP="00273B13">
      <w:pPr>
        <w:ind w:left="45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15D3F77" w14:textId="63FA43ED" w:rsidR="007B635C" w:rsidRPr="00D232CA" w:rsidRDefault="00D232CA" w:rsidP="00E73FE4">
            <w:pPr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</w:pPr>
            <w:r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W</w:t>
            </w:r>
            <w:r w:rsidR="00285EE2"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hen</w:t>
            </w:r>
            <w:r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change is the only constant, </w:t>
            </w:r>
            <w:proofErr w:type="spellStart"/>
            <w:r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GHD</w:t>
            </w:r>
            <w:proofErr w:type="spellEnd"/>
            <w:r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</w:t>
            </w:r>
            <w:r w:rsidR="00285EE2"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share</w:t>
            </w:r>
            <w:r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s five</w:t>
            </w:r>
            <w:r w:rsidR="00285EE2"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highlights from </w:t>
            </w:r>
            <w:r w:rsidR="00C615E5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a</w:t>
            </w:r>
            <w:r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discussion </w:t>
            </w:r>
            <w:r w:rsidR="00C615E5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we recently facilitated between </w:t>
            </w:r>
            <w:r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Australasian public sector leaders, on transport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’s post-</w:t>
            </w:r>
            <w:proofErr w:type="spellStart"/>
            <w:r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Covid</w:t>
            </w:r>
            <w:proofErr w:type="spellEnd"/>
            <w:r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-19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</w:t>
            </w:r>
            <w:r w:rsidR="00C615E5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recovery and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future</w:t>
            </w:r>
            <w:r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.  </w:t>
            </w:r>
          </w:p>
          <w:p w14:paraId="62981B18" w14:textId="037A9123" w:rsidR="0034487B" w:rsidRPr="00D232CA" w:rsidRDefault="0034487B" w:rsidP="00E73FE4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  <w:p w14:paraId="1288BD39" w14:textId="735974E8" w:rsidR="00750B34" w:rsidRPr="00D232CA" w:rsidRDefault="009F25FC" w:rsidP="0033142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The t</w:t>
            </w:r>
            <w:r w:rsidR="0061438F"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ransport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industry is driven by supply </w:t>
            </w:r>
            <w:r w:rsidR="00285EE2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– As 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>champions for change</w:t>
            </w:r>
            <w:r w:rsidR="00285EE2" w:rsidRPr="00D232CA">
              <w:rPr>
                <w:rFonts w:ascii="Arial" w:hAnsi="Arial" w:cs="Arial"/>
                <w:sz w:val="20"/>
                <w:szCs w:val="20"/>
                <w:lang w:val="en-NZ"/>
              </w:rPr>
              <w:t>, we are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 inherently</w:t>
            </w:r>
            <w:r w:rsidR="00285EE2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 in the supply business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  <w:r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>Rather than responding to demand, i</w:t>
            </w:r>
            <w:r w:rsidR="00285EE2" w:rsidRPr="00D232CA">
              <w:rPr>
                <w:rFonts w:ascii="Arial" w:hAnsi="Arial" w:cs="Arial"/>
                <w:sz w:val="20"/>
                <w:szCs w:val="20"/>
                <w:lang w:val="en-NZ"/>
              </w:rPr>
              <w:t>t is important for us to lead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and make decisions to drive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 the change we want to see for our transport futures. </w:t>
            </w:r>
            <w:r w:rsidR="00750B34" w:rsidRPr="00D232CA">
              <w:rPr>
                <w:rFonts w:ascii="Arial" w:hAnsi="Arial" w:cs="Arial"/>
                <w:sz w:val="20"/>
                <w:szCs w:val="20"/>
                <w:lang w:val="en-NZ"/>
              </w:rPr>
              <w:br/>
            </w:r>
          </w:p>
          <w:p w14:paraId="08A2E477" w14:textId="462860A7" w:rsidR="00750B34" w:rsidRPr="00D232CA" w:rsidRDefault="009F25FC" w:rsidP="00A1699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M</w:t>
            </w:r>
            <w:r w:rsidR="0061438F"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icro-mobility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C615E5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has the potential to</w:t>
            </w:r>
            <w:r w:rsidR="0061438F" w:rsidRPr="009F25FC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transform</w:t>
            </w:r>
            <w:r w:rsidR="00C615E5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how we travel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- </w:t>
            </w:r>
            <w:r w:rsidR="00750B34" w:rsidRPr="00D232CA">
              <w:rPr>
                <w:rFonts w:ascii="Arial" w:hAnsi="Arial" w:cs="Arial"/>
                <w:sz w:val="20"/>
                <w:szCs w:val="20"/>
                <w:lang w:val="en-NZ"/>
              </w:rPr>
              <w:t>If we plan our networks well, electric mobility systems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, including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NZ"/>
              </w:rPr>
              <w:t>ebikes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and scooters,</w:t>
            </w:r>
            <w:r w:rsidR="00750B34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 can deliver significant strides in making our transport systems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more</w:t>
            </w:r>
            <w:r w:rsidR="00750B34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user-friendly and </w:t>
            </w:r>
            <w:r w:rsidRPr="00D232CA">
              <w:rPr>
                <w:rFonts w:ascii="Arial" w:hAnsi="Arial" w:cs="Arial"/>
                <w:sz w:val="20"/>
                <w:szCs w:val="20"/>
                <w:lang w:val="en-NZ"/>
              </w:rPr>
              <w:t>sustainable</w:t>
            </w:r>
            <w:r w:rsidR="00750B34" w:rsidRPr="00D232CA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  <w:r w:rsidR="00750B34" w:rsidRPr="00D232CA">
              <w:rPr>
                <w:rFonts w:ascii="Arial" w:hAnsi="Arial" w:cs="Arial"/>
                <w:sz w:val="20"/>
                <w:szCs w:val="20"/>
                <w:lang w:val="en-NZ"/>
              </w:rPr>
              <w:br/>
            </w:r>
          </w:p>
          <w:p w14:paraId="068ED9F8" w14:textId="14FE6F43" w:rsidR="0061438F" w:rsidRPr="00D232CA" w:rsidRDefault="00750B34" w:rsidP="005179C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D232CA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Accessibility feeds proximity</w:t>
            </w:r>
            <w:r w:rsidR="009F25FC">
              <w:rPr>
                <w:rFonts w:ascii="Arial" w:hAnsi="Arial" w:cs="Arial"/>
                <w:sz w:val="20"/>
                <w:szCs w:val="20"/>
                <w:lang w:val="en-NZ"/>
              </w:rPr>
              <w:t xml:space="preserve"> – Accessibility can be improved </w:t>
            </w:r>
            <w:r w:rsidRPr="00D232CA">
              <w:rPr>
                <w:rFonts w:ascii="Arial" w:hAnsi="Arial" w:cs="Arial"/>
                <w:sz w:val="20"/>
                <w:szCs w:val="20"/>
                <w:lang w:val="en-NZ"/>
              </w:rPr>
              <w:t>through</w:t>
            </w:r>
            <w:r w:rsidR="009F25FC">
              <w:rPr>
                <w:rFonts w:ascii="Arial" w:hAnsi="Arial" w:cs="Arial"/>
                <w:sz w:val="20"/>
                <w:szCs w:val="20"/>
                <w:lang w:val="en-NZ"/>
              </w:rPr>
              <w:t xml:space="preserve"> collaborative p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hysical, </w:t>
            </w:r>
            <w:r w:rsidR="009F25FC">
              <w:rPr>
                <w:rFonts w:ascii="Arial" w:hAnsi="Arial" w:cs="Arial"/>
                <w:sz w:val="20"/>
                <w:szCs w:val="20"/>
                <w:lang w:val="en-NZ"/>
              </w:rPr>
              <w:t>s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>patial</w:t>
            </w:r>
            <w:r w:rsidR="009F25FC">
              <w:rPr>
                <w:rFonts w:ascii="Arial" w:hAnsi="Arial" w:cs="Arial"/>
                <w:sz w:val="20"/>
                <w:szCs w:val="20"/>
                <w:lang w:val="en-NZ"/>
              </w:rPr>
              <w:t xml:space="preserve">, 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and </w:t>
            </w:r>
            <w:r w:rsidR="009F25FC">
              <w:rPr>
                <w:rFonts w:ascii="Arial" w:hAnsi="Arial" w:cs="Arial"/>
                <w:sz w:val="20"/>
                <w:szCs w:val="20"/>
                <w:lang w:val="en-NZ"/>
              </w:rPr>
              <w:t>d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>igital elements</w:t>
            </w:r>
            <w:r w:rsidR="00322888">
              <w:rPr>
                <w:rFonts w:ascii="Arial" w:hAnsi="Arial" w:cs="Arial"/>
                <w:sz w:val="20"/>
                <w:szCs w:val="20"/>
                <w:lang w:val="en-NZ"/>
              </w:rPr>
              <w:t>. When planned well, these elements can</w:t>
            </w:r>
            <w:r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 work together </w:t>
            </w:r>
            <w:r w:rsidR="009F25FC">
              <w:rPr>
                <w:rFonts w:ascii="Arial" w:hAnsi="Arial" w:cs="Arial"/>
                <w:sz w:val="20"/>
                <w:szCs w:val="20"/>
                <w:lang w:val="en-NZ"/>
              </w:rPr>
              <w:t>to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 build a </w:t>
            </w:r>
            <w:r w:rsidR="00322888">
              <w:rPr>
                <w:rFonts w:ascii="Arial" w:hAnsi="Arial" w:cs="Arial"/>
                <w:sz w:val="20"/>
                <w:szCs w:val="20"/>
                <w:lang w:val="en-NZ"/>
              </w:rPr>
              <w:t xml:space="preserve">highly accessible 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>transport system</w:t>
            </w:r>
            <w:r w:rsidR="00322888">
              <w:rPr>
                <w:rFonts w:ascii="Arial" w:hAnsi="Arial" w:cs="Arial"/>
                <w:sz w:val="20"/>
                <w:szCs w:val="20"/>
                <w:lang w:val="en-NZ"/>
              </w:rPr>
              <w:t xml:space="preserve"> that gets everyone where they need to be, regardless of where they are coming from. </w:t>
            </w:r>
            <w:r w:rsidR="0061438F" w:rsidRPr="00D232CA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00D232CA">
              <w:rPr>
                <w:rFonts w:ascii="Arial" w:hAnsi="Arial" w:cs="Arial"/>
                <w:sz w:val="20"/>
                <w:szCs w:val="20"/>
                <w:lang w:val="en-NZ"/>
              </w:rPr>
              <w:br/>
            </w:r>
          </w:p>
          <w:p w14:paraId="3139821D" w14:textId="0BE0438F" w:rsidR="0061438F" w:rsidRPr="005179C9" w:rsidRDefault="00750B34" w:rsidP="00A13FE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NZ"/>
              </w:rPr>
            </w:pPr>
            <w:r w:rsidRPr="005179C9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Without purposeful change, </w:t>
            </w:r>
            <w:r w:rsidR="00273B13" w:rsidRPr="005179C9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short</w:t>
            </w:r>
            <w:r w:rsidR="005179C9" w:rsidRPr="005179C9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-</w:t>
            </w:r>
            <w:r w:rsidR="00273B13" w:rsidRPr="005179C9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term gains will be temporary</w:t>
            </w:r>
            <w:r w:rsidR="00273B13" w:rsidRPr="005179C9">
              <w:rPr>
                <w:rFonts w:ascii="Arial" w:hAnsi="Arial" w:cs="Arial"/>
                <w:sz w:val="20"/>
                <w:szCs w:val="20"/>
                <w:lang w:val="en-NZ"/>
              </w:rPr>
              <w:t xml:space="preserve"> – </w:t>
            </w:r>
            <w:r w:rsidR="00322888">
              <w:rPr>
                <w:rFonts w:ascii="Arial" w:hAnsi="Arial" w:cs="Arial"/>
                <w:sz w:val="20"/>
                <w:szCs w:val="20"/>
                <w:lang w:val="en-NZ"/>
              </w:rPr>
              <w:t xml:space="preserve">Lockdown created vibrancy and increased </w:t>
            </w:r>
            <w:r w:rsidR="00273B13" w:rsidRPr="005179C9">
              <w:rPr>
                <w:rFonts w:ascii="Arial" w:hAnsi="Arial" w:cs="Arial"/>
                <w:sz w:val="20"/>
                <w:szCs w:val="20"/>
                <w:lang w:val="en-NZ"/>
              </w:rPr>
              <w:t>uptake in active travel, but evidence</w:t>
            </w:r>
            <w:r w:rsidR="005179C9" w:rsidRPr="005179C9">
              <w:rPr>
                <w:rFonts w:ascii="Arial" w:hAnsi="Arial" w:cs="Arial"/>
                <w:sz w:val="20"/>
                <w:szCs w:val="20"/>
                <w:lang w:val="en-NZ"/>
              </w:rPr>
              <w:t xml:space="preserve"> suggests that </w:t>
            </w:r>
            <w:r w:rsidR="00322888" w:rsidRPr="005179C9">
              <w:rPr>
                <w:rFonts w:ascii="Arial" w:hAnsi="Arial" w:cs="Arial"/>
                <w:sz w:val="20"/>
                <w:szCs w:val="20"/>
                <w:lang w:val="en-NZ"/>
              </w:rPr>
              <w:t>without purposeful change to our urban and transport infrastructure</w:t>
            </w:r>
            <w:r w:rsidR="00322888">
              <w:rPr>
                <w:rFonts w:ascii="Arial" w:hAnsi="Arial" w:cs="Arial"/>
                <w:sz w:val="20"/>
                <w:szCs w:val="20"/>
                <w:lang w:val="en-NZ"/>
              </w:rPr>
              <w:t>,</w:t>
            </w:r>
            <w:r w:rsidR="00322888" w:rsidRPr="005179C9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5179C9" w:rsidRPr="005179C9">
              <w:rPr>
                <w:rFonts w:ascii="Arial" w:hAnsi="Arial" w:cs="Arial"/>
                <w:sz w:val="20"/>
                <w:szCs w:val="20"/>
                <w:lang w:val="en-NZ"/>
              </w:rPr>
              <w:t>th</w:t>
            </w:r>
            <w:r w:rsidR="00322888">
              <w:rPr>
                <w:rFonts w:ascii="Arial" w:hAnsi="Arial" w:cs="Arial"/>
                <w:sz w:val="20"/>
                <w:szCs w:val="20"/>
                <w:lang w:val="en-NZ"/>
              </w:rPr>
              <w:t>ese gains</w:t>
            </w:r>
            <w:r w:rsidR="005179C9" w:rsidRPr="005179C9">
              <w:rPr>
                <w:rFonts w:ascii="Arial" w:hAnsi="Arial" w:cs="Arial"/>
                <w:sz w:val="20"/>
                <w:szCs w:val="20"/>
                <w:lang w:val="en-NZ"/>
              </w:rPr>
              <w:t xml:space="preserve"> will quickly </w:t>
            </w:r>
            <w:proofErr w:type="gramStart"/>
            <w:r w:rsidR="00273B13" w:rsidRPr="005179C9">
              <w:rPr>
                <w:rFonts w:ascii="Arial" w:hAnsi="Arial" w:cs="Arial"/>
                <w:sz w:val="20"/>
                <w:szCs w:val="20"/>
                <w:lang w:val="en-NZ"/>
              </w:rPr>
              <w:t>revert back</w:t>
            </w:r>
            <w:proofErr w:type="gramEnd"/>
            <w:r w:rsidR="00273B13" w:rsidRPr="005179C9">
              <w:rPr>
                <w:rFonts w:ascii="Arial" w:hAnsi="Arial" w:cs="Arial"/>
                <w:sz w:val="20"/>
                <w:szCs w:val="20"/>
                <w:lang w:val="en-NZ"/>
              </w:rPr>
              <w:t xml:space="preserve"> to pre-</w:t>
            </w:r>
            <w:proofErr w:type="spellStart"/>
            <w:r w:rsidR="005179C9" w:rsidRPr="005179C9">
              <w:rPr>
                <w:rFonts w:ascii="Arial" w:hAnsi="Arial" w:cs="Arial"/>
                <w:sz w:val="20"/>
                <w:szCs w:val="20"/>
                <w:lang w:val="en-NZ"/>
              </w:rPr>
              <w:t>C</w:t>
            </w:r>
            <w:r w:rsidR="00273B13" w:rsidRPr="005179C9">
              <w:rPr>
                <w:rFonts w:ascii="Arial" w:hAnsi="Arial" w:cs="Arial"/>
                <w:sz w:val="20"/>
                <w:szCs w:val="20"/>
                <w:lang w:val="en-NZ"/>
              </w:rPr>
              <w:t>ovid</w:t>
            </w:r>
            <w:proofErr w:type="spellEnd"/>
            <w:r w:rsidR="00273B13" w:rsidRPr="005179C9">
              <w:rPr>
                <w:rFonts w:ascii="Arial" w:hAnsi="Arial" w:cs="Arial"/>
                <w:sz w:val="20"/>
                <w:szCs w:val="20"/>
                <w:lang w:val="en-NZ"/>
              </w:rPr>
              <w:t xml:space="preserve"> conditions</w:t>
            </w:r>
            <w:r w:rsidR="00C615E5">
              <w:rPr>
                <w:rFonts w:ascii="Arial" w:hAnsi="Arial" w:cs="Arial"/>
                <w:sz w:val="20"/>
                <w:szCs w:val="20"/>
                <w:lang w:val="en-NZ"/>
              </w:rPr>
              <w:t xml:space="preserve">. </w:t>
            </w:r>
            <w:r w:rsidR="00C615E5" w:rsidRPr="00322888">
              <w:rPr>
                <w:rFonts w:ascii="Arial" w:hAnsi="Arial" w:cs="Arial"/>
                <w:sz w:val="20"/>
                <w:szCs w:val="20"/>
                <w:lang w:val="en-NZ"/>
              </w:rPr>
              <w:t>As</w:t>
            </w:r>
            <w:r w:rsidR="00322888">
              <w:rPr>
                <w:rFonts w:ascii="Arial" w:hAnsi="Arial" w:cs="Arial"/>
                <w:sz w:val="20"/>
                <w:szCs w:val="20"/>
                <w:lang w:val="en-NZ"/>
              </w:rPr>
              <w:t xml:space="preserve"> the shapers of cities,</w:t>
            </w:r>
            <w:r w:rsidR="00C615E5" w:rsidRPr="00322888">
              <w:rPr>
                <w:rFonts w:ascii="Arial" w:hAnsi="Arial" w:cs="Arial"/>
                <w:sz w:val="20"/>
                <w:szCs w:val="20"/>
                <w:lang w:val="en-NZ"/>
              </w:rPr>
              <w:t xml:space="preserve"> transport professionals</w:t>
            </w:r>
            <w:r w:rsidR="00322888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C615E5" w:rsidRPr="00322888">
              <w:rPr>
                <w:rFonts w:ascii="Arial" w:hAnsi="Arial" w:cs="Arial"/>
                <w:sz w:val="20"/>
                <w:szCs w:val="20"/>
                <w:lang w:val="en-NZ"/>
              </w:rPr>
              <w:t>need to plan for long-term, sustainable solutions.</w:t>
            </w:r>
            <w:r w:rsidR="00C615E5">
              <w:rPr>
                <w:rFonts w:ascii="Arial" w:hAnsi="Arial" w:cs="Arial"/>
                <w:sz w:val="20"/>
                <w:szCs w:val="20"/>
                <w:lang w:val="en-NZ"/>
              </w:rPr>
              <w:t xml:space="preserve">  </w:t>
            </w:r>
          </w:p>
          <w:p w14:paraId="71412FF5" w14:textId="77777777" w:rsidR="005179C9" w:rsidRPr="005179C9" w:rsidRDefault="005179C9" w:rsidP="005179C9">
            <w:pPr>
              <w:pStyle w:val="ListParagraph"/>
              <w:rPr>
                <w:rFonts w:asciiTheme="minorHAnsi" w:hAnsiTheme="minorHAnsi" w:cstheme="minorHAnsi"/>
                <w:lang w:val="en-NZ"/>
              </w:rPr>
            </w:pPr>
          </w:p>
          <w:p w14:paraId="116DEA7B" w14:textId="3D6D3F8D" w:rsidR="005179C9" w:rsidRPr="005179C9" w:rsidRDefault="005179C9" w:rsidP="005179C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5179C9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Never let a good crisis go to waste</w:t>
            </w:r>
            <w:r w:rsidRPr="005179C9">
              <w:rPr>
                <w:rFonts w:ascii="Arial" w:hAnsi="Arial" w:cs="Arial"/>
                <w:sz w:val="20"/>
                <w:szCs w:val="20"/>
                <w:lang w:val="en-NZ"/>
              </w:rPr>
              <w:t xml:space="preserve"> – </w:t>
            </w:r>
            <w:proofErr w:type="spellStart"/>
            <w:r w:rsidRPr="005179C9">
              <w:rPr>
                <w:rFonts w:ascii="Arial" w:hAnsi="Arial" w:cs="Arial"/>
                <w:sz w:val="20"/>
                <w:szCs w:val="20"/>
                <w:lang w:val="en-NZ"/>
              </w:rPr>
              <w:t>Covid</w:t>
            </w:r>
            <w:proofErr w:type="spellEnd"/>
            <w:r w:rsidRPr="005179C9">
              <w:rPr>
                <w:rFonts w:ascii="Arial" w:hAnsi="Arial" w:cs="Arial"/>
                <w:sz w:val="20"/>
                <w:szCs w:val="20"/>
                <w:lang w:val="en-NZ"/>
              </w:rPr>
              <w:t xml:space="preserve"> has provided us the opportunity to bring about transformational change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. L</w:t>
            </w:r>
            <w:r w:rsidRPr="005179C9">
              <w:rPr>
                <w:rFonts w:ascii="Arial" w:hAnsi="Arial" w:cs="Arial"/>
                <w:sz w:val="20"/>
                <w:szCs w:val="20"/>
                <w:lang w:val="en-NZ"/>
              </w:rPr>
              <w:t xml:space="preserve">et’s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take advantage of this </w:t>
            </w:r>
            <w:r w:rsidRPr="005179C9">
              <w:rPr>
                <w:rFonts w:ascii="Arial" w:hAnsi="Arial" w:cs="Arial"/>
                <w:sz w:val="20"/>
                <w:szCs w:val="20"/>
                <w:lang w:val="en-NZ"/>
              </w:rPr>
              <w:t>opportunity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,</w:t>
            </w:r>
            <w:r w:rsidRPr="005179C9">
              <w:rPr>
                <w:rFonts w:ascii="Arial" w:hAnsi="Arial" w:cs="Arial"/>
                <w:sz w:val="20"/>
                <w:szCs w:val="20"/>
                <w:lang w:val="en-NZ"/>
              </w:rPr>
              <w:t xml:space="preserve"> to provide long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-</w:t>
            </w:r>
            <w:r w:rsidRPr="005179C9">
              <w:rPr>
                <w:rFonts w:ascii="Arial" w:hAnsi="Arial" w:cs="Arial"/>
                <w:sz w:val="20"/>
                <w:szCs w:val="20"/>
                <w:lang w:val="en-NZ"/>
              </w:rPr>
              <w:t>term transformation in how we live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,</w:t>
            </w:r>
            <w:r w:rsidRPr="005179C9">
              <w:rPr>
                <w:rFonts w:ascii="Arial" w:hAnsi="Arial" w:cs="Arial"/>
                <w:sz w:val="20"/>
                <w:szCs w:val="20"/>
                <w:lang w:val="en-NZ"/>
              </w:rPr>
              <w:t xml:space="preserve"> work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, </w:t>
            </w:r>
            <w:r w:rsidRPr="005179C9">
              <w:rPr>
                <w:rFonts w:ascii="Arial" w:hAnsi="Arial" w:cs="Arial"/>
                <w:sz w:val="20"/>
                <w:szCs w:val="20"/>
                <w:lang w:val="en-NZ"/>
              </w:rPr>
              <w:t>and play.</w:t>
            </w:r>
          </w:p>
          <w:p w14:paraId="1793E8CA" w14:textId="68354666" w:rsidR="0061438F" w:rsidRDefault="0061438F" w:rsidP="00EF112A">
            <w:pPr>
              <w:rPr>
                <w:rFonts w:asciiTheme="minorHAnsi" w:hAnsiTheme="minorHAnsi" w:cstheme="minorHAnsi"/>
                <w:lang w:val="en-NZ"/>
              </w:rPr>
            </w:pPr>
          </w:p>
          <w:p w14:paraId="3B6F5C1B" w14:textId="77777777" w:rsidR="0034487B" w:rsidRPr="0034487B" w:rsidRDefault="0034487B" w:rsidP="00E73FE4">
            <w:pPr>
              <w:rPr>
                <w:rFonts w:asciiTheme="minorHAnsi" w:hAnsiTheme="minorHAnsi" w:cstheme="minorHAnsi"/>
                <w:lang w:val="en-NZ"/>
              </w:rPr>
            </w:pPr>
          </w:p>
          <w:p w14:paraId="2ACCD1EC" w14:textId="49E6ABE5" w:rsidR="007B635C" w:rsidRPr="00AC2F42" w:rsidRDefault="007B635C" w:rsidP="007F07C9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273B13">
      <w:headerReference w:type="default" r:id="rId11"/>
      <w:footerReference w:type="even" r:id="rId12"/>
      <w:footerReference w:type="default" r:id="rId13"/>
      <w:pgSz w:w="11906" w:h="16838" w:code="9"/>
      <w:pgMar w:top="426" w:right="424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14" name="Picture 1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3" name="Picture 1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8148C"/>
    <w:multiLevelType w:val="hybridMultilevel"/>
    <w:tmpl w:val="1D1AD10A"/>
    <w:lvl w:ilvl="0" w:tplc="B54835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1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0"/>
  </w:num>
  <w:num w:numId="29">
    <w:abstractNumId w:val="7"/>
  </w:num>
  <w:num w:numId="30">
    <w:abstractNumId w:val="12"/>
  </w:num>
  <w:num w:numId="31">
    <w:abstractNumId w:val="2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626C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82549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44D64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73B13"/>
    <w:rsid w:val="0027469A"/>
    <w:rsid w:val="00280AFE"/>
    <w:rsid w:val="00282AB2"/>
    <w:rsid w:val="00285EE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2888"/>
    <w:rsid w:val="003244F7"/>
    <w:rsid w:val="003266F2"/>
    <w:rsid w:val="003349C4"/>
    <w:rsid w:val="003371E0"/>
    <w:rsid w:val="0034487B"/>
    <w:rsid w:val="003557E9"/>
    <w:rsid w:val="003573AD"/>
    <w:rsid w:val="003750B5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9C9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2494"/>
    <w:rsid w:val="00584673"/>
    <w:rsid w:val="005860C4"/>
    <w:rsid w:val="0058716A"/>
    <w:rsid w:val="005958D4"/>
    <w:rsid w:val="005964BA"/>
    <w:rsid w:val="005C31CE"/>
    <w:rsid w:val="005C3866"/>
    <w:rsid w:val="005D75C6"/>
    <w:rsid w:val="005E35E4"/>
    <w:rsid w:val="005F69B7"/>
    <w:rsid w:val="0060147A"/>
    <w:rsid w:val="006029B3"/>
    <w:rsid w:val="00606880"/>
    <w:rsid w:val="0061438F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0B34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B635C"/>
    <w:rsid w:val="007D1481"/>
    <w:rsid w:val="007E7468"/>
    <w:rsid w:val="007F07C9"/>
    <w:rsid w:val="007F5CD2"/>
    <w:rsid w:val="0081400B"/>
    <w:rsid w:val="00817D3F"/>
    <w:rsid w:val="00831EAC"/>
    <w:rsid w:val="00846CE2"/>
    <w:rsid w:val="00851929"/>
    <w:rsid w:val="00862192"/>
    <w:rsid w:val="00873D75"/>
    <w:rsid w:val="008769C0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A43B8"/>
    <w:rsid w:val="009D1BC8"/>
    <w:rsid w:val="009D3E21"/>
    <w:rsid w:val="009D7496"/>
    <w:rsid w:val="009E23F2"/>
    <w:rsid w:val="009E5A5F"/>
    <w:rsid w:val="009F25FC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097F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15E5"/>
    <w:rsid w:val="00C62828"/>
    <w:rsid w:val="00C7440C"/>
    <w:rsid w:val="00C801C8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232CA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1CD5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D6AEB"/>
    <w:rsid w:val="00EF112A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uiPriority w:val="99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750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D5D5D59E2604484F44D4D54433C19" ma:contentTypeVersion="9" ma:contentTypeDescription="Create a new document." ma:contentTypeScope="" ma:versionID="0c0826f069693fdbea417d5b31490b2a">
  <xsd:schema xmlns:xsd="http://www.w3.org/2001/XMLSchema" xmlns:xs="http://www.w3.org/2001/XMLSchema" xmlns:p="http://schemas.microsoft.com/office/2006/metadata/properties" xmlns:ns2="6ce36faf-f306-40fd-be4d-f585938b19ba" targetNamespace="http://schemas.microsoft.com/office/2006/metadata/properties" ma:root="true" ma:fieldsID="8427d6ce83af736fc757e768e2d992f3" ns2:_="">
    <xsd:import namespace="6ce36faf-f306-40fd-be4d-f585938b1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6faf-f306-40fd-be4d-f585938b1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14BD5-3A29-4145-99F6-D865D23CE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B8A97-5300-43B1-8CA4-3B3ADC700A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653868-8A26-4A10-B1BC-EE0178380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6faf-f306-40fd-be4d-f585938b1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EC996-17E3-4D8A-9F9B-8CF25026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251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1688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Marieke Esveld</cp:lastModifiedBy>
  <cp:revision>8</cp:revision>
  <cp:lastPrinted>2017-09-24T23:53:00Z</cp:lastPrinted>
  <dcterms:created xsi:type="dcterms:W3CDTF">2020-10-11T21:01:00Z</dcterms:created>
  <dcterms:modified xsi:type="dcterms:W3CDTF">2020-10-12T03:13:00Z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0x010100CFAD5D5D59E2604484F44D4D54433C19</vt:lpwstr>
  </property>
</Properties>
</file>