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D67F" w14:textId="77777777" w:rsidR="001E3C48" w:rsidRDefault="001E3C48" w:rsidP="001E3C48">
      <w:pPr>
        <w:jc w:val="center"/>
        <w:outlineLvl w:val="0"/>
        <w:rPr>
          <w:rFonts w:ascii="Arial" w:hAnsi="Arial" w:cs="Arial"/>
          <w:b/>
          <w:sz w:val="28"/>
          <w:szCs w:val="28"/>
        </w:rPr>
      </w:pPr>
      <w:bookmarkStart w:id="0" w:name="_Ref36804647"/>
    </w:p>
    <w:p w14:paraId="0F6C7A9D" w14:textId="77777777" w:rsidR="001E3C48" w:rsidRDefault="001E3C48" w:rsidP="001E3C48">
      <w:pPr>
        <w:jc w:val="center"/>
        <w:outlineLvl w:val="0"/>
        <w:rPr>
          <w:rFonts w:ascii="Arial" w:hAnsi="Arial" w:cs="Arial"/>
          <w:b/>
          <w:sz w:val="28"/>
          <w:szCs w:val="28"/>
        </w:rPr>
      </w:pPr>
    </w:p>
    <w:p w14:paraId="0FB3344F" w14:textId="77777777" w:rsidR="001E3C48" w:rsidRDefault="001E3C48" w:rsidP="001E3C48">
      <w:pPr>
        <w:jc w:val="center"/>
        <w:outlineLvl w:val="0"/>
        <w:rPr>
          <w:rFonts w:ascii="Arial" w:hAnsi="Arial" w:cs="Arial"/>
          <w:b/>
          <w:sz w:val="28"/>
          <w:szCs w:val="28"/>
        </w:rPr>
      </w:pPr>
    </w:p>
    <w:p w14:paraId="05971A41" w14:textId="77777777" w:rsidR="001E3C48" w:rsidRDefault="001E3C48" w:rsidP="001E3C48">
      <w:pPr>
        <w:jc w:val="center"/>
        <w:outlineLvl w:val="0"/>
        <w:rPr>
          <w:rFonts w:ascii="Arial" w:hAnsi="Arial" w:cs="Arial"/>
          <w:b/>
          <w:sz w:val="28"/>
          <w:szCs w:val="28"/>
        </w:rPr>
      </w:pPr>
    </w:p>
    <w:p w14:paraId="71CBFC53" w14:textId="68EA74FE" w:rsidR="001E3C48" w:rsidRDefault="001E3C48" w:rsidP="001E3C48">
      <w:pPr>
        <w:jc w:val="center"/>
        <w:outlineLvl w:val="0"/>
        <w:rPr>
          <w:rFonts w:ascii="Arial" w:hAnsi="Arial" w:cs="Arial"/>
          <w:b/>
          <w:sz w:val="28"/>
          <w:szCs w:val="28"/>
        </w:rPr>
      </w:pPr>
      <w:r w:rsidRPr="008B4D96">
        <w:rPr>
          <w:rFonts w:ascii="Arial" w:hAnsi="Arial" w:cs="Arial"/>
          <w:b/>
          <w:sz w:val="28"/>
          <w:szCs w:val="28"/>
        </w:rPr>
        <w:t xml:space="preserve">Operational Resilience of The Road Network </w:t>
      </w:r>
    </w:p>
    <w:p w14:paraId="3E94045B" w14:textId="77777777" w:rsidR="002E7BA6" w:rsidRDefault="001E3C48" w:rsidP="001E3C48">
      <w:pPr>
        <w:jc w:val="center"/>
        <w:outlineLvl w:val="0"/>
        <w:rPr>
          <w:rFonts w:ascii="Arial" w:hAnsi="Arial" w:cs="Arial"/>
          <w:b/>
          <w:sz w:val="28"/>
          <w:szCs w:val="28"/>
        </w:rPr>
      </w:pPr>
      <w:r w:rsidRPr="008B4D96">
        <w:rPr>
          <w:rFonts w:ascii="Arial" w:hAnsi="Arial" w:cs="Arial"/>
          <w:b/>
          <w:sz w:val="28"/>
          <w:szCs w:val="28"/>
        </w:rPr>
        <w:t xml:space="preserve">(ASM and South Island) </w:t>
      </w:r>
    </w:p>
    <w:p w14:paraId="399BF1DE" w14:textId="23062A5D" w:rsidR="001E3C48" w:rsidRPr="008B4D96" w:rsidRDefault="001E3C48" w:rsidP="001E3C48">
      <w:pPr>
        <w:jc w:val="center"/>
        <w:outlineLvl w:val="0"/>
        <w:rPr>
          <w:rFonts w:ascii="Arial" w:hAnsi="Arial" w:cs="Arial"/>
          <w:b/>
          <w:sz w:val="28"/>
          <w:szCs w:val="28"/>
        </w:rPr>
      </w:pPr>
      <w:r w:rsidRPr="008B4D96">
        <w:rPr>
          <w:rFonts w:ascii="Arial" w:hAnsi="Arial" w:cs="Arial"/>
          <w:b/>
          <w:sz w:val="28"/>
          <w:szCs w:val="28"/>
        </w:rPr>
        <w:t xml:space="preserve"> </w:t>
      </w:r>
    </w:p>
    <w:p w14:paraId="35DA2A04" w14:textId="77777777" w:rsidR="001E3C48" w:rsidRDefault="001E3C48">
      <w:pPr>
        <w:widowControl/>
        <w:autoSpaceDE/>
        <w:autoSpaceDN/>
        <w:adjustRightInd/>
        <w:rPr>
          <w:rFonts w:ascii="Arial" w:hAnsi="Arial" w:cs="Arial"/>
          <w:b/>
          <w:sz w:val="28"/>
          <w:szCs w:val="28"/>
        </w:rPr>
      </w:pPr>
    </w:p>
    <w:p w14:paraId="1BB06310" w14:textId="6DBBCF2C" w:rsidR="001E3C48" w:rsidRDefault="001E3C48" w:rsidP="0076555B">
      <w:pPr>
        <w:ind w:left="142" w:hanging="45"/>
        <w:jc w:val="center"/>
        <w:rPr>
          <w:rFonts w:ascii="Arial" w:hAnsi="Arial" w:cs="Arial"/>
          <w:sz w:val="22"/>
          <w:szCs w:val="22"/>
        </w:rPr>
      </w:pPr>
      <w:r w:rsidRPr="001E3C48">
        <w:rPr>
          <w:rFonts w:ascii="Arial" w:hAnsi="Arial" w:cs="Arial"/>
          <w:sz w:val="22"/>
          <w:szCs w:val="22"/>
        </w:rPr>
        <w:t>Siavash Aghababaei</w:t>
      </w:r>
      <w:r>
        <w:rPr>
          <w:rFonts w:ascii="Arial" w:hAnsi="Arial" w:cs="Arial"/>
          <w:sz w:val="22"/>
          <w:szCs w:val="22"/>
        </w:rPr>
        <w:t xml:space="preserve">, Auckland System Management (ASM), </w:t>
      </w:r>
      <w:r w:rsidR="0076555B">
        <w:rPr>
          <w:rFonts w:ascii="Arial" w:hAnsi="Arial" w:cs="Arial"/>
          <w:sz w:val="22"/>
          <w:szCs w:val="22"/>
        </w:rPr>
        <w:t>Senior Transportation Engineer, Siavash.aghababaei@asm.nzta.govt.nz</w:t>
      </w:r>
      <w:r w:rsidR="002E7BA6">
        <w:rPr>
          <w:rStyle w:val="FootnoteReference"/>
          <w:rFonts w:ascii="Arial" w:hAnsi="Arial" w:cs="Arial"/>
          <w:sz w:val="22"/>
          <w:szCs w:val="22"/>
        </w:rPr>
        <w:footnoteReference w:id="1"/>
      </w:r>
    </w:p>
    <w:p w14:paraId="4858AE1B" w14:textId="77777777" w:rsidR="002E7BA6" w:rsidRPr="001E3C48" w:rsidRDefault="002E7BA6" w:rsidP="0076555B">
      <w:pPr>
        <w:ind w:left="142" w:hanging="45"/>
        <w:jc w:val="center"/>
        <w:rPr>
          <w:rFonts w:ascii="Arial" w:hAnsi="Arial" w:cs="Arial"/>
          <w:sz w:val="22"/>
          <w:szCs w:val="22"/>
        </w:rPr>
      </w:pPr>
    </w:p>
    <w:p w14:paraId="31459794" w14:textId="5867D9AA" w:rsidR="001E3C48" w:rsidRDefault="001E3C48" w:rsidP="0076555B">
      <w:pPr>
        <w:jc w:val="center"/>
        <w:rPr>
          <w:rFonts w:ascii="Arial" w:hAnsi="Arial" w:cs="Arial"/>
          <w:sz w:val="22"/>
          <w:szCs w:val="22"/>
        </w:rPr>
      </w:pPr>
      <w:r w:rsidRPr="001E3C48">
        <w:rPr>
          <w:rFonts w:ascii="Arial" w:hAnsi="Arial" w:cs="Arial"/>
          <w:sz w:val="22"/>
          <w:szCs w:val="22"/>
        </w:rPr>
        <w:t>Dan Lao</w:t>
      </w:r>
      <w:r w:rsidR="0076555B">
        <w:rPr>
          <w:rFonts w:ascii="Arial" w:hAnsi="Arial" w:cs="Arial"/>
          <w:sz w:val="22"/>
          <w:szCs w:val="22"/>
        </w:rPr>
        <w:t xml:space="preserve">, Auckland System Management (ASM), </w:t>
      </w:r>
      <w:r w:rsidR="002E7BA6">
        <w:rPr>
          <w:rFonts w:ascii="Arial" w:hAnsi="Arial" w:cs="Arial"/>
          <w:sz w:val="22"/>
          <w:szCs w:val="22"/>
        </w:rPr>
        <w:t xml:space="preserve">ASM </w:t>
      </w:r>
      <w:r w:rsidR="0076555B">
        <w:rPr>
          <w:rFonts w:ascii="Arial" w:hAnsi="Arial" w:cs="Arial"/>
          <w:sz w:val="22"/>
          <w:szCs w:val="22"/>
        </w:rPr>
        <w:t xml:space="preserve">Journey Optimisation Manager, </w:t>
      </w:r>
      <w:hyperlink r:id="rId8" w:history="1">
        <w:r w:rsidR="002E7BA6" w:rsidRPr="004029D1">
          <w:rPr>
            <w:rStyle w:val="Hyperlink"/>
            <w:rFonts w:ascii="Arial" w:hAnsi="Arial" w:cs="Arial"/>
            <w:sz w:val="22"/>
            <w:szCs w:val="22"/>
          </w:rPr>
          <w:t>dan.lao@asm.nzta.govt.nz</w:t>
        </w:r>
      </w:hyperlink>
    </w:p>
    <w:p w14:paraId="08ED9189" w14:textId="77777777" w:rsidR="002E7BA6" w:rsidRPr="001E3C48" w:rsidRDefault="002E7BA6" w:rsidP="0076555B">
      <w:pPr>
        <w:jc w:val="center"/>
        <w:rPr>
          <w:rFonts w:ascii="Arial" w:hAnsi="Arial" w:cs="Arial"/>
          <w:sz w:val="22"/>
          <w:szCs w:val="22"/>
        </w:rPr>
      </w:pPr>
    </w:p>
    <w:p w14:paraId="73E1AED4" w14:textId="64954B24" w:rsidR="001E3C48" w:rsidRDefault="001E3C48" w:rsidP="002E7BA6">
      <w:pPr>
        <w:jc w:val="center"/>
        <w:rPr>
          <w:rFonts w:ascii="Arial" w:hAnsi="Arial" w:cs="Arial"/>
          <w:sz w:val="22"/>
          <w:szCs w:val="22"/>
        </w:rPr>
      </w:pPr>
      <w:r w:rsidRPr="001E3C48">
        <w:rPr>
          <w:rFonts w:ascii="Arial" w:hAnsi="Arial" w:cs="Arial"/>
          <w:sz w:val="22"/>
          <w:szCs w:val="22"/>
        </w:rPr>
        <w:t>Prakash Ranjitkar</w:t>
      </w:r>
      <w:r w:rsidR="0076555B">
        <w:rPr>
          <w:rFonts w:ascii="Arial" w:hAnsi="Arial" w:cs="Arial"/>
          <w:sz w:val="22"/>
          <w:szCs w:val="22"/>
        </w:rPr>
        <w:t xml:space="preserve">, University of Auckland, Senior Lecturer, </w:t>
      </w:r>
      <w:hyperlink r:id="rId9" w:history="1">
        <w:r w:rsidR="002E7BA6" w:rsidRPr="004029D1">
          <w:rPr>
            <w:rStyle w:val="Hyperlink"/>
            <w:rFonts w:ascii="Arial" w:hAnsi="Arial" w:cs="Arial"/>
            <w:sz w:val="22"/>
            <w:szCs w:val="22"/>
          </w:rPr>
          <w:t>p.ranjitkar@auckland.ac.nz</w:t>
        </w:r>
      </w:hyperlink>
    </w:p>
    <w:p w14:paraId="28AC72E1" w14:textId="77777777" w:rsidR="002E7BA6" w:rsidRPr="001E3C48" w:rsidRDefault="002E7BA6" w:rsidP="002E7BA6">
      <w:pPr>
        <w:jc w:val="center"/>
        <w:rPr>
          <w:rFonts w:ascii="Arial" w:hAnsi="Arial" w:cs="Arial"/>
          <w:sz w:val="22"/>
          <w:szCs w:val="22"/>
        </w:rPr>
      </w:pPr>
    </w:p>
    <w:p w14:paraId="757FA57C" w14:textId="4B78A85F" w:rsidR="001E3C48" w:rsidRDefault="001E3C48" w:rsidP="001E3C48">
      <w:pPr>
        <w:ind w:left="2880" w:hanging="2880"/>
        <w:jc w:val="center"/>
        <w:rPr>
          <w:rFonts w:ascii="Arial" w:hAnsi="Arial" w:cs="Arial"/>
          <w:sz w:val="22"/>
          <w:szCs w:val="22"/>
        </w:rPr>
      </w:pPr>
      <w:r w:rsidRPr="001E3C48">
        <w:rPr>
          <w:rFonts w:ascii="Arial" w:hAnsi="Arial" w:cs="Arial"/>
          <w:sz w:val="22"/>
          <w:szCs w:val="22"/>
        </w:rPr>
        <w:t>Hajar Sarmadi</w:t>
      </w:r>
      <w:r w:rsidR="002E7BA6">
        <w:rPr>
          <w:rFonts w:ascii="Arial" w:hAnsi="Arial" w:cs="Arial"/>
          <w:sz w:val="22"/>
          <w:szCs w:val="22"/>
        </w:rPr>
        <w:t xml:space="preserve">, Manukau Institute of Technology, Senior Lecturer, </w:t>
      </w:r>
      <w:hyperlink r:id="rId10" w:history="1">
        <w:r w:rsidR="002E7BA6" w:rsidRPr="004029D1">
          <w:rPr>
            <w:rStyle w:val="Hyperlink"/>
            <w:rFonts w:ascii="Arial" w:hAnsi="Arial" w:cs="Arial"/>
            <w:sz w:val="22"/>
            <w:szCs w:val="22"/>
          </w:rPr>
          <w:t>hajar.sarmadi@manukau.ac.nz</w:t>
        </w:r>
      </w:hyperlink>
    </w:p>
    <w:p w14:paraId="4C8FF28F" w14:textId="77777777" w:rsidR="002E7BA6" w:rsidRPr="001E3C48" w:rsidRDefault="002E7BA6" w:rsidP="001E3C48">
      <w:pPr>
        <w:ind w:left="2880" w:hanging="2880"/>
        <w:jc w:val="center"/>
        <w:rPr>
          <w:rFonts w:ascii="Arial" w:hAnsi="Arial" w:cs="Arial"/>
          <w:sz w:val="22"/>
          <w:szCs w:val="22"/>
        </w:rPr>
      </w:pPr>
    </w:p>
    <w:p w14:paraId="21671346" w14:textId="77777777" w:rsidR="001E3C48" w:rsidRDefault="001E3C48" w:rsidP="001E3C48">
      <w:pPr>
        <w:widowControl/>
        <w:autoSpaceDE/>
        <w:autoSpaceDN/>
        <w:adjustRightInd/>
        <w:jc w:val="center"/>
        <w:rPr>
          <w:rFonts w:ascii="Arial" w:hAnsi="Arial" w:cs="Arial"/>
          <w:b/>
          <w:sz w:val="28"/>
          <w:szCs w:val="28"/>
        </w:rPr>
      </w:pPr>
    </w:p>
    <w:p w14:paraId="7AC7A56A" w14:textId="77777777" w:rsidR="001E3C48" w:rsidRDefault="001E3C48" w:rsidP="002E7BA6">
      <w:pPr>
        <w:widowControl/>
        <w:autoSpaceDE/>
        <w:autoSpaceDN/>
        <w:adjustRightInd/>
        <w:rPr>
          <w:rFonts w:ascii="Arial" w:hAnsi="Arial" w:cs="Arial"/>
          <w:b/>
          <w:sz w:val="28"/>
          <w:szCs w:val="28"/>
        </w:rPr>
      </w:pPr>
    </w:p>
    <w:p w14:paraId="6679D0E1" w14:textId="77777777" w:rsidR="001E3C48" w:rsidRDefault="001E3C48" w:rsidP="001E3C48">
      <w:pPr>
        <w:widowControl/>
        <w:autoSpaceDE/>
        <w:autoSpaceDN/>
        <w:adjustRightInd/>
        <w:jc w:val="center"/>
        <w:rPr>
          <w:rFonts w:ascii="Arial" w:hAnsi="Arial" w:cs="Arial"/>
          <w:b/>
          <w:sz w:val="28"/>
          <w:szCs w:val="28"/>
        </w:rPr>
      </w:pPr>
    </w:p>
    <w:p w14:paraId="0038000F" w14:textId="77777777" w:rsidR="001E3C48" w:rsidRDefault="001E3C48">
      <w:pPr>
        <w:widowControl/>
        <w:autoSpaceDE/>
        <w:autoSpaceDN/>
        <w:adjustRightInd/>
        <w:rPr>
          <w:rFonts w:ascii="Arial" w:hAnsi="Arial" w:cs="Arial"/>
          <w:b/>
          <w:sz w:val="28"/>
          <w:szCs w:val="28"/>
        </w:rPr>
      </w:pPr>
    </w:p>
    <w:p w14:paraId="2CC4314A" w14:textId="77777777" w:rsidR="001E3C48" w:rsidRDefault="001E3C48">
      <w:pPr>
        <w:widowControl/>
        <w:autoSpaceDE/>
        <w:autoSpaceDN/>
        <w:adjustRightInd/>
        <w:rPr>
          <w:rFonts w:ascii="Arial" w:hAnsi="Arial" w:cs="Arial"/>
          <w:b/>
          <w:sz w:val="28"/>
          <w:szCs w:val="28"/>
        </w:rPr>
      </w:pPr>
    </w:p>
    <w:p w14:paraId="09DB201D" w14:textId="77777777" w:rsidR="001E3C48" w:rsidRDefault="001E3C48">
      <w:pPr>
        <w:widowControl/>
        <w:autoSpaceDE/>
        <w:autoSpaceDN/>
        <w:adjustRightInd/>
        <w:rPr>
          <w:rFonts w:ascii="Arial" w:hAnsi="Arial" w:cs="Arial"/>
          <w:b/>
          <w:sz w:val="28"/>
          <w:szCs w:val="28"/>
        </w:rPr>
      </w:pPr>
    </w:p>
    <w:p w14:paraId="5A2052DE" w14:textId="77777777" w:rsidR="001E3C48" w:rsidRDefault="001E3C48">
      <w:pPr>
        <w:widowControl/>
        <w:autoSpaceDE/>
        <w:autoSpaceDN/>
        <w:adjustRightInd/>
        <w:rPr>
          <w:rFonts w:ascii="Arial" w:hAnsi="Arial" w:cs="Arial"/>
          <w:b/>
          <w:sz w:val="28"/>
          <w:szCs w:val="28"/>
        </w:rPr>
      </w:pPr>
    </w:p>
    <w:p w14:paraId="6EF0AED8" w14:textId="366BA186" w:rsidR="00B56A0F" w:rsidRDefault="00B56A0F">
      <w:pPr>
        <w:widowControl/>
        <w:autoSpaceDE/>
        <w:autoSpaceDN/>
        <w:adjustRightInd/>
        <w:rPr>
          <w:rFonts w:ascii="Arial" w:hAnsi="Arial" w:cs="Arial"/>
          <w:b/>
          <w:sz w:val="28"/>
          <w:szCs w:val="28"/>
        </w:rPr>
      </w:pPr>
      <w:r>
        <w:rPr>
          <w:rFonts w:ascii="Arial" w:hAnsi="Arial" w:cs="Arial"/>
          <w:b/>
          <w:sz w:val="28"/>
          <w:szCs w:val="28"/>
        </w:rPr>
        <w:br w:type="page"/>
      </w:r>
    </w:p>
    <w:p w14:paraId="719C350E" w14:textId="08EFB49D" w:rsidR="00B56A0F" w:rsidRDefault="00B56A0F" w:rsidP="00B56A0F">
      <w:pPr>
        <w:jc w:val="center"/>
        <w:outlineLvl w:val="0"/>
        <w:rPr>
          <w:rFonts w:ascii="Arial" w:hAnsi="Arial" w:cs="Arial"/>
          <w:b/>
          <w:sz w:val="28"/>
          <w:szCs w:val="28"/>
        </w:rPr>
      </w:pPr>
      <w:r w:rsidRPr="008B4D96">
        <w:rPr>
          <w:rFonts w:ascii="Arial" w:hAnsi="Arial" w:cs="Arial"/>
          <w:b/>
          <w:sz w:val="28"/>
          <w:szCs w:val="28"/>
        </w:rPr>
        <w:lastRenderedPageBreak/>
        <w:t xml:space="preserve">Operational Resilience of The Road Network </w:t>
      </w:r>
    </w:p>
    <w:p w14:paraId="10AC4264" w14:textId="77777777" w:rsidR="00B56A0F" w:rsidRPr="008B4D96" w:rsidRDefault="00B56A0F" w:rsidP="00B56A0F">
      <w:pPr>
        <w:jc w:val="center"/>
        <w:outlineLvl w:val="0"/>
        <w:rPr>
          <w:rFonts w:ascii="Arial" w:hAnsi="Arial" w:cs="Arial"/>
          <w:b/>
          <w:sz w:val="28"/>
          <w:szCs w:val="28"/>
        </w:rPr>
      </w:pPr>
      <w:r w:rsidRPr="008B4D96">
        <w:rPr>
          <w:rFonts w:ascii="Arial" w:hAnsi="Arial" w:cs="Arial"/>
          <w:b/>
          <w:sz w:val="28"/>
          <w:szCs w:val="28"/>
        </w:rPr>
        <w:t xml:space="preserve">(ASM and South Island)  </w:t>
      </w:r>
    </w:p>
    <w:p w14:paraId="3B7BA3CF" w14:textId="77777777" w:rsidR="00B56A0F" w:rsidRPr="008B4D96" w:rsidRDefault="00B56A0F" w:rsidP="00B56A0F">
      <w:pPr>
        <w:jc w:val="both"/>
        <w:rPr>
          <w:rFonts w:ascii="Arial" w:hAnsi="Arial" w:cs="Arial"/>
          <w:sz w:val="22"/>
          <w:szCs w:val="22"/>
        </w:rPr>
      </w:pPr>
      <w:r w:rsidRPr="008B4D96">
        <w:rPr>
          <w:rFonts w:ascii="Arial" w:hAnsi="Arial" w:cs="Arial"/>
          <w:sz w:val="22"/>
          <w:szCs w:val="22"/>
        </w:rPr>
        <w:t>Different incidents on the network can disrupt the transportation network, resulting in increased travel time, accessibility issues, and economic costs. The impact of incidents/disasters on a road network can be assessed based on the physical impact and/or the operational impact. The physical impact examines the effect of incidents/disasters on different assets such as pavements, structures, bridges, and tunnels, which in turn can disrupt the network, completely or partially. Therefore, the travel behaviour of the users will vary, causing increased travel time and travel cost, or even unsatisfied demand. This is referred to the operational impact of a(n) incident/disaster. Responding to incidents in a timely manner will reduce the recovery time and therefore, the delay on the network, resulting in saving the cost of congestion.</w:t>
      </w:r>
    </w:p>
    <w:p w14:paraId="16FADE5E" w14:textId="6D516109" w:rsidR="00B56A0F" w:rsidRDefault="00B56A0F" w:rsidP="00B56A0F">
      <w:pPr>
        <w:jc w:val="both"/>
        <w:rPr>
          <w:rFonts w:ascii="Arial" w:hAnsi="Arial" w:cs="Arial"/>
          <w:sz w:val="22"/>
          <w:szCs w:val="22"/>
        </w:rPr>
      </w:pPr>
      <w:r w:rsidRPr="008B4D96">
        <w:rPr>
          <w:rFonts w:ascii="Arial" w:hAnsi="Arial" w:cs="Arial"/>
          <w:sz w:val="22"/>
          <w:szCs w:val="22"/>
        </w:rPr>
        <w:t>The operational resilience of the road networks is assessed using a Normalised Trip Resilience (NTR). It incorporates three different dimensions of resilient systems, namely, Robustness, Redundancy, and Recovery. The proposed measure reflects the impact of increased travel time (redundancy impact) and eliminated trips (robustness) on the resilience of trips, in percentage, averaged over the recovery period. To facilitate ranking of the post-disaster impact on districts, a new measure, namely the Equivalent daily number of Impacted Trips (EIT), is proposed. The proposed measure provides an opportunity for decision-makers to estimate and rank the trip resilience between each (group of) Origin-Destination pair(s) using pre- and post-disaster flow and travel time.</w:t>
      </w:r>
      <w:r w:rsidR="00E34AEB">
        <w:rPr>
          <w:rFonts w:ascii="Arial" w:hAnsi="Arial" w:cs="Arial"/>
          <w:sz w:val="22"/>
          <w:szCs w:val="22"/>
        </w:rPr>
        <w:t xml:space="preserve"> </w:t>
      </w:r>
      <w:r w:rsidRPr="008B4D96">
        <w:rPr>
          <w:rFonts w:ascii="Arial" w:hAnsi="Arial" w:cs="Arial"/>
          <w:sz w:val="22"/>
          <w:szCs w:val="22"/>
        </w:rPr>
        <w:t xml:space="preserve">Two case studies, a hypothetical Alpine Fault Magnitude 8 (AF8) scenario in the South Island of New Zealand and SH16 WB direction of Auckland Motorway System, were conducted to demonstrate the newly developed trip resilience measures. </w:t>
      </w:r>
    </w:p>
    <w:p w14:paraId="31316C67" w14:textId="77777777" w:rsidR="00B56A0F" w:rsidRDefault="00B56A0F" w:rsidP="00B56A0F">
      <w:pPr>
        <w:spacing w:before="120" w:line="264" w:lineRule="auto"/>
        <w:jc w:val="both"/>
        <w:rPr>
          <w:rFonts w:ascii="Arial" w:hAnsi="Arial" w:cs="Arial"/>
          <w:sz w:val="22"/>
          <w:szCs w:val="22"/>
        </w:rPr>
      </w:pPr>
      <w:r w:rsidRPr="008B4D96">
        <w:rPr>
          <w:rFonts w:ascii="Arial" w:hAnsi="Arial" w:cs="Arial"/>
          <w:b/>
          <w:sz w:val="22"/>
          <w:szCs w:val="22"/>
        </w:rPr>
        <w:t>Keywords:</w:t>
      </w:r>
      <w:r w:rsidRPr="008B4D96">
        <w:rPr>
          <w:rFonts w:ascii="Arial" w:hAnsi="Arial" w:cs="Arial"/>
          <w:sz w:val="22"/>
          <w:szCs w:val="22"/>
        </w:rPr>
        <w:t xml:space="preserve"> Trip Resilience, Robustness, Redundancy, Reliability, Natural Disasters, Road Network Performance, Impacted Trips, Recovery   </w:t>
      </w:r>
    </w:p>
    <w:p w14:paraId="5018845B" w14:textId="77777777" w:rsidR="00B56A0F" w:rsidRPr="008B4D96" w:rsidRDefault="00B56A0F" w:rsidP="00B56A0F">
      <w:pPr>
        <w:pStyle w:val="CM15"/>
        <w:snapToGrid w:val="0"/>
        <w:spacing w:before="120" w:line="264" w:lineRule="auto"/>
        <w:rPr>
          <w:rFonts w:ascii="Arial" w:eastAsia="CMS Y 10" w:hAnsi="Arial" w:cs="Arial"/>
          <w:b/>
          <w:bCs/>
          <w:color w:val="auto"/>
          <w:sz w:val="28"/>
          <w:szCs w:val="28"/>
        </w:rPr>
      </w:pPr>
      <w:r w:rsidRPr="008B4D96">
        <w:rPr>
          <w:rFonts w:asciiTheme="majorBidi" w:hAnsiTheme="majorBidi" w:cstheme="majorBidi"/>
          <w:sz w:val="28"/>
          <w:szCs w:val="28"/>
          <w:lang w:val="en-NZ"/>
        </w:rPr>
        <w:fldChar w:fldCharType="begin"/>
      </w:r>
      <w:r w:rsidRPr="008B4D96">
        <w:rPr>
          <w:rFonts w:asciiTheme="majorBidi" w:hAnsiTheme="majorBidi" w:cstheme="majorBidi"/>
          <w:sz w:val="28"/>
          <w:szCs w:val="28"/>
          <w:lang w:val="en-NZ"/>
        </w:rPr>
        <w:instrText xml:space="preserve"> MACROBUTTON MTEditEquationSection2 </w:instrText>
      </w:r>
      <w:r w:rsidRPr="008B4D96">
        <w:rPr>
          <w:rStyle w:val="MTEquationSection"/>
          <w:sz w:val="28"/>
          <w:szCs w:val="28"/>
        </w:rPr>
        <w:instrText>Equation Chapter 1 Section 1</w:instrText>
      </w:r>
      <w:r w:rsidRPr="008B4D96">
        <w:rPr>
          <w:rFonts w:asciiTheme="majorBidi" w:hAnsiTheme="majorBidi" w:cstheme="majorBidi"/>
          <w:sz w:val="28"/>
          <w:szCs w:val="28"/>
          <w:lang w:val="en-NZ"/>
        </w:rPr>
        <w:fldChar w:fldCharType="begin"/>
      </w:r>
      <w:r w:rsidRPr="008B4D96">
        <w:rPr>
          <w:rFonts w:asciiTheme="majorBidi" w:hAnsiTheme="majorBidi" w:cstheme="majorBidi"/>
          <w:sz w:val="28"/>
          <w:szCs w:val="28"/>
          <w:lang w:val="en-NZ"/>
        </w:rPr>
        <w:instrText xml:space="preserve"> SEQ MTEqn \r \h \* MERGEFORMAT </w:instrText>
      </w:r>
      <w:r w:rsidRPr="008B4D96">
        <w:rPr>
          <w:rFonts w:asciiTheme="majorBidi" w:hAnsiTheme="majorBidi" w:cstheme="majorBidi"/>
          <w:sz w:val="28"/>
          <w:szCs w:val="28"/>
          <w:lang w:val="en-NZ"/>
        </w:rPr>
        <w:fldChar w:fldCharType="end"/>
      </w:r>
      <w:r w:rsidRPr="008B4D96">
        <w:rPr>
          <w:rFonts w:asciiTheme="majorBidi" w:hAnsiTheme="majorBidi" w:cstheme="majorBidi"/>
          <w:sz w:val="28"/>
          <w:szCs w:val="28"/>
          <w:lang w:val="en-NZ"/>
        </w:rPr>
        <w:fldChar w:fldCharType="begin"/>
      </w:r>
      <w:r w:rsidRPr="008B4D96">
        <w:rPr>
          <w:rFonts w:asciiTheme="majorBidi" w:hAnsiTheme="majorBidi" w:cstheme="majorBidi"/>
          <w:sz w:val="28"/>
          <w:szCs w:val="28"/>
          <w:lang w:val="en-NZ"/>
        </w:rPr>
        <w:instrText xml:space="preserve"> SEQ MTSec \r 1 \h \* MERGEFORMAT </w:instrText>
      </w:r>
      <w:r w:rsidRPr="008B4D96">
        <w:rPr>
          <w:rFonts w:asciiTheme="majorBidi" w:hAnsiTheme="majorBidi" w:cstheme="majorBidi"/>
          <w:sz w:val="28"/>
          <w:szCs w:val="28"/>
          <w:lang w:val="en-NZ"/>
        </w:rPr>
        <w:fldChar w:fldCharType="end"/>
      </w:r>
      <w:r w:rsidRPr="008B4D96">
        <w:rPr>
          <w:rFonts w:asciiTheme="majorBidi" w:hAnsiTheme="majorBidi" w:cstheme="majorBidi"/>
          <w:sz w:val="28"/>
          <w:szCs w:val="28"/>
          <w:lang w:val="en-NZ"/>
        </w:rPr>
        <w:fldChar w:fldCharType="begin"/>
      </w:r>
      <w:r w:rsidRPr="008B4D96">
        <w:rPr>
          <w:rFonts w:asciiTheme="majorBidi" w:hAnsiTheme="majorBidi" w:cstheme="majorBidi"/>
          <w:sz w:val="28"/>
          <w:szCs w:val="28"/>
          <w:lang w:val="en-NZ"/>
        </w:rPr>
        <w:instrText xml:space="preserve"> SEQ MTChap \r 1 \h \* MERGEFORMAT </w:instrText>
      </w:r>
      <w:r w:rsidRPr="008B4D96">
        <w:rPr>
          <w:rFonts w:asciiTheme="majorBidi" w:hAnsiTheme="majorBidi" w:cstheme="majorBidi"/>
          <w:sz w:val="28"/>
          <w:szCs w:val="28"/>
          <w:lang w:val="en-NZ"/>
        </w:rPr>
        <w:fldChar w:fldCharType="end"/>
      </w:r>
      <w:r w:rsidRPr="008B4D96">
        <w:rPr>
          <w:rFonts w:asciiTheme="majorBidi" w:hAnsiTheme="majorBidi" w:cstheme="majorBidi"/>
          <w:sz w:val="28"/>
          <w:szCs w:val="28"/>
          <w:lang w:val="en-NZ"/>
        </w:rPr>
        <w:fldChar w:fldCharType="end"/>
      </w:r>
      <w:bookmarkStart w:id="1" w:name="_Toc489350486"/>
      <w:bookmarkStart w:id="2" w:name="_Toc495616731"/>
      <w:r w:rsidRPr="008B4D96">
        <w:rPr>
          <w:rFonts w:ascii="Arial" w:eastAsia="CMS Y 10" w:hAnsi="Arial" w:cs="Arial"/>
          <w:b/>
          <w:bCs/>
          <w:color w:val="auto"/>
          <w:sz w:val="28"/>
          <w:szCs w:val="28"/>
        </w:rPr>
        <w:t>Introduction</w:t>
      </w:r>
      <w:bookmarkEnd w:id="1"/>
      <w:bookmarkEnd w:id="2"/>
      <w:r w:rsidRPr="008B4D96">
        <w:rPr>
          <w:rFonts w:ascii="Arial" w:eastAsia="CMS Y 10" w:hAnsi="Arial" w:cs="Arial"/>
          <w:b/>
          <w:bCs/>
          <w:color w:val="auto"/>
          <w:sz w:val="28"/>
          <w:szCs w:val="28"/>
        </w:rPr>
        <w:t xml:space="preserve"> </w:t>
      </w:r>
    </w:p>
    <w:p w14:paraId="579A8833" w14:textId="77777777" w:rsidR="00B56A0F" w:rsidRPr="008B4D96" w:rsidRDefault="00B56A0F" w:rsidP="00B56A0F">
      <w:pPr>
        <w:spacing w:before="120" w:line="264" w:lineRule="auto"/>
        <w:jc w:val="both"/>
        <w:rPr>
          <w:rFonts w:ascii="Arial" w:hAnsi="Arial" w:cs="Arial"/>
          <w:noProof/>
          <w:sz w:val="22"/>
          <w:szCs w:val="22"/>
        </w:rPr>
      </w:pPr>
      <w:r w:rsidRPr="008B4D96">
        <w:rPr>
          <w:rFonts w:ascii="Arial" w:hAnsi="Arial" w:cs="Arial"/>
          <w:noProof/>
          <w:sz w:val="22"/>
          <w:szCs w:val="22"/>
        </w:rPr>
        <w:t xml:space="preserve">Natural disasters, such as flooding, earthquakes, tsunami, hurricanes, and volcanic eruptions, can disrupt transportation networks, potentially resulting in cities, towns and villages being isolated for a period of time. Such disruption causes post-disaster response issues, evacuation difficulties, accessibilities issues, increased travel costs, and economic losses. Consequently, understanding the resilience of transportation networks following a disaster is crucial for post-disaster operations, community resilience and business continuity. The resilience of transportation systems can be defined as the ability to reduce the loss of performance, or impacts in terms of disruption, and properly recover or adapt to a (new) original condition </w:t>
      </w:r>
      <w:r w:rsidRPr="008B4D96">
        <w:rPr>
          <w:rFonts w:ascii="Arial" w:hAnsi="Arial" w:cs="Arial"/>
          <w:noProof/>
          <w:sz w:val="22"/>
          <w:szCs w:val="22"/>
        </w:rPr>
        <w:fldChar w:fldCharType="begin"/>
      </w:r>
      <w:r w:rsidRPr="008B4D96">
        <w:rPr>
          <w:rFonts w:ascii="Arial" w:hAnsi="Arial" w:cs="Arial"/>
          <w:noProof/>
          <w:sz w:val="22"/>
          <w:szCs w:val="22"/>
        </w:rPr>
        <w:instrText xml:space="preserve"> ADDIN EN.CITE &lt;EndNote&gt;&lt;Cite&gt;&lt;Author&gt;Zhang&lt;/Author&gt;&lt;Year&gt;2015&lt;/Year&gt;&lt;RecNum&gt;67&lt;/RecNum&gt;&lt;DisplayText&gt;(Zhang et al., 2015, Mason and Brabhaharan, 2016)&lt;/DisplayText&gt;&lt;record&gt;&lt;rec-number&gt;67&lt;/rec-number&gt;&lt;foreign-keys&gt;&lt;key app="EN" db-id="s0p2zpapifxv9yep9sf5x929xxwtr5f95aw2" timestamp="1550437387"&gt;67&lt;/key&gt;&lt;key app="ENWeb" db-id=""&gt;0&lt;/key&gt;&lt;/foreign-keys&gt;&lt;ref-type name="Journal Article"&gt;17&lt;/ref-type&gt;&lt;contributors&gt;&lt;authors&gt;&lt;author&gt;X. Zhang&lt;/author&gt;&lt;author&gt;E. Miller-Hooks&lt;/author&gt;&lt;author&gt;K. Denny&lt;/author&gt;&lt;/authors&gt;&lt;/contributors&gt;&lt;titles&gt;&lt;title&gt;Assessing the role of network topology in transportation network resilience&lt;/title&gt;&lt;secondary-title&gt;Journal of Transport Geography&lt;/secondary-title&gt;&lt;/titles&gt;&lt;periodical&gt;&lt;full-title&gt;Journal of Transport Geography&lt;/full-title&gt;&lt;/periodical&gt;&lt;pages&gt;35-45&lt;/pages&gt;&lt;volume&gt;46&lt;/volume&gt;&lt;keywords&gt;&lt;keyword&gt;Resilience&lt;/keyword&gt;&lt;keyword&gt;Vulnerability&lt;/keyword&gt;&lt;keyword&gt;Reliability&lt;/keyword&gt;&lt;keyword&gt;Network performance&lt;/keyword&gt;&lt;keyword&gt;Infrastructure systems&lt;/keyword&gt;&lt;keyword&gt;Graph theory&lt;/keyword&gt;&lt;/keywords&gt;&lt;dates&gt;&lt;year&gt;2015&lt;/year&gt;&lt;/dates&gt;&lt;urls&gt;&lt;/urls&gt;&lt;electronic-resource-num&gt;http://dx.doi.org/10.1016/j.jtrangeo.2015.05.006&lt;/electronic-resource-num&gt;&lt;/record&gt;&lt;/Cite&gt;&lt;Cite&gt;&lt;Author&gt;Mason&lt;/Author&gt;&lt;Year&gt;2016&lt;/Year&gt;&lt;RecNum&gt;72&lt;/RecNum&gt;&lt;record&gt;&lt;rec-number&gt;72&lt;/rec-number&gt;&lt;foreign-keys&gt;&lt;key app="EN" db-id="s0p2zpapifxv9yep9sf5x929xxwtr5f95aw2" timestamp="1550437390"&gt;72&lt;/key&gt;&lt;key app="ENWeb" db-id=""&gt;0&lt;/key&gt;&lt;/foreign-keys&gt;&lt;ref-type name="Report"&gt;27&lt;/ref-type&gt;&lt;contributors&gt;&lt;authors&gt;&lt;author&gt;Doug Mason&lt;/author&gt;&lt;author&gt;P Brabhaharan &lt;/author&gt;&lt;/authors&gt;&lt;/contributors&gt;&lt;titles&gt;&lt;title&gt;National State Highway Resilience&lt;/title&gt;&lt;/titles&gt;&lt;dates&gt;&lt;year&gt;2016&lt;/year&gt;&lt;/dates&gt;&lt;pub-location&gt;New Zealand Transport Agency (NZTA)&lt;/pub-location&gt;&lt;publisher&gt;Opus International Consultants Ltd&lt;/publisher&gt;&lt;urls&gt;&lt;/urls&gt;&lt;/record&gt;&lt;/Cite&gt;&lt;/EndNote&gt;</w:instrText>
      </w:r>
      <w:r w:rsidRPr="008B4D96">
        <w:rPr>
          <w:rFonts w:ascii="Arial" w:hAnsi="Arial" w:cs="Arial"/>
          <w:noProof/>
          <w:sz w:val="22"/>
          <w:szCs w:val="22"/>
        </w:rPr>
        <w:fldChar w:fldCharType="separate"/>
      </w:r>
      <w:r w:rsidRPr="008B4D96">
        <w:rPr>
          <w:rFonts w:ascii="Arial" w:hAnsi="Arial" w:cs="Arial"/>
          <w:noProof/>
          <w:sz w:val="22"/>
          <w:szCs w:val="22"/>
        </w:rPr>
        <w:t>(Zhang et al., 2015, Mason and Brabhaharan, 2016)</w:t>
      </w:r>
      <w:r w:rsidRPr="008B4D96">
        <w:rPr>
          <w:rFonts w:ascii="Arial" w:hAnsi="Arial" w:cs="Arial"/>
          <w:noProof/>
          <w:sz w:val="22"/>
          <w:szCs w:val="22"/>
        </w:rPr>
        <w:fldChar w:fldCharType="end"/>
      </w:r>
      <w:r w:rsidRPr="008B4D96">
        <w:rPr>
          <w:rFonts w:ascii="Arial" w:hAnsi="Arial" w:cs="Arial"/>
          <w:noProof/>
          <w:sz w:val="22"/>
          <w:szCs w:val="22"/>
        </w:rPr>
        <w:t>.</w:t>
      </w:r>
    </w:p>
    <w:p w14:paraId="5E67F101"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The resilience of a road network following a disaster is typically assessed based on asset performance </w:t>
      </w:r>
      <w:r w:rsidRPr="008B4D96">
        <w:rPr>
          <w:rFonts w:ascii="Arial" w:hAnsi="Arial" w:cs="Arial"/>
          <w:sz w:val="22"/>
          <w:szCs w:val="22"/>
        </w:rPr>
        <w:fldChar w:fldCharType="begin">
          <w:fldData xml:space="preserve">PEVuZE5vdGU+PENpdGU+PEF1dGhvcj5NaXRvdWxpczwvQXV0aG9yPjxZZWFyPjIwMjE8L1llYXI+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</w:fldData>
        </w:fldChar>
      </w:r>
      <w:r w:rsidRPr="008B4D96">
        <w:rPr>
          <w:rFonts w:ascii="Arial" w:hAnsi="Arial" w:cs="Arial"/>
          <w:sz w:val="22"/>
          <w:szCs w:val="22"/>
        </w:rPr>
        <w:instrText xml:space="preserve"> ADDIN EN.CITE </w:instrText>
      </w:r>
      <w:r w:rsidRPr="008B4D96">
        <w:rPr>
          <w:rFonts w:ascii="Arial" w:hAnsi="Arial" w:cs="Arial"/>
          <w:sz w:val="22"/>
          <w:szCs w:val="22"/>
        </w:rPr>
        <w:fldChar w:fldCharType="begin">
          <w:fldData xml:space="preserve">PEVuZE5vdGU+PENpdGU+PEF1dGhvcj5NaXRvdWxpczwvQXV0aG9yPjxZZWFyPjIwMjE8L1llYXI+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</w:fldData>
        </w:fldChar>
      </w:r>
      <w:r w:rsidRPr="008B4D96">
        <w:rPr>
          <w:rFonts w:ascii="Arial" w:hAnsi="Arial" w:cs="Arial"/>
          <w:sz w:val="22"/>
          <w:szCs w:val="22"/>
        </w:rPr>
        <w:instrText xml:space="preserve"> ADDIN EN.CITE.DATA </w:instrText>
      </w:r>
      <w:r w:rsidRPr="008B4D96">
        <w:rPr>
          <w:rFonts w:ascii="Arial" w:hAnsi="Arial" w:cs="Arial"/>
          <w:sz w:val="22"/>
          <w:szCs w:val="22"/>
        </w:rPr>
      </w:r>
      <w:r w:rsidRPr="008B4D96">
        <w:rPr>
          <w:rFonts w:ascii="Arial" w:hAnsi="Arial" w:cs="Arial"/>
          <w:sz w:val="22"/>
          <w:szCs w:val="22"/>
        </w:rPr>
        <w:fldChar w:fldCharType="end"/>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noProof/>
          <w:sz w:val="22"/>
          <w:szCs w:val="22"/>
        </w:rPr>
        <w:t>(Mitoulis et al., 2021, Wu et al., 2021, Argyroudis et al., 2020, Argyroudis et al., 2021, Misra et al., 2020, Dizhur et al., 2019, Herbert et al., 2018)</w:t>
      </w:r>
      <w:r w:rsidRPr="008B4D96">
        <w:rPr>
          <w:rFonts w:ascii="Arial" w:hAnsi="Arial" w:cs="Arial"/>
          <w:sz w:val="22"/>
          <w:szCs w:val="22"/>
        </w:rPr>
        <w:fldChar w:fldCharType="end"/>
      </w:r>
      <w:r w:rsidRPr="008B4D96">
        <w:rPr>
          <w:rFonts w:ascii="Arial" w:hAnsi="Arial" w:cs="Arial"/>
          <w:sz w:val="22"/>
          <w:szCs w:val="22"/>
        </w:rPr>
        <w:t xml:space="preserve"> and operational performance. Disasters cause damage to transportation assets such as bridges, tunnels, and roads, which in turn can influence the operational resilience of the road network, as measured by reduced capacity, increased travel time, and delay time. This research focuses on operational performance and resilience while recognising that the hazard assessment (e.g. probabilities of occurrence of seismic events) and performance assessment of the physical assets (e.g. using fragility models to assess the expected damage and losses for given seismic intensity measures) need to be undertaken before the operational resilience of the transport network can be assessed.</w:t>
      </w:r>
    </w:p>
    <w:p w14:paraId="5495A374"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noProof/>
          <w:sz w:val="22"/>
          <w:szCs w:val="22"/>
        </w:rPr>
        <w:t>T</w:t>
      </w:r>
      <w:r w:rsidRPr="008B4D96">
        <w:rPr>
          <w:rFonts w:ascii="Arial" w:hAnsi="Arial" w:cs="Arial"/>
          <w:sz w:val="22"/>
          <w:szCs w:val="22"/>
        </w:rPr>
        <w:t xml:space="preserve">he performance of road networks in a post-disaster environment has typically been assessed using two main concepts in the </w:t>
      </w:r>
      <w:proofErr w:type="gramStart"/>
      <w:r w:rsidRPr="008B4D96">
        <w:rPr>
          <w:rFonts w:ascii="Arial" w:hAnsi="Arial" w:cs="Arial"/>
          <w:sz w:val="22"/>
          <w:szCs w:val="22"/>
        </w:rPr>
        <w:t>literature;</w:t>
      </w:r>
      <w:proofErr w:type="gramEnd"/>
      <w:r w:rsidRPr="008B4D96">
        <w:rPr>
          <w:rFonts w:ascii="Arial" w:hAnsi="Arial" w:cs="Arial"/>
          <w:sz w:val="22"/>
          <w:szCs w:val="22"/>
        </w:rPr>
        <w:t xml:space="preserve"> namely vulnerability and resilience. Other concepts reported in the literature to evaluate the impact of natural disasters on transport networks include </w:t>
      </w:r>
      <w:r w:rsidRPr="008B4D96">
        <w:rPr>
          <w:rFonts w:ascii="Arial" w:hAnsi="Arial" w:cs="Arial"/>
          <w:noProof/>
          <w:sz w:val="22"/>
          <w:szCs w:val="22"/>
        </w:rPr>
        <w:t xml:space="preserve">risk, reliability, robustness, flexibility, and survivability </w:t>
      </w:r>
      <w:r w:rsidRPr="008B4D96">
        <w:rPr>
          <w:rFonts w:ascii="Arial" w:hAnsi="Arial" w:cs="Arial"/>
          <w:noProof/>
          <w:sz w:val="22"/>
          <w:szCs w:val="22"/>
        </w:rPr>
        <w:fldChar w:fldCharType="begin"/>
      </w:r>
      <w:r w:rsidRPr="008B4D96">
        <w:rPr>
          <w:rFonts w:ascii="Arial" w:hAnsi="Arial" w:cs="Arial"/>
          <w:noProof/>
          <w:sz w:val="22"/>
          <w:szCs w:val="22"/>
        </w:rPr>
        <w:instrText xml:space="preserve"> ADDIN EN.CITE &lt;EndNote&gt;&lt;Cite&gt;&lt;Author&gt;Faturechi&lt;/Author&gt;&lt;Year&gt;2014&lt;/Year&gt;&lt;RecNum&gt;69&lt;/RecNum&gt;&lt;DisplayText&gt;(Faturechi and Miller-Hooks, 2014)&lt;/DisplayText&gt;&lt;record&gt;&lt;rec-number&gt;69&lt;/rec-number&gt;&lt;foreign-keys&gt;&lt;key app="EN" db-id="s0p2zpapifxv9yep9sf5x929xxwtr5f95aw2" timestamp="1550437388"&gt;69&lt;/key&gt;&lt;key app="ENWeb" db-id=""&gt;0&lt;/key&gt;&lt;/foreign-keys&gt;&lt;ref-type name="Journal Article"&gt;17&lt;/ref-type&gt;&lt;contributors&gt;&lt;authors&gt;&lt;author&gt;Reza Faturechi&lt;/author&gt;&lt;author&gt;Elise Miller-Hooks&lt;/author&gt;&lt;/authors&gt;&lt;/contributors&gt;&lt;titles&gt;&lt;title&gt;Measuring the Performance of Transportation Infrastructure Systems in Disasters: A Comprehensive Review&lt;/title&gt;&lt;secondary-title&gt;Journal of Infrastructure Systems&lt;/secondary-title&gt;&lt;/titles&gt;&lt;periodical&gt;&lt;full-title&gt;Journal of Infrastructure Systems&lt;/full-title&gt;&lt;/periodical&gt;&lt;pages&gt;15&lt;/pages&gt;&lt;keywords&gt;&lt;keyword&gt;Infrastructure&lt;/keyword&gt;&lt;keyword&gt;Transportation networks&lt;/keyword&gt;&lt;keyword&gt;Risk&lt;/keyword&gt;&lt;keyword&gt;Reliability&lt;/keyword&gt;&lt;keyword&gt;Robustness&lt;/keyword&gt;&lt;keyword&gt;Flexibility&lt;/keyword&gt;&lt;keyword&gt;Survivability&lt;/keyword&gt;&lt;keyword&gt;Resilience&lt;/keyword&gt;&lt;/keywords&gt;&lt;dates&gt;&lt;year&gt;2014&lt;/year&gt;&lt;/dates&gt;&lt;urls&gt;&lt;/urls&gt;&lt;electronic-resource-num&gt;DOI: 10.1061/(ASCE)IS.1943-555X.0000212.&lt;/electronic-resource-num&gt;&lt;/record&gt;&lt;/Cite&gt;&lt;/EndNote&gt;</w:instrText>
      </w:r>
      <w:r w:rsidRPr="008B4D96">
        <w:rPr>
          <w:rFonts w:ascii="Arial" w:hAnsi="Arial" w:cs="Arial"/>
          <w:noProof/>
          <w:sz w:val="22"/>
          <w:szCs w:val="22"/>
        </w:rPr>
        <w:fldChar w:fldCharType="separate"/>
      </w:r>
      <w:r w:rsidRPr="008B4D96">
        <w:rPr>
          <w:rFonts w:ascii="Arial" w:hAnsi="Arial" w:cs="Arial"/>
          <w:noProof/>
          <w:sz w:val="22"/>
          <w:szCs w:val="22"/>
        </w:rPr>
        <w:t>(Faturechi and Miller-Hooks, 2014)</w:t>
      </w:r>
      <w:r w:rsidRPr="008B4D96">
        <w:rPr>
          <w:rFonts w:ascii="Arial" w:hAnsi="Arial" w:cs="Arial"/>
          <w:noProof/>
          <w:sz w:val="22"/>
          <w:szCs w:val="22"/>
        </w:rPr>
        <w:fldChar w:fldCharType="end"/>
      </w:r>
      <w:r w:rsidRPr="008B4D96">
        <w:rPr>
          <w:rFonts w:ascii="Arial" w:hAnsi="Arial" w:cs="Arial"/>
          <w:noProof/>
          <w:sz w:val="22"/>
          <w:szCs w:val="22"/>
        </w:rPr>
        <w:t>.</w:t>
      </w:r>
      <w:r w:rsidRPr="008B4D96">
        <w:rPr>
          <w:rFonts w:ascii="Arial" w:hAnsi="Arial" w:cs="Arial"/>
          <w:sz w:val="22"/>
          <w:szCs w:val="22"/>
        </w:rPr>
        <w:t xml:space="preserve"> </w:t>
      </w:r>
      <w:r w:rsidRPr="008B4D96">
        <w:rPr>
          <w:rFonts w:ascii="Arial" w:hAnsi="Arial" w:cs="Arial"/>
          <w:b/>
          <w:sz w:val="22"/>
          <w:szCs w:val="22"/>
        </w:rPr>
        <w:fldChar w:fldCharType="begin"/>
      </w:r>
      <w:r w:rsidRPr="008B4D96">
        <w:rPr>
          <w:rFonts w:ascii="Arial" w:hAnsi="Arial" w:cs="Arial"/>
          <w:b/>
          <w:sz w:val="22"/>
          <w:szCs w:val="22"/>
        </w:rPr>
        <w:instrText xml:space="preserve"> REF _Ref55338899 \h  \* MERGEFORMAT </w:instrText>
      </w:r>
      <w:r w:rsidRPr="008B4D96">
        <w:rPr>
          <w:rFonts w:ascii="Arial" w:hAnsi="Arial" w:cs="Arial"/>
          <w:b/>
          <w:sz w:val="22"/>
          <w:szCs w:val="22"/>
        </w:rPr>
      </w:r>
      <w:r w:rsidRPr="008B4D96">
        <w:rPr>
          <w:rFonts w:ascii="Arial" w:hAnsi="Arial" w:cs="Arial"/>
          <w:b/>
          <w:sz w:val="22"/>
          <w:szCs w:val="22"/>
        </w:rPr>
        <w:fldChar w:fldCharType="separate"/>
      </w:r>
      <w:r w:rsidRPr="008B4D96">
        <w:rPr>
          <w:rFonts w:ascii="Arial" w:hAnsi="Arial" w:cs="Arial"/>
          <w:bCs/>
          <w:sz w:val="22"/>
          <w:szCs w:val="22"/>
        </w:rPr>
        <w:t xml:space="preserve">Table </w:t>
      </w:r>
      <w:r w:rsidRPr="008B4D96">
        <w:rPr>
          <w:rFonts w:ascii="Arial" w:hAnsi="Arial" w:cs="Arial"/>
          <w:bCs/>
          <w:noProof/>
          <w:sz w:val="22"/>
          <w:szCs w:val="22"/>
        </w:rPr>
        <w:t>1</w:t>
      </w:r>
      <w:r w:rsidRPr="008B4D96">
        <w:rPr>
          <w:rFonts w:ascii="Arial" w:hAnsi="Arial" w:cs="Arial"/>
          <w:b/>
          <w:sz w:val="22"/>
          <w:szCs w:val="22"/>
        </w:rPr>
        <w:fldChar w:fldCharType="end"/>
      </w:r>
      <w:r w:rsidRPr="008B4D96">
        <w:rPr>
          <w:rFonts w:ascii="Arial" w:hAnsi="Arial" w:cs="Arial"/>
          <w:sz w:val="22"/>
          <w:szCs w:val="22"/>
        </w:rPr>
        <w:t xml:space="preserve"> provides a list of traffic parameters and MOEs categorized based on the concepts of vulnerability and resilience to assess the operational performance of a road network. </w:t>
      </w:r>
    </w:p>
    <w:p w14:paraId="0BAC8F28" w14:textId="77777777" w:rsidR="00B56A0F" w:rsidRPr="008B4D96" w:rsidRDefault="00B56A0F" w:rsidP="00B56A0F">
      <w:pPr>
        <w:spacing w:before="120" w:line="264" w:lineRule="auto"/>
        <w:ind w:firstLine="360"/>
        <w:jc w:val="center"/>
        <w:rPr>
          <w:rFonts w:ascii="Arial" w:hAnsi="Arial" w:cs="Arial"/>
          <w:noProof/>
          <w:sz w:val="20"/>
          <w:szCs w:val="20"/>
        </w:rPr>
      </w:pPr>
      <w:bookmarkStart w:id="3" w:name="_Ref55338899"/>
      <w:r w:rsidRPr="008B4D96">
        <w:rPr>
          <w:rFonts w:ascii="Arial" w:hAnsi="Arial" w:cs="Arial"/>
          <w:bCs/>
          <w:sz w:val="20"/>
          <w:szCs w:val="20"/>
        </w:rPr>
        <w:lastRenderedPageBreak/>
        <w:t xml:space="preserve">Table </w:t>
      </w:r>
      <w:r w:rsidRPr="008B4D96">
        <w:rPr>
          <w:rFonts w:ascii="Arial" w:hAnsi="Arial" w:cs="Arial"/>
          <w:bCs/>
          <w:sz w:val="20"/>
          <w:szCs w:val="20"/>
        </w:rPr>
        <w:fldChar w:fldCharType="begin"/>
      </w:r>
      <w:r w:rsidRPr="008B4D96">
        <w:rPr>
          <w:rFonts w:ascii="Arial" w:hAnsi="Arial" w:cs="Arial"/>
          <w:bCs/>
          <w:sz w:val="20"/>
          <w:szCs w:val="20"/>
        </w:rPr>
        <w:instrText xml:space="preserve"> SEQ Table \* ARABIC </w:instrText>
      </w:r>
      <w:r w:rsidRPr="008B4D96">
        <w:rPr>
          <w:rFonts w:ascii="Arial" w:hAnsi="Arial" w:cs="Arial"/>
          <w:bCs/>
          <w:sz w:val="20"/>
          <w:szCs w:val="20"/>
        </w:rPr>
        <w:fldChar w:fldCharType="separate"/>
      </w:r>
      <w:r w:rsidRPr="008B4D96">
        <w:rPr>
          <w:rFonts w:ascii="Arial" w:hAnsi="Arial" w:cs="Arial"/>
          <w:bCs/>
          <w:noProof/>
          <w:sz w:val="20"/>
          <w:szCs w:val="20"/>
        </w:rPr>
        <w:t>1</w:t>
      </w:r>
      <w:r w:rsidRPr="008B4D96">
        <w:rPr>
          <w:rFonts w:ascii="Arial" w:hAnsi="Arial" w:cs="Arial"/>
          <w:bCs/>
          <w:noProof/>
          <w:sz w:val="20"/>
          <w:szCs w:val="20"/>
        </w:rPr>
        <w:fldChar w:fldCharType="end"/>
      </w:r>
      <w:bookmarkEnd w:id="3"/>
      <w:r w:rsidRPr="008B4D96">
        <w:rPr>
          <w:rFonts w:ascii="Arial" w:hAnsi="Arial" w:cs="Arial"/>
          <w:bCs/>
          <w:noProof/>
          <w:sz w:val="20"/>
          <w:szCs w:val="20"/>
        </w:rPr>
        <w:t>:</w:t>
      </w:r>
      <w:r w:rsidRPr="008B4D96">
        <w:rPr>
          <w:rFonts w:ascii="Arial" w:hAnsi="Arial" w:cs="Arial"/>
          <w:noProof/>
          <w:sz w:val="20"/>
          <w:szCs w:val="20"/>
        </w:rPr>
        <w:t xml:space="preserve"> Applied traffic factors in natural disaster-related transportation studies</w:t>
      </w:r>
    </w:p>
    <w:tbl>
      <w:tblPr>
        <w:tblStyle w:val="TableTheme"/>
        <w:tblpPr w:leftFromText="180" w:rightFromText="180" w:vertAnchor="text" w:tblpY="1"/>
        <w:tblW w:w="9498" w:type="dxa"/>
        <w:tblLayout w:type="fixed"/>
        <w:tblLook w:val="0420" w:firstRow="1" w:lastRow="0" w:firstColumn="0" w:lastColumn="0" w:noHBand="0" w:noVBand="1"/>
      </w:tblPr>
      <w:tblGrid>
        <w:gridCol w:w="2127"/>
        <w:gridCol w:w="1417"/>
        <w:gridCol w:w="5954"/>
      </w:tblGrid>
      <w:tr w:rsidR="00B56A0F" w:rsidRPr="008B4D96" w14:paraId="2B805D4E" w14:textId="77777777" w:rsidTr="00B6361C">
        <w:trPr>
          <w:cnfStyle w:val="100000000000" w:firstRow="1" w:lastRow="0" w:firstColumn="0" w:lastColumn="0" w:oddVBand="0" w:evenVBand="0" w:oddHBand="0" w:evenHBand="0" w:firstRowFirstColumn="0" w:firstRowLastColumn="0" w:lastRowFirstColumn="0" w:lastRowLastColumn="0"/>
          <w:trHeight w:val="283"/>
        </w:trPr>
        <w:tc>
          <w:tcPr>
            <w:tcW w:w="2127" w:type="dxa"/>
            <w:tcBorders>
              <w:right w:val="single" w:sz="4" w:space="0" w:color="auto"/>
            </w:tcBorders>
          </w:tcPr>
          <w:p w14:paraId="75FCA83A" w14:textId="77777777" w:rsidR="00B56A0F" w:rsidRPr="008B4D96" w:rsidRDefault="00B56A0F" w:rsidP="00B6361C">
            <w:pPr>
              <w:rPr>
                <w:rFonts w:ascii="Arial" w:hAnsi="Arial" w:cs="Arial"/>
                <w:b/>
                <w:caps/>
                <w:kern w:val="24"/>
                <w:sz w:val="20"/>
                <w:szCs w:val="20"/>
                <w:lang w:eastAsia="en-NZ"/>
              </w:rPr>
            </w:pPr>
            <w:r w:rsidRPr="008B4D96">
              <w:rPr>
                <w:rFonts w:ascii="Arial" w:hAnsi="Arial" w:cs="Arial"/>
                <w:b/>
                <w:caps/>
                <w:kern w:val="24"/>
                <w:sz w:val="20"/>
                <w:szCs w:val="20"/>
                <w:lang w:eastAsia="en-NZ"/>
              </w:rPr>
              <w:t>Studies</w:t>
            </w:r>
          </w:p>
        </w:tc>
        <w:tc>
          <w:tcPr>
            <w:tcW w:w="1417" w:type="dxa"/>
            <w:tcBorders>
              <w:left w:val="single" w:sz="4" w:space="0" w:color="auto"/>
              <w:right w:val="single" w:sz="4" w:space="0" w:color="auto"/>
            </w:tcBorders>
          </w:tcPr>
          <w:p w14:paraId="78CEA9D6" w14:textId="77777777" w:rsidR="00B56A0F" w:rsidRPr="008B4D96" w:rsidRDefault="00B56A0F" w:rsidP="00B6361C">
            <w:pPr>
              <w:rPr>
                <w:rFonts w:ascii="Arial" w:hAnsi="Arial" w:cs="Arial"/>
                <w:b/>
                <w:caps/>
                <w:kern w:val="24"/>
                <w:sz w:val="20"/>
                <w:szCs w:val="20"/>
                <w:lang w:eastAsia="en-NZ"/>
              </w:rPr>
            </w:pPr>
            <w:r w:rsidRPr="008B4D96">
              <w:rPr>
                <w:rFonts w:ascii="Arial" w:hAnsi="Arial" w:cs="Arial"/>
                <w:b/>
                <w:caps/>
                <w:kern w:val="24"/>
                <w:sz w:val="20"/>
                <w:szCs w:val="20"/>
                <w:lang w:eastAsia="en-NZ"/>
              </w:rPr>
              <w:t>concept</w:t>
            </w:r>
          </w:p>
        </w:tc>
        <w:tc>
          <w:tcPr>
            <w:tcW w:w="5954" w:type="dxa"/>
            <w:tcBorders>
              <w:left w:val="single" w:sz="4" w:space="0" w:color="auto"/>
            </w:tcBorders>
          </w:tcPr>
          <w:p w14:paraId="2B565ED2" w14:textId="77777777" w:rsidR="00B56A0F" w:rsidRPr="008B4D96" w:rsidRDefault="00B56A0F" w:rsidP="00B6361C">
            <w:pPr>
              <w:rPr>
                <w:rFonts w:ascii="Arial" w:hAnsi="Arial" w:cs="Arial"/>
                <w:b/>
                <w:sz w:val="20"/>
                <w:szCs w:val="20"/>
                <w:lang w:eastAsia="en-NZ"/>
              </w:rPr>
            </w:pPr>
            <w:r w:rsidRPr="008B4D96">
              <w:rPr>
                <w:rFonts w:ascii="Arial" w:hAnsi="Arial" w:cs="Arial"/>
                <w:b/>
                <w:caps/>
                <w:kern w:val="24"/>
                <w:sz w:val="20"/>
                <w:szCs w:val="20"/>
                <w:lang w:eastAsia="en-NZ"/>
              </w:rPr>
              <w:t>Performance Measures</w:t>
            </w:r>
          </w:p>
        </w:tc>
      </w:tr>
      <w:tr w:rsidR="00B56A0F" w:rsidRPr="008B4D96" w14:paraId="3C415A69" w14:textId="77777777" w:rsidTr="00B6361C">
        <w:trPr>
          <w:trHeight w:val="283"/>
        </w:trPr>
        <w:tc>
          <w:tcPr>
            <w:tcW w:w="2127" w:type="dxa"/>
            <w:tcBorders>
              <w:top w:val="single" w:sz="4" w:space="0" w:color="auto"/>
              <w:right w:val="single" w:sz="4" w:space="0" w:color="auto"/>
            </w:tcBorders>
          </w:tcPr>
          <w:p w14:paraId="768849F5" w14:textId="77777777" w:rsidR="00B56A0F" w:rsidRPr="008B4D96" w:rsidRDefault="00B56A0F" w:rsidP="00B6361C">
            <w:pPr>
              <w:rPr>
                <w:rFonts w:ascii="Arial" w:hAnsi="Arial" w:cs="Arial"/>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AuthorYear="1"&gt;&lt;Author&gt;Zhang&lt;/Author&gt;&lt;Year&gt;2016&lt;/Year&gt;&lt;RecNum&gt;60&lt;/RecNum&gt;&lt;DisplayText&gt;Zhang and Wang (2016)&lt;/DisplayText&gt;&lt;record&gt;&lt;rec-number&gt;60&lt;/rec-number&gt;&lt;foreign-keys&gt;&lt;key app="EN" db-id="s0p2zpapifxv9yep9sf5x929xxwtr5f95aw2" timestamp="1550437383"&gt;60&lt;/key&gt;&lt;key app="ENWeb" db-id=""&gt;0&lt;/key&gt;&lt;/foreign-keys&gt;&lt;ref-type name="Journal Article"&gt;17&lt;/ref-type&gt;&lt;contributors&gt;&lt;authors&gt;&lt;author&gt;Weili Zhang&lt;/author&gt;&lt;author&gt;Naiyu Wang&lt;/author&gt;&lt;/authors&gt;&lt;/contributors&gt;&lt;titles&gt;&lt;title&gt;Resilience-based risk mitigation for road networks&lt;/title&gt;&lt;secondary-title&gt;Structural Safety&lt;/secondary-title&gt;&lt;/titles&gt;&lt;periodical&gt;&lt;full-title&gt;Structural Safety&lt;/full-title&gt;&lt;/periodical&gt;&lt;pages&gt;57-65&lt;/pages&gt;&lt;volume&gt;62&lt;/volume&gt;&lt;keywords&gt;&lt;keyword&gt;Bridges&lt;/keyword&gt;&lt;keyword&gt;Civil infrastructure systems&lt;/keyword&gt;&lt;keyword&gt;Decision optimization&lt;/keyword&gt;&lt;keyword&gt;Resilience&lt;/keyword&gt;&lt;keyword&gt;Risk mitigation&lt;/keyword&gt;&lt;keyword&gt;System reliability&lt;/keyword&gt;&lt;keyword&gt;Transportation networks&lt;/keyword&gt;&lt;/keywords&gt;&lt;dates&gt;&lt;year&gt;2016&lt;/year&gt;&lt;/dates&gt;&lt;urls&gt;&lt;/urls&gt;&lt;electronic-resource-num&gt;http://dx.doi.org/10.1016/j.strusafe.2016.06.003&lt;/electronic-resource-num&gt;&lt;/record&gt;&lt;/Cite&gt;&lt;/EndNote&gt;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Zhang and Wang (2016)</w:t>
            </w:r>
            <w:r w:rsidRPr="008B4D96">
              <w:rPr>
                <w:rFonts w:ascii="Arial" w:hAnsi="Arial" w:cs="Arial"/>
                <w:sz w:val="20"/>
                <w:szCs w:val="20"/>
                <w:lang w:eastAsia="en-NZ"/>
              </w:rPr>
              <w:fldChar w:fldCharType="end"/>
            </w:r>
          </w:p>
        </w:tc>
        <w:tc>
          <w:tcPr>
            <w:tcW w:w="1417" w:type="dxa"/>
            <w:tcBorders>
              <w:top w:val="single" w:sz="4" w:space="0" w:color="auto"/>
              <w:left w:val="single" w:sz="4" w:space="0" w:color="auto"/>
              <w:right w:val="single" w:sz="4" w:space="0" w:color="auto"/>
            </w:tcBorders>
          </w:tcPr>
          <w:p w14:paraId="658A26ED"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top w:val="single" w:sz="4" w:space="0" w:color="auto"/>
              <w:left w:val="single" w:sz="4" w:space="0" w:color="auto"/>
            </w:tcBorders>
          </w:tcPr>
          <w:p w14:paraId="000433BC" w14:textId="77777777" w:rsidR="00B56A0F" w:rsidRPr="008B4D96" w:rsidRDefault="00B56A0F" w:rsidP="00B6361C">
            <w:pPr>
              <w:rPr>
                <w:rFonts w:ascii="Arial" w:hAnsi="Arial" w:cs="Arial"/>
                <w:sz w:val="20"/>
                <w:szCs w:val="20"/>
              </w:rPr>
            </w:pPr>
            <w:r w:rsidRPr="008B4D96">
              <w:rPr>
                <w:rFonts w:ascii="Arial" w:hAnsi="Arial" w:cs="Arial"/>
                <w:noProof/>
                <w:sz w:val="20"/>
                <w:szCs w:val="20"/>
              </w:rPr>
              <w:t>Reliable Independent Pathways (IPWs); node weighting factor (the shortest distance between a node and emergency response facility); IPW weighting factor (average daily traffic (ADT); length)</w:t>
            </w:r>
          </w:p>
        </w:tc>
      </w:tr>
      <w:tr w:rsidR="00B56A0F" w:rsidRPr="008B4D96" w14:paraId="590A963C" w14:textId="77777777" w:rsidTr="00B6361C">
        <w:trPr>
          <w:trHeight w:val="283"/>
        </w:trPr>
        <w:tc>
          <w:tcPr>
            <w:tcW w:w="2127" w:type="dxa"/>
            <w:tcBorders>
              <w:right w:val="single" w:sz="4" w:space="0" w:color="auto"/>
            </w:tcBorders>
          </w:tcPr>
          <w:p w14:paraId="323640F1"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AuthorYear="1"&gt;&lt;Author&gt;Pokharel&lt;/Author&gt;&lt;Year&gt;2016&lt;/Year&gt;&lt;RecNum&gt;87&lt;/RecNum&gt;&lt;DisplayText&gt;Pokharel and Ieda (2016)&lt;/DisplayText&gt;&lt;record&gt;&lt;rec-number&gt;87&lt;/rec-number&gt;&lt;foreign-keys&gt;&lt;key app="EN" db-id="s0p2zpapifxv9yep9sf5x929xxwtr5f95aw2" timestamp="1550437406"&gt;87&lt;/key&gt;&lt;key app="ENWeb" db-id=""&gt;0&lt;/key&gt;&lt;/foreign-keys&gt;&lt;ref-type name="Journal Article"&gt;17&lt;/ref-type&gt;&lt;contributors&gt;&lt;authors&gt;&lt;author&gt;Ramesh Pokharel &lt;/author&gt;&lt;author&gt;Hitoshi Ieda &lt;/author&gt;&lt;/authors&gt;&lt;/contributors&gt;&lt;titles&gt;&lt;title&gt;Road Network Evaluation From A Reliability Perspective: An Accessibility And Network Closure Vulnerability Approach&lt;/title&gt;&lt;secondary-title&gt;Asian Transport Studies&lt;/secondary-title&gt;&lt;/titles&gt;&lt;periodical&gt;&lt;full-title&gt;Asian Transport Studies&lt;/full-title&gt;&lt;/periodical&gt;&lt;pages&gt;37-56&lt;/pages&gt;&lt;volume&gt;Vol. 4&lt;/volume&gt;&lt;number&gt;Issue 1&lt;/number&gt;&lt;dates&gt;&lt;year&gt;2016&lt;/year&gt;&lt;/dates&gt;&lt;urls&gt;&lt;/urls&gt;&lt;/record&gt;&lt;/Cite&gt;&lt;/EndNote&gt;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Pokharel and Ieda (2016)</w:t>
            </w:r>
            <w:r w:rsidRPr="008B4D96">
              <w:rPr>
                <w:rFonts w:ascii="Arial" w:hAnsi="Arial" w:cs="Arial"/>
                <w:sz w:val="20"/>
                <w:szCs w:val="20"/>
                <w:lang w:eastAsia="en-NZ"/>
              </w:rPr>
              <w:fldChar w:fldCharType="end"/>
            </w:r>
          </w:p>
        </w:tc>
        <w:tc>
          <w:tcPr>
            <w:tcW w:w="1417" w:type="dxa"/>
            <w:tcBorders>
              <w:left w:val="single" w:sz="4" w:space="0" w:color="auto"/>
              <w:right w:val="single" w:sz="4" w:space="0" w:color="auto"/>
            </w:tcBorders>
          </w:tcPr>
          <w:p w14:paraId="66663A3C"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Vulnerability</w:t>
            </w:r>
          </w:p>
        </w:tc>
        <w:tc>
          <w:tcPr>
            <w:tcW w:w="5954" w:type="dxa"/>
            <w:tcBorders>
              <w:left w:val="single" w:sz="4" w:space="0" w:color="auto"/>
            </w:tcBorders>
          </w:tcPr>
          <w:p w14:paraId="7AD50415" w14:textId="77777777" w:rsidR="00B56A0F" w:rsidRPr="008B4D96" w:rsidRDefault="00B56A0F" w:rsidP="00B6361C">
            <w:pPr>
              <w:rPr>
                <w:rFonts w:ascii="Arial" w:hAnsi="Arial" w:cs="Arial"/>
                <w:sz w:val="20"/>
                <w:szCs w:val="20"/>
              </w:rPr>
            </w:pPr>
            <w:r w:rsidRPr="008B4D96">
              <w:rPr>
                <w:rFonts w:ascii="Arial" w:hAnsi="Arial" w:cs="Arial"/>
                <w:noProof/>
                <w:sz w:val="20"/>
                <w:szCs w:val="20"/>
              </w:rPr>
              <w:t>Population; shortest distance; detour ratio: alternative shortest path when one or more links fail/shortest path</w:t>
            </w:r>
          </w:p>
        </w:tc>
      </w:tr>
      <w:tr w:rsidR="00B56A0F" w:rsidRPr="008B4D96" w14:paraId="78248715" w14:textId="77777777" w:rsidTr="00B6361C">
        <w:trPr>
          <w:trHeight w:val="283"/>
        </w:trPr>
        <w:tc>
          <w:tcPr>
            <w:tcW w:w="2127" w:type="dxa"/>
            <w:tcBorders>
              <w:right w:val="single" w:sz="4" w:space="0" w:color="auto"/>
            </w:tcBorders>
          </w:tcPr>
          <w:p w14:paraId="06325856"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AuthorYear="1"&gt;&lt;Author&gt;Muriel-Villegas&lt;/Author&gt;&lt;Year&gt;2016&lt;/Year&gt;&lt;RecNum&gt;139&lt;/RecNum&gt;&lt;DisplayText&gt;Muriel-Villegas et al. (2016)&lt;/DisplayText&gt;&lt;record&gt;&lt;rec-number&gt;139&lt;/rec-number&gt;&lt;foreign-keys&gt;&lt;key app="EN" db-id="s0p2zpapifxv9yep9sf5x929xxwtr5f95aw2" timestamp="1550437442"&gt;139&lt;/key&gt;&lt;key app="ENWeb" db-id=""&gt;0&lt;/key&gt;&lt;/foreign-keys&gt;&lt;ref-type name="Journal Article"&gt;17&lt;/ref-type&gt;&lt;contributors&gt;&lt;authors&gt;&lt;author&gt;Juan E. Muriel-Villegas&lt;/author&gt;&lt;author&gt;Karla C. Alvarez-Uribe&lt;/author&gt;&lt;author&gt;Carmen E. Patiño-Rodríguez&lt;/author&gt;&lt;author&gt;Juan G. Villegas&lt;/author&gt;&lt;/authors&gt;&lt;/contributors&gt;&lt;titles&gt;&lt;title&gt;Analysis of transportation networks subject to natural hazards – Insights from a Colombian case&lt;/title&gt;&lt;secondary-title&gt;Reliability Engineering and System Safety&lt;/secondary-title&gt;&lt;/titles&gt;&lt;periodical&gt;&lt;full-title&gt;Reliability Engineering and System Safety&lt;/full-title&gt;&lt;/periodical&gt;&lt;pages&gt;151-165&lt;/pages&gt;&lt;volume&gt;152&lt;/volume&gt;&lt;dates&gt;&lt;year&gt;2016&lt;/year&gt;&lt;/dates&gt;&lt;urls&gt;&lt;/urls&gt;&lt;electronic-resource-num&gt;http://dx.doi.org/10.1016/j.ress.2016.03.006&lt;/electronic-resource-num&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Muriel-Villegas et al. (2016)</w:t>
            </w:r>
            <w:r w:rsidRPr="008B4D96">
              <w:rPr>
                <w:rFonts w:ascii="Arial" w:hAnsi="Arial" w:cs="Arial"/>
                <w:sz w:val="20"/>
                <w:szCs w:val="20"/>
                <w:lang w:eastAsia="en-NZ"/>
              </w:rPr>
              <w:fldChar w:fldCharType="end"/>
            </w:r>
          </w:p>
        </w:tc>
        <w:tc>
          <w:tcPr>
            <w:tcW w:w="1417" w:type="dxa"/>
            <w:tcBorders>
              <w:left w:val="single" w:sz="4" w:space="0" w:color="auto"/>
              <w:right w:val="single" w:sz="4" w:space="0" w:color="auto"/>
            </w:tcBorders>
          </w:tcPr>
          <w:p w14:paraId="54739B3B"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Vulnerability</w:t>
            </w:r>
          </w:p>
        </w:tc>
        <w:tc>
          <w:tcPr>
            <w:tcW w:w="5954" w:type="dxa"/>
            <w:tcBorders>
              <w:left w:val="single" w:sz="4" w:space="0" w:color="auto"/>
            </w:tcBorders>
          </w:tcPr>
          <w:p w14:paraId="721704EA"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Link weakness; link importance (% of traffic flow); link criticality (decreased flow)</w:t>
            </w:r>
          </w:p>
        </w:tc>
      </w:tr>
      <w:tr w:rsidR="00B56A0F" w:rsidRPr="008B4D96" w14:paraId="4D793BE6" w14:textId="77777777" w:rsidTr="00B6361C">
        <w:trPr>
          <w:trHeight w:val="283"/>
        </w:trPr>
        <w:tc>
          <w:tcPr>
            <w:tcW w:w="2127" w:type="dxa"/>
            <w:tcBorders>
              <w:right w:val="single" w:sz="4" w:space="0" w:color="auto"/>
            </w:tcBorders>
          </w:tcPr>
          <w:p w14:paraId="2C5F170F"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AuthorYear="1"&gt;&lt;Author&gt;Zhang&lt;/Author&gt;&lt;Year&gt;2015&lt;/Year&gt;&lt;RecNum&gt;67&lt;/RecNum&gt;&lt;DisplayText&gt;Zhang et al. (2015)&lt;/DisplayText&gt;&lt;record&gt;&lt;rec-number&gt;67&lt;/rec-number&gt;&lt;foreign-keys&gt;&lt;key app="EN" db-id="s0p2zpapifxv9yep9sf5x929xxwtr5f95aw2" timestamp="1550437387"&gt;67&lt;/key&gt;&lt;key app="ENWeb" db-id=""&gt;0&lt;/key&gt;&lt;/foreign-keys&gt;&lt;ref-type name="Journal Article"&gt;17&lt;/ref-type&gt;&lt;contributors&gt;&lt;authors&gt;&lt;author&gt;X. Zhang&lt;/author&gt;&lt;author&gt;E. Miller-Hooks&lt;/author&gt;&lt;author&gt;K. Denny&lt;/author&gt;&lt;/authors&gt;&lt;/contributors&gt;&lt;titles&gt;&lt;title&gt;Assessing the role of network topology in transportation network resilience&lt;/title&gt;&lt;secondary-title&gt;Journal of Transport Geography&lt;/secondary-title&gt;&lt;/titles&gt;&lt;periodical&gt;&lt;full-title&gt;Journal of Transport Geography&lt;/full-title&gt;&lt;/periodical&gt;&lt;pages&gt;35-45&lt;/pages&gt;&lt;volume&gt;46&lt;/volume&gt;&lt;keywords&gt;&lt;keyword&gt;Resilience&lt;/keyword&gt;&lt;keyword&gt;Vulnerability&lt;/keyword&gt;&lt;keyword&gt;Reliability&lt;/keyword&gt;&lt;keyword&gt;Network performance&lt;/keyword&gt;&lt;keyword&gt;Infrastructure systems&lt;/keyword&gt;&lt;keyword&gt;Graph theory&lt;/keyword&gt;&lt;/keywords&gt;&lt;dates&gt;&lt;year&gt;2015&lt;/year&gt;&lt;/dates&gt;&lt;urls&gt;&lt;/urls&gt;&lt;electronic-resource-num&gt;http://dx.doi.org/10.1016/j.jtrangeo.2015.05.006&lt;/electronic-resource-num&gt;&lt;/record&gt;&lt;/Cite&gt;&lt;/EndNote&gt;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Zhang et al. (2015)</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5704599D"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left w:val="single" w:sz="4" w:space="0" w:color="auto"/>
            </w:tcBorders>
          </w:tcPr>
          <w:p w14:paraId="5CEEBA98"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Flow, capacity, travel time, shortest distance, cost</w:t>
            </w:r>
          </w:p>
        </w:tc>
      </w:tr>
      <w:tr w:rsidR="00B56A0F" w:rsidRPr="008B4D96" w14:paraId="03554C7D" w14:textId="77777777" w:rsidTr="00B6361C">
        <w:trPr>
          <w:trHeight w:val="283"/>
        </w:trPr>
        <w:tc>
          <w:tcPr>
            <w:tcW w:w="2127" w:type="dxa"/>
            <w:tcBorders>
              <w:right w:val="single" w:sz="4" w:space="0" w:color="auto"/>
            </w:tcBorders>
          </w:tcPr>
          <w:p w14:paraId="3EFBC8DC"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AuthorYear="1"&gt;&lt;Author&gt;Soltani-Sobh&lt;/Author&gt;&lt;Year&gt;2015&lt;/Year&gt;&lt;RecNum&gt;161&lt;/RecNum&gt;&lt;DisplayText&gt;Soltani-Sobh et al. (2015)&lt;/DisplayText&gt;&lt;record&gt;&lt;rec-number&gt;161&lt;/rec-number&gt;&lt;foreign-keys&gt;&lt;key app="EN" db-id="s0p2zpapifxv9yep9sf5x929xxwtr5f95aw2" timestamp="1550437454"&gt;161&lt;/key&gt;&lt;key app="ENWeb" db-id=""&gt;0&lt;/key&gt;&lt;/foreign-keys&gt;&lt;ref-type name="Journal Article"&gt;17&lt;/ref-type&gt;&lt;contributors&gt;&lt;authors&gt;&lt;author&gt;Ali Soltani-Sobh&lt;/author&gt;&lt;author&gt;Kevin Heaslip&lt;/author&gt;&lt;author&gt;John El Khoury&lt;/author&gt;&lt;/authors&gt;&lt;/contributors&gt;&lt;titles&gt;&lt;title&gt;Estimation of road network reliability on resiliency: An uncertain based model&lt;/title&gt;&lt;secondary-title&gt;International Journal of Disaster Risk Reduction&lt;/secondary-title&gt;&lt;/titles&gt;&lt;periodical&gt;&lt;full-title&gt;International Journal of Disaster Risk Reduction&lt;/full-title&gt;&lt;/periodical&gt;&lt;pages&gt;536-544&lt;/pages&gt;&lt;volume&gt;14&lt;/volume&gt;&lt;dates&gt;&lt;year&gt;2015&lt;/year&gt;&lt;/dates&gt;&lt;urls&gt;&lt;/urls&gt;&lt;electronic-resource-num&gt;http://dx.doi.org/10.1016/j.ijdrr.2015.10.005&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Soltani-Sobh et al. (2015)</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5C5585BF"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left w:val="single" w:sz="4" w:space="0" w:color="auto"/>
            </w:tcBorders>
          </w:tcPr>
          <w:p w14:paraId="57F8EAD2"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Total travel time, flow, consumer surplus</w:t>
            </w:r>
          </w:p>
        </w:tc>
      </w:tr>
      <w:tr w:rsidR="00B56A0F" w:rsidRPr="008B4D96" w14:paraId="39D3ED60" w14:textId="77777777" w:rsidTr="00B6361C">
        <w:trPr>
          <w:trHeight w:val="283"/>
        </w:trPr>
        <w:tc>
          <w:tcPr>
            <w:tcW w:w="2127" w:type="dxa"/>
            <w:tcBorders>
              <w:right w:val="single" w:sz="4" w:space="0" w:color="auto"/>
            </w:tcBorders>
          </w:tcPr>
          <w:p w14:paraId="7A6414D9"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AuthorYear="1"&gt;&lt;Author&gt;El-Rashidy&lt;/Author&gt;&lt;Year&gt;2014&lt;/Year&gt;&lt;RecNum&gt;154&lt;/RecNum&gt;&lt;DisplayText&gt;El-Rashidy and Grant-Muller (2014)&lt;/DisplayText&gt;&lt;record&gt;&lt;rec-number&gt;154&lt;/rec-number&gt;&lt;foreign-keys&gt;&lt;key app="EN" db-id="s0p2zpapifxv9yep9sf5x929xxwtr5f95aw2" timestamp="1550437450"&gt;154&lt;/key&gt;&lt;key app="ENWeb" db-id=""&gt;0&lt;/key&gt;&lt;/foreign-keys&gt;&lt;ref-type name="Journal Article"&gt;17&lt;/ref-type&gt;&lt;contributors&gt;&lt;authors&gt;&lt;author&gt;Rawia Ahmed El-Rashidy&lt;/author&gt;&lt;author&gt;Susan M. Grant-Muller&lt;/author&gt;&lt;/authors&gt;&lt;/contributors&gt;&lt;titles&gt;&lt;title&gt;An assessment method for highway network vulnerability&lt;/title&gt;&lt;secondary-title&gt;Journal of Transport Geography&lt;/secondary-title&gt;&lt;/titles&gt;&lt;periodical&gt;&lt;full-title&gt;Journal of Transport Geography&lt;/full-title&gt;&lt;/periodical&gt;&lt;pages&gt;34-43&lt;/pages&gt;&lt;volume&gt;34&lt;/volume&gt;&lt;dates&gt;&lt;year&gt;2014&lt;/year&gt;&lt;/dates&gt;&lt;urls&gt;&lt;/urls&gt;&lt;electronic-resource-num&gt;http://dx.doi.org/10.1016/j.jtrangeo.2013.10.017&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El-Rashidy and Grant-Muller (2014)</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6C80C6F0"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Vulnerability</w:t>
            </w:r>
          </w:p>
        </w:tc>
        <w:tc>
          <w:tcPr>
            <w:tcW w:w="5954" w:type="dxa"/>
            <w:tcBorders>
              <w:left w:val="single" w:sz="4" w:space="0" w:color="auto"/>
            </w:tcBorders>
          </w:tcPr>
          <w:p w14:paraId="235CCA91"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Flow, capacity, congestion density, free flow speed, link length</w:t>
            </w:r>
          </w:p>
        </w:tc>
      </w:tr>
      <w:tr w:rsidR="00B56A0F" w:rsidRPr="008B4D96" w14:paraId="68690972" w14:textId="77777777" w:rsidTr="00B6361C">
        <w:trPr>
          <w:trHeight w:val="283"/>
        </w:trPr>
        <w:tc>
          <w:tcPr>
            <w:tcW w:w="2127" w:type="dxa"/>
            <w:tcBorders>
              <w:right w:val="single" w:sz="4" w:space="0" w:color="auto"/>
            </w:tcBorders>
          </w:tcPr>
          <w:p w14:paraId="12464768"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AuthorYear="1"&gt;&lt;Author&gt;Balijepalli&lt;/Author&gt;&lt;Year&gt;2014&lt;/Year&gt;&lt;RecNum&gt;119&lt;/RecNum&gt;&lt;DisplayText&gt;Balijepalli and Oppong (2014)&lt;/DisplayText&gt;&lt;record&gt;&lt;rec-number&gt;119&lt;/rec-number&gt;&lt;foreign-keys&gt;&lt;key app="EN" db-id="s0p2zpapifxv9yep9sf5x929xxwtr5f95aw2" timestamp="1550437430"&gt;119&lt;/key&gt;&lt;key app="ENWeb" db-id=""&gt;0&lt;/key&gt;&lt;/foreign-keys&gt;&lt;ref-type name="Journal Article"&gt;17&lt;/ref-type&gt;&lt;contributors&gt;&lt;authors&gt;&lt;author&gt;Chandra Balijepalli&lt;/author&gt;&lt;author&gt;Olivia Oppong&lt;/author&gt;&lt;/authors&gt;&lt;/contributors&gt;&lt;titles&gt;&lt;title&gt;Measuring vulnerability of road network considering the extent of serviceability of critical road links in urban areas&lt;/title&gt;&lt;secondary-title&gt;Journal of Transport Geography&lt;/secondary-title&gt;&lt;/titles&gt;&lt;periodical&gt;&lt;full-title&gt;Journal of Transport Geography&lt;/full-title&gt;&lt;/periodical&gt;&lt;pages&gt;145-155&lt;/pages&gt;&lt;volume&gt;39&lt;/volume&gt;&lt;dates&gt;&lt;year&gt;2014&lt;/year&gt;&lt;/dates&gt;&lt;urls&gt;&lt;related-urls&gt;&lt;url&gt;http://dx.doi.org/10.1016/j.jtrangeo.2014.06.025&lt;/url&gt;&lt;/related-urls&gt;&lt;/urls&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Balijepalli and Oppong (2014)</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2D2E17DB"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Vulnerability</w:t>
            </w:r>
          </w:p>
        </w:tc>
        <w:tc>
          <w:tcPr>
            <w:tcW w:w="5954" w:type="dxa"/>
            <w:tcBorders>
              <w:left w:val="single" w:sz="4" w:space="0" w:color="auto"/>
            </w:tcBorders>
          </w:tcPr>
          <w:p w14:paraId="5C55F370"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Capacity, travel time</w:t>
            </w:r>
          </w:p>
        </w:tc>
      </w:tr>
      <w:tr w:rsidR="00B56A0F" w:rsidRPr="008B4D96" w14:paraId="37F6AA1B" w14:textId="77777777" w:rsidTr="00B6361C">
        <w:trPr>
          <w:trHeight w:val="283"/>
        </w:trPr>
        <w:tc>
          <w:tcPr>
            <w:tcW w:w="2127" w:type="dxa"/>
            <w:tcBorders>
              <w:right w:val="single" w:sz="4" w:space="0" w:color="auto"/>
            </w:tcBorders>
          </w:tcPr>
          <w:p w14:paraId="209C3AA0"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AuthorYear="1"&gt;&lt;Author&gt;Omer&lt;/Author&gt;&lt;Year&gt;2013&lt;/Year&gt;&lt;RecNum&gt;183&lt;/RecNum&gt;&lt;DisplayText&gt;Omer et al. (2013)&lt;/DisplayText&gt;&lt;record&gt;&lt;rec-number&gt;183&lt;/rec-number&gt;&lt;foreign-keys&gt;&lt;key app="EN" db-id="s0p2zpapifxv9yep9sf5x929xxwtr5f95aw2" timestamp="1555562641"&gt;183&lt;/key&gt;&lt;/foreign-keys&gt;&lt;ref-type name="Journal Article"&gt;17&lt;/ref-type&gt;&lt;contributors&gt;&lt;authors&gt;&lt;author&gt;Omer, Mayada&lt;/author&gt;&lt;author&gt;Mostashari, Ali&lt;/author&gt;&lt;author&gt;Nilchiani, Roshanak&lt;/author&gt;&lt;/authors&gt;&lt;/contributors&gt;&lt;titles&gt;&lt;title&gt;Assessing resilience in a regional road-based transportation network&lt;/title&gt;&lt;secondary-title&gt;International Journal of Industrial and Systems Engineering&lt;/secondary-title&gt;&lt;/titles&gt;&lt;periodical&gt;&lt;full-title&gt;International Journal of Industrial and Systems Engineering&lt;/full-title&gt;&lt;/periodical&gt;&lt;pages&gt;389-408&lt;/pages&gt;&lt;volume&gt;13&lt;/volume&gt;&lt;number&gt;4&lt;/number&gt;&lt;dates&gt;&lt;year&gt;2013&lt;/year&gt;&lt;/dates&gt;&lt;isbn&gt;1748-5037&lt;/isbn&gt;&lt;urls&gt;&lt;/urls&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Omer et al. (2013)</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2481C84B"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 xml:space="preserve">Resilience </w:t>
            </w:r>
          </w:p>
        </w:tc>
        <w:tc>
          <w:tcPr>
            <w:tcW w:w="5954" w:type="dxa"/>
            <w:tcBorders>
              <w:left w:val="single" w:sz="4" w:space="0" w:color="auto"/>
            </w:tcBorders>
          </w:tcPr>
          <w:p w14:paraId="21EDB99E"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Travel time, CO</w:t>
            </w:r>
            <w:r w:rsidRPr="008B4D96">
              <w:rPr>
                <w:rFonts w:ascii="Arial" w:hAnsi="Arial" w:cs="Arial"/>
                <w:sz w:val="20"/>
                <w:szCs w:val="20"/>
                <w:vertAlign w:val="subscript"/>
              </w:rPr>
              <w:t>2</w:t>
            </w:r>
            <w:r w:rsidRPr="008B4D96">
              <w:rPr>
                <w:rFonts w:ascii="Arial" w:hAnsi="Arial" w:cs="Arial"/>
                <w:sz w:val="20"/>
                <w:szCs w:val="20"/>
              </w:rPr>
              <w:t xml:space="preserve"> emissions, financial cost</w:t>
            </w:r>
          </w:p>
        </w:tc>
      </w:tr>
      <w:tr w:rsidR="00B56A0F" w:rsidRPr="008B4D96" w14:paraId="3094F034" w14:textId="77777777" w:rsidTr="00B6361C">
        <w:trPr>
          <w:trHeight w:val="283"/>
        </w:trPr>
        <w:tc>
          <w:tcPr>
            <w:tcW w:w="2127" w:type="dxa"/>
            <w:tcBorders>
              <w:right w:val="single" w:sz="4" w:space="0" w:color="auto"/>
            </w:tcBorders>
          </w:tcPr>
          <w:p w14:paraId="0CE8A122"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AuthorYear="1"&gt;&lt;Author&gt;Chen&lt;/Author&gt;&lt;Year&gt;2012&lt;/Year&gt;&lt;RecNum&gt;125&lt;/RecNum&gt;&lt;DisplayText&gt;Chen et al. (2012)&lt;/DisplayText&gt;&lt;record&gt;&lt;rec-number&gt;125&lt;/rec-number&gt;&lt;foreign-keys&gt;&lt;key app="EN" db-id="s0p2zpapifxv9yep9sf5x929xxwtr5f95aw2" timestamp="1550437434"&gt;125&lt;/key&gt;&lt;key app="ENWeb" db-id=""&gt;0&lt;/key&gt;&lt;/foreign-keys&gt;&lt;ref-type name="Journal Article"&gt;17&lt;/ref-type&gt;&lt;contributors&gt;&lt;authors&gt;&lt;author&gt;Bi Yu Chen&lt;/author&gt;&lt;author&gt;William H.K. Lam&lt;/author&gt;&lt;author&gt;Agachai Sumalee&lt;/author&gt;&lt;author&gt;Qingquan Li&lt;/author&gt;&lt;author&gt;Zhi Chun Li&lt;/author&gt;&lt;/authors&gt;&lt;/contributors&gt;&lt;titles&gt;&lt;title&gt;Vulnerability analysis for large-scale and congested road networks with demand uncertainty&lt;/title&gt;&lt;secondary-title&gt;Transportation Research Part A 46&lt;/secondary-title&gt;&lt;/titles&gt;&lt;periodical&gt;&lt;full-title&gt;Transportation Research Part A 46&lt;/full-title&gt;&lt;/periodical&gt;&lt;pages&gt;501-516&lt;/pages&gt;&lt;dates&gt;&lt;year&gt;2012&lt;/year&gt;&lt;/dates&gt;&lt;urls&gt;&lt;/urls&gt;&lt;electronic-resource-num&gt;doi:10.1016/j.tra.2011.11.018&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Chen et al. (2012)</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537A483A"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Vulnerability</w:t>
            </w:r>
          </w:p>
        </w:tc>
        <w:tc>
          <w:tcPr>
            <w:tcW w:w="5954" w:type="dxa"/>
            <w:tcBorders>
              <w:left w:val="single" w:sz="4" w:space="0" w:color="auto"/>
            </w:tcBorders>
          </w:tcPr>
          <w:p w14:paraId="1531BFBA"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Demand, travel time</w:t>
            </w:r>
          </w:p>
        </w:tc>
      </w:tr>
      <w:tr w:rsidR="00B56A0F" w:rsidRPr="008B4D96" w14:paraId="1B6E63B7" w14:textId="77777777" w:rsidTr="00B6361C">
        <w:trPr>
          <w:trHeight w:val="283"/>
        </w:trPr>
        <w:tc>
          <w:tcPr>
            <w:tcW w:w="2127" w:type="dxa"/>
            <w:tcBorders>
              <w:right w:val="single" w:sz="4" w:space="0" w:color="auto"/>
            </w:tcBorders>
          </w:tcPr>
          <w:p w14:paraId="5CCFC61E"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AuthorYear="1"&gt;&lt;Author&gt;Miller-Hooks&lt;/Author&gt;&lt;Year&gt;2012&lt;/Year&gt;&lt;RecNum&gt;64&lt;/RecNum&gt;&lt;DisplayText&gt;Miller-Hooks et al. (2012)&lt;/DisplayText&gt;&lt;record&gt;&lt;rec-number&gt;64&lt;/rec-number&gt;&lt;foreign-keys&gt;&lt;key app="EN" db-id="s0p2zpapifxv9yep9sf5x929xxwtr5f95aw2" timestamp="1550437385"&gt;64&lt;/key&gt;&lt;key app="ENWeb" db-id=""&gt;0&lt;/key&gt;&lt;/foreign-keys&gt;&lt;ref-type name="Journal Article"&gt;17&lt;/ref-type&gt;&lt;contributors&gt;&lt;authors&gt;&lt;author&gt;Elise Miller-Hooks&lt;/author&gt;&lt;author&gt;Xiaodong Zhang&lt;/author&gt;&lt;author&gt;Reza Faturechi&lt;/author&gt;&lt;/authors&gt;&lt;/contributors&gt;&lt;titles&gt;&lt;title&gt;Measuring and maximizing resilience of freight transportation networks&lt;/title&gt;&lt;secondary-title&gt;Computers &amp;amp; Operations Research&lt;/secondary-title&gt;&lt;/titles&gt;&lt;periodical&gt;&lt;full-title&gt;Computers &amp;amp; Operations Research&lt;/full-title&gt;&lt;/periodical&gt;&lt;pages&gt;1633-1643&lt;/pages&gt;&lt;volume&gt;39&lt;/volume&gt;&lt;keywords&gt;&lt;keyword&gt;Reliability&lt;/keyword&gt;&lt;keyword&gt;Vulnerability&lt;/keyword&gt;&lt;keyword&gt;Flexibility&lt;/keyword&gt;&lt;keyword&gt;Robustness&lt;/keyword&gt;&lt;keyword&gt;Emergency preparedness&lt;/keyword&gt;&lt;keyword&gt;Stochastic programming&lt;/keyword&gt;&lt;keyword&gt;Recourse&lt;/keyword&gt;&lt;keyword&gt;Recovery&lt;/keyword&gt;&lt;/keywords&gt;&lt;dates&gt;&lt;year&gt;2012&lt;/year&gt;&lt;/dates&gt;&lt;urls&gt;&lt;/urls&gt;&lt;electronic-resource-num&gt;doi:10.1016/j.cor.2011.09.017&lt;/electronic-resource-num&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Miller-Hooks et al. (2012)</w:t>
            </w:r>
            <w:r w:rsidRPr="008B4D96">
              <w:rPr>
                <w:rFonts w:ascii="Arial" w:hAnsi="Arial" w:cs="Arial"/>
                <w:sz w:val="20"/>
                <w:szCs w:val="20"/>
                <w:lang w:eastAsia="en-NZ"/>
              </w:rPr>
              <w:fldChar w:fldCharType="end"/>
            </w:r>
          </w:p>
        </w:tc>
        <w:tc>
          <w:tcPr>
            <w:tcW w:w="1417" w:type="dxa"/>
            <w:tcBorders>
              <w:left w:val="single" w:sz="4" w:space="0" w:color="auto"/>
              <w:right w:val="single" w:sz="4" w:space="0" w:color="auto"/>
            </w:tcBorders>
          </w:tcPr>
          <w:p w14:paraId="29F054D3"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left w:val="single" w:sz="4" w:space="0" w:color="auto"/>
            </w:tcBorders>
          </w:tcPr>
          <w:p w14:paraId="03F2FA06"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Post-disaster capacities; travel time; the cost of implementing recovery activities; implementation time of recovery activities; demand; the cost of implementation preparedness activities; given budget</w:t>
            </w:r>
          </w:p>
        </w:tc>
      </w:tr>
      <w:tr w:rsidR="00B56A0F" w:rsidRPr="008B4D96" w14:paraId="3D347D9D" w14:textId="77777777" w:rsidTr="00B6361C">
        <w:trPr>
          <w:trHeight w:val="283"/>
        </w:trPr>
        <w:tc>
          <w:tcPr>
            <w:tcW w:w="2127" w:type="dxa"/>
            <w:tcBorders>
              <w:right w:val="single" w:sz="4" w:space="0" w:color="auto"/>
            </w:tcBorders>
          </w:tcPr>
          <w:p w14:paraId="74F42B69"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AuthorYear="1"&gt;&lt;Author&gt;Chen&lt;/Author&gt;&lt;Year&gt;2012&lt;/Year&gt;&lt;RecNum&gt;89&lt;/RecNum&gt;&lt;DisplayText&gt;Chen and Miller-Hooks (2012)&lt;/DisplayText&gt;&lt;record&gt;&lt;rec-number&gt;89&lt;/rec-number&gt;&lt;foreign-keys&gt;&lt;key app="EN" db-id="s0p2zpapifxv9yep9sf5x929xxwtr5f95aw2" timestamp="1550437407"&gt;89&lt;/key&gt;&lt;key app="ENWeb" db-id=""&gt;0&lt;/key&gt;&lt;/foreign-keys&gt;&lt;ref-type name="Journal Article"&gt;17&lt;/ref-type&gt;&lt;contributors&gt;&lt;authors&gt;&lt;author&gt;Lichun Chen &lt;/author&gt;&lt;author&gt;Elise Miller-Hooks &lt;/author&gt;&lt;/authors&gt;&lt;/contributors&gt;&lt;titles&gt;&lt;title&gt;Resilience: An Indicator of Recovery Capability in Intermodal Freight Transport&lt;/title&gt;&lt;secondary-title&gt;Transportation Science&lt;/secondary-title&gt;&lt;/titles&gt;&lt;periodical&gt;&lt;full-title&gt;Transportation Science&lt;/full-title&gt;&lt;/periodical&gt;&lt;pages&gt;109-123&lt;/pages&gt;&lt;volume&gt;46(1)&lt;/volume&gt;&lt;dates&gt;&lt;year&gt;2012&lt;/year&gt;&lt;/dates&gt;&lt;urls&gt;&lt;/urls&gt;&lt;electronic-resource-num&gt;http://dx.doi.org/10.1287/trsc.1110.0376&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Chen and Miller-Hooks (2012)</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5632435E"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left w:val="single" w:sz="4" w:space="0" w:color="auto"/>
            </w:tcBorders>
          </w:tcPr>
          <w:p w14:paraId="614F6076" w14:textId="77777777" w:rsidR="00B56A0F" w:rsidRPr="008B4D96" w:rsidRDefault="00B56A0F" w:rsidP="00B6361C">
            <w:pPr>
              <w:rPr>
                <w:rFonts w:ascii="Arial" w:hAnsi="Arial" w:cs="Arial"/>
                <w:kern w:val="24"/>
                <w:sz w:val="20"/>
                <w:szCs w:val="20"/>
                <w:lang w:eastAsia="en-NZ"/>
              </w:rPr>
            </w:pPr>
            <w:r w:rsidRPr="008B4D96">
              <w:rPr>
                <w:rFonts w:ascii="Arial" w:hAnsi="Arial" w:cs="Arial"/>
                <w:noProof/>
                <w:sz w:val="20"/>
                <w:szCs w:val="20"/>
              </w:rPr>
              <w:t>Capacity</w:t>
            </w:r>
            <w:r w:rsidRPr="008B4D96">
              <w:rPr>
                <w:rFonts w:ascii="Arial" w:hAnsi="Arial" w:cs="Arial"/>
                <w:sz w:val="20"/>
                <w:szCs w:val="20"/>
              </w:rPr>
              <w:t>; travel time; implementation recovery time; implementation cost; flow</w:t>
            </w:r>
          </w:p>
        </w:tc>
      </w:tr>
      <w:tr w:rsidR="00B56A0F" w:rsidRPr="008B4D96" w14:paraId="50A9557E" w14:textId="77777777" w:rsidTr="00B6361C">
        <w:trPr>
          <w:trHeight w:val="283"/>
        </w:trPr>
        <w:tc>
          <w:tcPr>
            <w:tcW w:w="2127" w:type="dxa"/>
            <w:tcBorders>
              <w:right w:val="single" w:sz="4" w:space="0" w:color="auto"/>
            </w:tcBorders>
          </w:tcPr>
          <w:p w14:paraId="21C3B559"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AuthorYear="1"&gt;&lt;Author&gt;Luathep&lt;/Author&gt;&lt;Year&gt;2011&lt;/Year&gt;&lt;RecNum&gt;124&lt;/RecNum&gt;&lt;DisplayText&gt;Luathep et al. (2011)&lt;/DisplayText&gt;&lt;record&gt;&lt;rec-number&gt;124&lt;/rec-number&gt;&lt;foreign-keys&gt;&lt;key app="EN" db-id="s0p2zpapifxv9yep9sf5x929xxwtr5f95aw2" timestamp="1550437434"&gt;124&lt;/key&gt;&lt;key app="ENWeb" db-id=""&gt;0&lt;/key&gt;&lt;/foreign-keys&gt;&lt;ref-type name="Journal Article"&gt;17&lt;/ref-type&gt;&lt;contributors&gt;&lt;authors&gt;&lt;author&gt;Paramet Luathep&lt;/author&gt;&lt;author&gt;Agachai Sumalee&lt;/author&gt;&lt;author&gt;H. W. Ho&lt;/author&gt;&lt;author&gt;Fumitaka Kurauchi&lt;/author&gt;&lt;/authors&gt;&lt;/contributors&gt;&lt;titles&gt;&lt;title&gt;Large-scale road network vulnerability analysis: a sensitivity analysis based approach&lt;/title&gt;&lt;secondary-title&gt;Transportation&lt;/secondary-title&gt;&lt;/titles&gt;&lt;periodical&gt;&lt;full-title&gt;Transportation&lt;/full-title&gt;&lt;/periodical&gt;&lt;pages&gt;799-817&lt;/pages&gt;&lt;volume&gt;38&lt;/volume&gt;&lt;dates&gt;&lt;year&gt;2011&lt;/year&gt;&lt;/dates&gt;&lt;urls&gt;&lt;/urls&gt;&lt;electronic-resource-num&gt;DOI 10.1007/s11116-011-9350-0&lt;/electronic-resource-num&gt;&lt;/record&gt;&lt;/Cite&gt;&lt;/EndNote&gt;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Luathep et al. (2011)</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6C10CB7B"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Vulnerability</w:t>
            </w:r>
          </w:p>
        </w:tc>
        <w:tc>
          <w:tcPr>
            <w:tcW w:w="5954" w:type="dxa"/>
            <w:tcBorders>
              <w:left w:val="single" w:sz="4" w:space="0" w:color="auto"/>
            </w:tcBorders>
          </w:tcPr>
          <w:p w14:paraId="5B5B17B5"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Demand, flow, capacity, travel time</w:t>
            </w:r>
          </w:p>
        </w:tc>
      </w:tr>
      <w:tr w:rsidR="00B56A0F" w:rsidRPr="008B4D96" w14:paraId="0A259F39" w14:textId="77777777" w:rsidTr="00B6361C">
        <w:trPr>
          <w:trHeight w:val="283"/>
        </w:trPr>
        <w:tc>
          <w:tcPr>
            <w:tcW w:w="2127" w:type="dxa"/>
            <w:tcBorders>
              <w:right w:val="single" w:sz="4" w:space="0" w:color="auto"/>
            </w:tcBorders>
          </w:tcPr>
          <w:p w14:paraId="0B419B58"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AuthorYear="1"&gt;&lt;Author&gt;Erath&lt;/Author&gt;&lt;Year&gt;2009&lt;/Year&gt;&lt;RecNum&gt;123&lt;/RecNum&gt;&lt;DisplayText&gt;Erath et al. (2009)&lt;/DisplayText&gt;&lt;record&gt;&lt;rec-number&gt;123&lt;/rec-number&gt;&lt;foreign-keys&gt;&lt;key app="EN" db-id="s0p2zpapifxv9yep9sf5x929xxwtr5f95aw2" timestamp="1550437433"&gt;123&lt;/key&gt;&lt;key app="ENWeb" db-id=""&gt;0&lt;/key&gt;&lt;/foreign-keys&gt;&lt;ref-type name="Journal Article"&gt;17&lt;/ref-type&gt;&lt;contributors&gt;&lt;authors&gt;&lt;author&gt;Alex Erath&lt;/author&gt;&lt;author&gt;James Birdsall&lt;/author&gt;&lt;author&gt;Kay W. Axhausen&lt;/author&gt;&lt;author&gt;Rade Hajdin&lt;/author&gt;&lt;/authors&gt;&lt;/contributors&gt;&lt;titles&gt;&lt;title&gt;Vulnerability Assessment Methodology for Swiss Road Network&lt;/title&gt;&lt;secondary-title&gt;Transportation Research Record&lt;/secondary-title&gt;&lt;/titles&gt;&lt;periodical&gt;&lt;full-title&gt;Transportation Research Record&lt;/full-title&gt;&lt;/periodical&gt;&lt;pages&gt;118-126&lt;/pages&gt;&lt;volume&gt;No. 2137&lt;/volume&gt;&lt;number&gt;Transportation Research Board of the National Academies, Washington, D.C.&lt;/number&gt;&lt;dates&gt;&lt;year&gt;2009&lt;/year&gt;&lt;/dates&gt;&lt;urls&gt;&lt;/urls&gt;&lt;electronic-resource-num&gt;DOI: 10.3141/2137-13&lt;/electronic-resource-num&gt;&lt;/record&gt;&lt;/Cite&gt;&lt;/EndNote&gt;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Erath et al. (2009)</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6EF126E7"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Vulnerability</w:t>
            </w:r>
          </w:p>
        </w:tc>
        <w:tc>
          <w:tcPr>
            <w:tcW w:w="5954" w:type="dxa"/>
            <w:tcBorders>
              <w:left w:val="single" w:sz="4" w:space="0" w:color="auto"/>
            </w:tcBorders>
          </w:tcPr>
          <w:p w14:paraId="346E6501"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Travel time costs, driving distance costs, accident costs</w:t>
            </w:r>
          </w:p>
        </w:tc>
      </w:tr>
      <w:tr w:rsidR="00B56A0F" w:rsidRPr="008B4D96" w14:paraId="7D1BFD97" w14:textId="77777777" w:rsidTr="00B6361C">
        <w:trPr>
          <w:trHeight w:val="283"/>
        </w:trPr>
        <w:tc>
          <w:tcPr>
            <w:tcW w:w="2127" w:type="dxa"/>
            <w:tcBorders>
              <w:right w:val="single" w:sz="4" w:space="0" w:color="auto"/>
            </w:tcBorders>
          </w:tcPr>
          <w:p w14:paraId="605A0899"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fldChar w:fldCharType="begin"/>
            </w:r>
            <w:r w:rsidRPr="008B4D96">
              <w:rPr>
                <w:rFonts w:ascii="Arial" w:hAnsi="Arial" w:cs="Arial"/>
                <w:kern w:val="24"/>
                <w:sz w:val="20"/>
                <w:szCs w:val="20"/>
                <w:lang w:eastAsia="en-NZ"/>
              </w:rPr>
              <w:instrText xml:space="preserve"> ADDIN EN.CITE &lt;EndNote&gt;&lt;Cite AuthorYear="1"&gt;&lt;Author&gt;Jenelius&lt;/Author&gt;&lt;Year&gt;2006&lt;/Year&gt;&lt;RecNum&gt;120&lt;/RecNum&gt;&lt;DisplayText&gt;Jenelius et al. (2006)&lt;/DisplayText&gt;&lt;record&gt;&lt;rec-number&gt;120&lt;/rec-number&gt;&lt;foreign-keys&gt;&lt;key app="EN" db-id="s0p2zpapifxv9yep9sf5x929xxwtr5f95aw2" timestamp="1550437431"&gt;120&lt;/key&gt;&lt;key app="ENWeb" db-id=""&gt;0&lt;/key&gt;&lt;/foreign-keys&gt;&lt;ref-type name="Journal Article"&gt;17&lt;/ref-type&gt;&lt;contributors&gt;&lt;authors&gt;&lt;author&gt;Erik Jenelius&lt;/author&gt;&lt;author&gt;Tom Petersen&lt;/author&gt;&lt;author&gt;Lars Goran Mattsson&lt;/author&gt;&lt;/authors&gt;&lt;/contributors&gt;&lt;titles&gt;&lt;title&gt;Importance and exposure in road network vulnerability analysis&lt;/title&gt;&lt;secondary-title&gt;Transportation Research Part A 40&lt;/secondary-title&gt;&lt;/titles&gt;&lt;periodical&gt;&lt;full-title&gt;Transportation Research Part A 40&lt;/full-title&gt;&lt;/periodical&gt;&lt;pages&gt;537-560&lt;/pages&gt;&lt;dates&gt;&lt;year&gt;2006&lt;/year&gt;&lt;/dates&gt;&lt;urls&gt;&lt;/urls&gt;&lt;electronic-resource-num&gt;doi:10.1016/j.tra.2005.11.003&lt;/electronic-resource-num&gt;&lt;/record&gt;&lt;/Cite&gt;&lt;/EndNote&gt;</w:instrText>
            </w:r>
            <w:r w:rsidRPr="008B4D96">
              <w:rPr>
                <w:rFonts w:ascii="Arial" w:hAnsi="Arial" w:cs="Arial"/>
                <w:kern w:val="24"/>
                <w:sz w:val="20"/>
                <w:szCs w:val="20"/>
                <w:lang w:eastAsia="en-NZ"/>
              </w:rPr>
              <w:fldChar w:fldCharType="separate"/>
            </w:r>
            <w:r w:rsidRPr="008B4D96">
              <w:rPr>
                <w:rFonts w:ascii="Arial" w:hAnsi="Arial" w:cs="Arial"/>
                <w:noProof/>
                <w:kern w:val="24"/>
                <w:sz w:val="20"/>
                <w:szCs w:val="20"/>
                <w:lang w:eastAsia="en-NZ"/>
              </w:rPr>
              <w:t>Jenelius et al. (2006)</w:t>
            </w:r>
            <w:r w:rsidRPr="008B4D96">
              <w:rPr>
                <w:rFonts w:ascii="Arial" w:hAnsi="Arial" w:cs="Arial"/>
                <w:kern w:val="24"/>
                <w:sz w:val="20"/>
                <w:szCs w:val="20"/>
                <w:lang w:eastAsia="en-NZ"/>
              </w:rPr>
              <w:fldChar w:fldCharType="end"/>
            </w:r>
          </w:p>
        </w:tc>
        <w:tc>
          <w:tcPr>
            <w:tcW w:w="1417" w:type="dxa"/>
            <w:tcBorders>
              <w:left w:val="single" w:sz="4" w:space="0" w:color="auto"/>
              <w:right w:val="single" w:sz="4" w:space="0" w:color="auto"/>
            </w:tcBorders>
          </w:tcPr>
          <w:p w14:paraId="7908CCF1" w14:textId="77777777" w:rsidR="00B56A0F" w:rsidRPr="008B4D96" w:rsidRDefault="00B56A0F" w:rsidP="00B6361C">
            <w:pPr>
              <w:rPr>
                <w:rFonts w:ascii="Arial" w:hAnsi="Arial" w:cs="Arial"/>
                <w:sz w:val="20"/>
                <w:szCs w:val="20"/>
              </w:rPr>
            </w:pPr>
            <w:r w:rsidRPr="008B4D96">
              <w:rPr>
                <w:rFonts w:ascii="Arial" w:hAnsi="Arial" w:cs="Arial"/>
                <w:kern w:val="24"/>
                <w:sz w:val="20"/>
                <w:szCs w:val="20"/>
                <w:lang w:eastAsia="en-NZ"/>
              </w:rPr>
              <w:t>Vulnerability</w:t>
            </w:r>
          </w:p>
        </w:tc>
        <w:tc>
          <w:tcPr>
            <w:tcW w:w="5954" w:type="dxa"/>
            <w:tcBorders>
              <w:left w:val="single" w:sz="4" w:space="0" w:color="auto"/>
            </w:tcBorders>
          </w:tcPr>
          <w:p w14:paraId="61AB20F3" w14:textId="77777777" w:rsidR="00B56A0F" w:rsidRPr="008B4D96" w:rsidRDefault="00B56A0F" w:rsidP="00B6361C">
            <w:pPr>
              <w:rPr>
                <w:rFonts w:ascii="Arial" w:hAnsi="Arial" w:cs="Arial"/>
                <w:kern w:val="24"/>
                <w:sz w:val="20"/>
                <w:szCs w:val="20"/>
                <w:lang w:eastAsia="en-NZ"/>
              </w:rPr>
            </w:pPr>
            <w:r w:rsidRPr="008B4D96">
              <w:rPr>
                <w:rFonts w:ascii="Arial" w:hAnsi="Arial" w:cs="Arial"/>
                <w:sz w:val="20"/>
                <w:szCs w:val="20"/>
              </w:rPr>
              <w:t>Travel cost, demand</w:t>
            </w:r>
          </w:p>
        </w:tc>
      </w:tr>
      <w:tr w:rsidR="00B56A0F" w:rsidRPr="008B4D96" w14:paraId="09CC7A6F" w14:textId="77777777" w:rsidTr="00B6361C">
        <w:trPr>
          <w:trHeight w:val="283"/>
        </w:trPr>
        <w:tc>
          <w:tcPr>
            <w:tcW w:w="2127" w:type="dxa"/>
            <w:tcBorders>
              <w:right w:val="single" w:sz="4" w:space="0" w:color="auto"/>
            </w:tcBorders>
          </w:tcPr>
          <w:p w14:paraId="35DC789A" w14:textId="77777777" w:rsidR="00B56A0F" w:rsidRPr="008B4D96" w:rsidRDefault="00B56A0F" w:rsidP="00B6361C">
            <w:pPr>
              <w:rPr>
                <w:rFonts w:ascii="Arial" w:hAnsi="Arial" w:cs="Arial"/>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AuthorYear="1"&gt;&lt;Author&gt;Taylor&lt;/Author&gt;&lt;Year&gt;2006&lt;/Year&gt;&lt;RecNum&gt;70&lt;/RecNum&gt;&lt;DisplayText&gt;Taylor et al. (2006)&lt;/DisplayText&gt;&lt;record&gt;&lt;rec-number&gt;70&lt;/rec-number&gt;&lt;foreign-keys&gt;&lt;key app="EN" db-id="s0p2zpapifxv9yep9sf5x929xxwtr5f95aw2" timestamp="1550437388"&gt;70&lt;/key&gt;&lt;key app="ENWeb" db-id=""&gt;0&lt;/key&gt;&lt;/foreign-keys&gt;&lt;ref-type name="Journal Article"&gt;17&lt;/ref-type&gt;&lt;contributors&gt;&lt;authors&gt;&lt;author&gt;Michael A. P. Taylor&lt;/author&gt;&lt;author&gt;Somenahalli V. C. Sekhar&lt;/author&gt;&lt;author&gt;Glen M. D’Este&lt;/author&gt;&lt;/authors&gt;&lt;/contributors&gt;&lt;titles&gt;&lt;title&gt;Application of Accessibility Based Methods for Vulnerability Analysis of Strategic Road Networks&lt;/title&gt;&lt;secondary-title&gt;Netw Spat Econ&lt;/secondary-title&gt;&lt;/titles&gt;&lt;periodical&gt;&lt;full-title&gt;Netw Spat Econ&lt;/full-title&gt;&lt;/periodical&gt;&lt;pages&gt;267-291&lt;/pages&gt;&lt;volume&gt;6&lt;/volume&gt;&lt;keywords&gt;&lt;keyword&gt;Network vulnerability . Network reliability . Accessibility . Road network . Regional development&lt;/keyword&gt;&lt;/keywords&gt;&lt;dates&gt;&lt;year&gt;2006&lt;/year&gt;&lt;/dates&gt;&lt;urls&gt;&lt;/urls&gt;&lt;electronic-resource-num&gt;DOI 10.1007/s11067-006-9284-9&lt;/electronic-resource-num&gt;&lt;/record&gt;&lt;/Cite&gt;&lt;/EndNote&gt;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Taylor et al. (2006)</w:t>
            </w:r>
            <w:r w:rsidRPr="008B4D96">
              <w:rPr>
                <w:rFonts w:ascii="Arial" w:hAnsi="Arial" w:cs="Arial"/>
                <w:sz w:val="20"/>
                <w:szCs w:val="20"/>
                <w:lang w:eastAsia="en-NZ"/>
              </w:rPr>
              <w:fldChar w:fldCharType="end"/>
            </w:r>
          </w:p>
        </w:tc>
        <w:tc>
          <w:tcPr>
            <w:tcW w:w="1417" w:type="dxa"/>
            <w:tcBorders>
              <w:left w:val="single" w:sz="4" w:space="0" w:color="auto"/>
              <w:right w:val="single" w:sz="4" w:space="0" w:color="auto"/>
            </w:tcBorders>
          </w:tcPr>
          <w:p w14:paraId="660B7167"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Vulnerability</w:t>
            </w:r>
          </w:p>
        </w:tc>
        <w:tc>
          <w:tcPr>
            <w:tcW w:w="5954" w:type="dxa"/>
            <w:tcBorders>
              <w:left w:val="single" w:sz="4" w:space="0" w:color="auto"/>
            </w:tcBorders>
          </w:tcPr>
          <w:p w14:paraId="600A64DE" w14:textId="77777777" w:rsidR="00B56A0F" w:rsidRPr="008B4D96" w:rsidRDefault="00B56A0F" w:rsidP="00B6361C">
            <w:pPr>
              <w:rPr>
                <w:rFonts w:ascii="Arial" w:hAnsi="Arial" w:cs="Arial"/>
                <w:sz w:val="20"/>
                <w:szCs w:val="20"/>
                <w:lang w:eastAsia="en-NZ"/>
              </w:rPr>
            </w:pPr>
            <w:r w:rsidRPr="008B4D96">
              <w:rPr>
                <w:rFonts w:ascii="Arial" w:hAnsi="Arial" w:cs="Arial"/>
                <w:sz w:val="20"/>
                <w:szCs w:val="20"/>
              </w:rPr>
              <w:t>Change in travel cost; attractiveness of location (the number of opportunities available, population); a measure of remoteness (or accessibility to services)</w:t>
            </w:r>
          </w:p>
        </w:tc>
      </w:tr>
      <w:tr w:rsidR="00B56A0F" w:rsidRPr="008B4D96" w14:paraId="67073F03" w14:textId="77777777" w:rsidTr="00B6361C">
        <w:trPr>
          <w:trHeight w:val="283"/>
        </w:trPr>
        <w:tc>
          <w:tcPr>
            <w:tcW w:w="2127" w:type="dxa"/>
            <w:tcBorders>
              <w:right w:val="single" w:sz="4" w:space="0" w:color="auto"/>
            </w:tcBorders>
          </w:tcPr>
          <w:p w14:paraId="0481A961" w14:textId="77777777" w:rsidR="00B56A0F" w:rsidRPr="008B4D96" w:rsidRDefault="00B56A0F" w:rsidP="00B6361C">
            <w:pPr>
              <w:rPr>
                <w:rFonts w:ascii="Arial" w:hAnsi="Arial" w:cs="Arial"/>
                <w:sz w:val="20"/>
                <w:szCs w:val="20"/>
                <w:lang w:eastAsia="en-NZ"/>
              </w:rPr>
            </w:pPr>
            <w:r w:rsidRPr="008B4D96">
              <w:rPr>
                <w:rFonts w:ascii="Arial" w:hAnsi="Arial" w:cs="Arial"/>
                <w:sz w:val="20"/>
                <w:szCs w:val="20"/>
                <w:lang w:eastAsia="en-NZ"/>
              </w:rPr>
              <w:fldChar w:fldCharType="begin"/>
            </w:r>
            <w:r w:rsidRPr="008B4D96">
              <w:rPr>
                <w:rFonts w:ascii="Arial" w:hAnsi="Arial" w:cs="Arial"/>
                <w:sz w:val="20"/>
                <w:szCs w:val="20"/>
                <w:lang w:eastAsia="en-NZ"/>
              </w:rPr>
              <w:instrText xml:space="preserve"> ADDIN EN.CITE &lt;EndNote&gt;&lt;Cite AuthorYear="1"&gt;&lt;Author&gt;Murray-Tuite&lt;/Author&gt;&lt;Year&gt;2006&lt;/Year&gt;&lt;RecNum&gt;126&lt;/RecNum&gt;&lt;DisplayText&gt;Murray-Tuite (2006)&lt;/DisplayText&gt;&lt;record&gt;&lt;rec-number&gt;126&lt;/rec-number&gt;&lt;foreign-keys&gt;&lt;key app="EN" db-id="s0p2zpapifxv9yep9sf5x929xxwtr5f95aw2" timestamp="1550437435"&gt;126&lt;/key&gt;&lt;key app="ENWeb" db-id=""&gt;0&lt;/key&gt;&lt;/foreign-keys&gt;&lt;ref-type name="Journal Article"&gt;17&lt;/ref-type&gt;&lt;contributors&gt;&lt;authors&gt;&lt;author&gt;Pamela M. Murray-Tuite&lt;/author&gt;&lt;/authors&gt;&lt;/contributors&gt;&lt;titles&gt;&lt;title&gt;A Comparison Of Transportation Network Resilience Under Simulated System Optimum And User Equilibrium Conditions&lt;/title&gt;&lt;secondary-title&gt;Proceedings of the 2006 Winter Simulation Conference&lt;/secondary-title&gt;&lt;/titles&gt;&lt;periodical&gt;&lt;full-title&gt;Proceedings of the 2006 Winter Simulation Conference&lt;/full-title&gt;&lt;/periodical&gt;&lt;dates&gt;&lt;year&gt;2006&lt;/year&gt;&lt;/dates&gt;&lt;urls&gt;&lt;/urls&gt;&lt;/record&gt;&lt;/Cite&gt;&lt;/EndNote&gt;</w:instrText>
            </w:r>
            <w:r w:rsidRPr="008B4D96">
              <w:rPr>
                <w:rFonts w:ascii="Arial" w:hAnsi="Arial" w:cs="Arial"/>
                <w:sz w:val="20"/>
                <w:szCs w:val="20"/>
                <w:lang w:eastAsia="en-NZ"/>
              </w:rPr>
              <w:fldChar w:fldCharType="separate"/>
            </w:r>
            <w:r w:rsidRPr="008B4D96">
              <w:rPr>
                <w:rFonts w:ascii="Arial" w:hAnsi="Arial" w:cs="Arial"/>
                <w:noProof/>
                <w:sz w:val="20"/>
                <w:szCs w:val="20"/>
                <w:lang w:eastAsia="en-NZ"/>
              </w:rPr>
              <w:t>Murray-Tuite (2006)</w:t>
            </w:r>
            <w:r w:rsidRPr="008B4D96">
              <w:rPr>
                <w:rFonts w:ascii="Arial" w:hAnsi="Arial" w:cs="Arial"/>
                <w:sz w:val="20"/>
                <w:szCs w:val="20"/>
                <w:lang w:eastAsia="en-NZ"/>
              </w:rPr>
              <w:fldChar w:fldCharType="end"/>
            </w:r>
          </w:p>
        </w:tc>
        <w:tc>
          <w:tcPr>
            <w:tcW w:w="1417" w:type="dxa"/>
            <w:tcBorders>
              <w:left w:val="single" w:sz="4" w:space="0" w:color="auto"/>
              <w:right w:val="single" w:sz="4" w:space="0" w:color="auto"/>
            </w:tcBorders>
          </w:tcPr>
          <w:p w14:paraId="7D4B926D" w14:textId="77777777" w:rsidR="00B56A0F" w:rsidRPr="008B4D96" w:rsidRDefault="00B56A0F" w:rsidP="00B6361C">
            <w:pPr>
              <w:rPr>
                <w:rFonts w:ascii="Arial" w:hAnsi="Arial" w:cs="Arial"/>
                <w:kern w:val="24"/>
                <w:sz w:val="20"/>
                <w:szCs w:val="20"/>
                <w:lang w:eastAsia="en-NZ"/>
              </w:rPr>
            </w:pPr>
            <w:r w:rsidRPr="008B4D96">
              <w:rPr>
                <w:rFonts w:ascii="Arial" w:hAnsi="Arial" w:cs="Arial"/>
                <w:kern w:val="24"/>
                <w:sz w:val="20"/>
                <w:szCs w:val="20"/>
                <w:lang w:eastAsia="en-NZ"/>
              </w:rPr>
              <w:t>Resilience</w:t>
            </w:r>
          </w:p>
        </w:tc>
        <w:tc>
          <w:tcPr>
            <w:tcW w:w="5954" w:type="dxa"/>
            <w:tcBorders>
              <w:left w:val="single" w:sz="4" w:space="0" w:color="auto"/>
            </w:tcBorders>
          </w:tcPr>
          <w:p w14:paraId="573D5589" w14:textId="77777777" w:rsidR="00B56A0F" w:rsidRPr="008B4D96" w:rsidRDefault="00B56A0F" w:rsidP="00B6361C">
            <w:pPr>
              <w:rPr>
                <w:rFonts w:ascii="Arial" w:hAnsi="Arial" w:cs="Arial"/>
                <w:sz w:val="20"/>
                <w:szCs w:val="20"/>
                <w:lang w:eastAsia="en-NZ"/>
              </w:rPr>
            </w:pPr>
            <w:r w:rsidRPr="008B4D96">
              <w:rPr>
                <w:rFonts w:ascii="Arial" w:hAnsi="Arial" w:cs="Arial"/>
                <w:noProof/>
                <w:sz w:val="20"/>
                <w:szCs w:val="20"/>
              </w:rPr>
              <w:t>Queue, travel time, speed, V/C</w:t>
            </w:r>
          </w:p>
        </w:tc>
      </w:tr>
    </w:tbl>
    <w:p w14:paraId="78CF4210" w14:textId="77777777" w:rsidR="00B56A0F" w:rsidRPr="008B4D96" w:rsidRDefault="00B56A0F" w:rsidP="00B56A0F">
      <w:pPr>
        <w:spacing w:before="120" w:line="264" w:lineRule="auto"/>
        <w:jc w:val="both"/>
        <w:rPr>
          <w:rFonts w:ascii="Arial" w:hAnsi="Arial" w:cs="Arial"/>
          <w:noProof/>
          <w:sz w:val="22"/>
          <w:szCs w:val="22"/>
        </w:rPr>
      </w:pPr>
      <w:r w:rsidRPr="008B4D96">
        <w:rPr>
          <w:rFonts w:ascii="Arial" w:hAnsi="Arial" w:cs="Arial"/>
          <w:noProof/>
          <w:sz w:val="22"/>
          <w:szCs w:val="22"/>
        </w:rPr>
        <w:t xml:space="preserve">In order to determine which MOEs in </w:t>
      </w:r>
      <w:r w:rsidRPr="008B4D96">
        <w:rPr>
          <w:rFonts w:ascii="Arial" w:hAnsi="Arial" w:cs="Arial"/>
          <w:sz w:val="22"/>
          <w:szCs w:val="22"/>
        </w:rPr>
        <w:t>Table 1</w:t>
      </w:r>
      <w:r w:rsidRPr="008B4D96">
        <w:rPr>
          <w:rFonts w:ascii="Arial" w:hAnsi="Arial" w:cs="Arial"/>
          <w:noProof/>
          <w:sz w:val="22"/>
          <w:szCs w:val="22"/>
        </w:rPr>
        <w:t xml:space="preserve"> are likely to best represent the resilience of transportation networks, an adaptation of the four dimensions (robustness, redundancy, resourcefulness and rapidity) of physically and socially resilient systems proposed by </w:t>
      </w:r>
      <w:r w:rsidRPr="008B4D96">
        <w:rPr>
          <w:rFonts w:ascii="Arial" w:hAnsi="Arial" w:cs="Arial"/>
          <w:noProof/>
          <w:sz w:val="22"/>
          <w:szCs w:val="22"/>
        </w:rPr>
        <w:fldChar w:fldCharType="begin"/>
      </w:r>
      <w:r w:rsidRPr="008B4D96">
        <w:rPr>
          <w:rFonts w:ascii="Arial" w:hAnsi="Arial" w:cs="Arial"/>
          <w:noProof/>
          <w:sz w:val="22"/>
          <w:szCs w:val="22"/>
        </w:rPr>
        <w:instrText xml:space="preserve"> ADDIN EN.CITE &lt;EndNote&gt;&lt;Cite AuthorYear="1"&gt;&lt;Author&gt;Bruneau&lt;/Author&gt;&lt;Year&gt;2003&lt;/Year&gt;&lt;RecNum&gt;30&lt;/RecNum&gt;&lt;DisplayText&gt;Bruneau et al. (2003)&lt;/DisplayText&gt;&lt;record&gt;&lt;rec-number&gt;30&lt;/rec-number&gt;&lt;foreign-keys&gt;&lt;key app="EN" db-id="s0p2zpapifxv9yep9sf5x929xxwtr5f95aw2" timestamp="1550437374"&gt;30&lt;/key&gt;&lt;/foreign-keys&gt;&lt;ref-type name="Journal Article"&gt;17&lt;/ref-type&gt;&lt;contributors&gt;&lt;authors&gt;&lt;author&gt;Michel Bruneau&lt;/author&gt;&lt;author&gt;Stephanie E. Chang&lt;/author&gt;&lt;author&gt;Ronald T. Eguchi&lt;/author&gt;&lt;author&gt;George C. Lee&lt;/author&gt;&lt;author&gt;Thomas D. O’Rourke&lt;/author&gt;&lt;author&gt;Andrei M. Reinhorn&lt;/author&gt;&lt;author&gt;Masanobu Shinozuka&lt;/author&gt;&lt;author&gt;Kathleen Tierney&lt;/author&gt;&lt;author&gt;William A. Wallace&lt;/author&gt;&lt;author&gt;Detlof von Winterfeldt&lt;/author&gt;&lt;/authors&gt;&lt;/contributors&gt;&lt;titles&gt;&lt;title&gt;A Framework to Quantitatively Assess and Enhance the Seismic Resilience of Communities&lt;/title&gt;&lt;secondary-title&gt;Earthquake Spectra&lt;/secondary-title&gt;&lt;/titles&gt;&lt;periodical&gt;&lt;full-title&gt;Earthquake Spectra&lt;/full-title&gt;&lt;/periodical&gt;&lt;pages&gt;733-752&lt;/pages&gt;&lt;volume&gt;19&lt;/volume&gt;&lt;number&gt;4&lt;/number&gt;&lt;dates&gt;&lt;year&gt;2003&lt;/year&gt;&lt;/dates&gt;&lt;urls&gt;&lt;related-urls&gt;&lt;url&gt;http://earthquakespectra.org/doi/abs/10.1193/1.1623497&lt;/url&gt;&lt;/related-urls&gt;&lt;/urls&gt;&lt;electronic-resource-num&gt;10.1193/1.1623497&lt;/electronic-resource-num&gt;&lt;/record&gt;&lt;/Cite&gt;&lt;/EndNote&gt;</w:instrText>
      </w:r>
      <w:r w:rsidRPr="008B4D96">
        <w:rPr>
          <w:rFonts w:ascii="Arial" w:hAnsi="Arial" w:cs="Arial"/>
          <w:noProof/>
          <w:sz w:val="22"/>
          <w:szCs w:val="22"/>
        </w:rPr>
        <w:fldChar w:fldCharType="separate"/>
      </w:r>
      <w:r w:rsidRPr="008B4D96">
        <w:rPr>
          <w:rFonts w:ascii="Arial" w:hAnsi="Arial" w:cs="Arial"/>
          <w:noProof/>
          <w:sz w:val="22"/>
          <w:szCs w:val="22"/>
        </w:rPr>
        <w:t>Bruneau et al. (2003)</w:t>
      </w:r>
      <w:r w:rsidRPr="008B4D96">
        <w:rPr>
          <w:rFonts w:ascii="Arial" w:hAnsi="Arial" w:cs="Arial"/>
          <w:noProof/>
          <w:sz w:val="22"/>
          <w:szCs w:val="22"/>
        </w:rPr>
        <w:fldChar w:fldCharType="end"/>
      </w:r>
      <w:r w:rsidRPr="008B4D96">
        <w:rPr>
          <w:rFonts w:ascii="Arial" w:hAnsi="Arial" w:cs="Arial"/>
          <w:noProof/>
          <w:sz w:val="22"/>
          <w:szCs w:val="22"/>
        </w:rPr>
        <w:t xml:space="preserve"> is used to assess their suitability. Robustness and redundancy are considered as proposed, however, as resourcefulness and rapidity reflect the importance of resources and budget to achieve response and reconstruction goals in a timely manner, they can be represented by a single dimension in this study, namely recovery. </w:t>
      </w:r>
    </w:p>
    <w:p w14:paraId="42265BE5"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Robustness, </w:t>
      </w:r>
      <w:bookmarkStart w:id="4" w:name="_Hlk163576088"/>
      <w:r w:rsidRPr="008B4D96">
        <w:rPr>
          <w:rFonts w:ascii="Arial" w:hAnsi="Arial" w:cs="Arial"/>
          <w:sz w:val="22"/>
          <w:szCs w:val="22"/>
        </w:rPr>
        <w:t>usually measured as the impact of flow and demand variation on the post-disaster performance of the network</w:t>
      </w:r>
      <w:bookmarkEnd w:id="4"/>
      <w:r w:rsidRPr="008B4D96">
        <w:rPr>
          <w:rFonts w:ascii="Arial" w:hAnsi="Arial" w:cs="Arial"/>
          <w:sz w:val="22"/>
          <w:szCs w:val="22"/>
        </w:rPr>
        <w:t xml:space="preserve">, has been investigated by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AuthorYear="1"&gt;&lt;Author&gt;El-Rashidy&lt;/Author&gt;&lt;Year&gt;2014&lt;/Year&gt;&lt;RecNum&gt;154&lt;/RecNum&gt;&lt;DisplayText&gt;El-Rashidy and Grant-Muller (2014)&lt;/DisplayText&gt;&lt;record&gt;&lt;rec-number&gt;154&lt;/rec-number&gt;&lt;foreign-keys&gt;&lt;key app="EN" db-id="s0p2zpapifxv9yep9sf5x929xxwtr5f95aw2" timestamp="1550437450"&gt;154&lt;/key&gt;&lt;key app="ENWeb" db-id=""&gt;0&lt;/key&gt;&lt;/foreign-keys&gt;&lt;ref-type name="Journal Article"&gt;17&lt;/ref-type&gt;&lt;contributors&gt;&lt;authors&gt;&lt;author&gt;Rawia Ahmed El-Rashidy&lt;/author&gt;&lt;author&gt;Susan M. Grant-Muller&lt;/author&gt;&lt;/authors&gt;&lt;/contributors&gt;&lt;titles&gt;&lt;title&gt;An assessment method for highway network vulnerability&lt;/title&gt;&lt;secondary-title&gt;Journal of Transport Geography&lt;/secondary-title&gt;&lt;/titles&gt;&lt;periodical&gt;&lt;full-title&gt;Journal of Transport Geography&lt;/full-title&gt;&lt;/periodical&gt;&lt;pages&gt;34-43&lt;/pages&gt;&lt;volume&gt;34&lt;/volume&gt;&lt;dates&gt;&lt;year&gt;2014&lt;/year&gt;&lt;/dates&gt;&lt;urls&gt;&lt;/urls&gt;&lt;electronic-resource-num&gt;http://dx.doi.org/10.1016/j.jtrangeo.2013.10.017&lt;/electronic-resource-num&gt;&lt;/record&gt;&lt;/Cite&gt;&lt;/EndNote&gt;</w:instrText>
      </w:r>
      <w:r w:rsidRPr="008B4D96">
        <w:rPr>
          <w:rFonts w:ascii="Arial" w:hAnsi="Arial" w:cs="Arial"/>
          <w:sz w:val="22"/>
          <w:szCs w:val="22"/>
        </w:rPr>
        <w:fldChar w:fldCharType="separate"/>
      </w:r>
      <w:r w:rsidRPr="008B4D96">
        <w:rPr>
          <w:rFonts w:ascii="Arial" w:hAnsi="Arial" w:cs="Arial"/>
          <w:sz w:val="22"/>
          <w:szCs w:val="22"/>
        </w:rPr>
        <w:t>El-Rashidy and Grant-Muller (2014)</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AuthorYear="1"&gt;&lt;Author&gt;Zhang&lt;/Author&gt;&lt;Year&gt;2015&lt;/Year&gt;&lt;RecNum&gt;67&lt;/RecNum&gt;&lt;DisplayText&gt;Zhang et al. (2015)&lt;/DisplayText&gt;&lt;record&gt;&lt;rec-number&gt;67&lt;/rec-number&gt;&lt;foreign-keys&gt;&lt;key app="EN" db-id="s0p2zpapifxv9yep9sf5x929xxwtr5f95aw2" timestamp="1550437387"&gt;67&lt;/key&gt;&lt;key app="ENWeb" db-id=""&gt;0&lt;/key&gt;&lt;/foreign-keys&gt;&lt;ref-type name="Journal Article"&gt;17&lt;/ref-type&gt;&lt;contributors&gt;&lt;authors&gt;&lt;author&gt;X. Zhang&lt;/author&gt;&lt;author&gt;E. Miller-Hooks&lt;/author&gt;&lt;author&gt;K. Denny&lt;/author&gt;&lt;/authors&gt;&lt;/contributors&gt;&lt;titles&gt;&lt;title&gt;Assessing the role of network topology in transportation network resilience&lt;/title&gt;&lt;secondary-title&gt;Journal of Transport Geography&lt;/secondary-title&gt;&lt;/titles&gt;&lt;periodical&gt;&lt;full-title&gt;Journal of Transport Geography&lt;/full-title&gt;&lt;/periodical&gt;&lt;pages&gt;35-45&lt;/pages&gt;&lt;volume&gt;46&lt;/volume&gt;&lt;keywords&gt;&lt;keyword&gt;Resilience&lt;/keyword&gt;&lt;keyword&gt;Vulnerability&lt;/keyword&gt;&lt;keyword&gt;Reliability&lt;/keyword&gt;&lt;keyword&gt;Network performance&lt;/keyword&gt;&lt;keyword&gt;Infrastructure systems&lt;/keyword&gt;&lt;keyword&gt;Graph theory&lt;/keyword&gt;&lt;/keywords&gt;&lt;dates&gt;&lt;year&gt;2015&lt;/year&gt;&lt;/dates&gt;&lt;urls&gt;&lt;/urls&gt;&lt;electronic-resource-num&gt;http://dx.doi.org/10.1016/j.jtrangeo.2015.05.006&lt;/electronic-resource-num&gt;&lt;/record&gt;&lt;/Cite&gt;&lt;/EndNote&gt;</w:instrText>
      </w:r>
      <w:r w:rsidRPr="008B4D96">
        <w:rPr>
          <w:rFonts w:ascii="Arial" w:hAnsi="Arial" w:cs="Arial"/>
          <w:sz w:val="22"/>
          <w:szCs w:val="22"/>
        </w:rPr>
        <w:fldChar w:fldCharType="separate"/>
      </w:r>
      <w:r w:rsidRPr="008B4D96">
        <w:rPr>
          <w:rFonts w:ascii="Arial" w:hAnsi="Arial" w:cs="Arial"/>
          <w:sz w:val="22"/>
          <w:szCs w:val="22"/>
        </w:rPr>
        <w:t>Zhang et al. (2015)</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AuthorYear="1"&gt;&lt;Author&gt;Soltani-Sobh&lt;/Author&gt;&lt;Year&gt;2015&lt;/Year&gt;&lt;RecNum&gt;161&lt;/RecNum&gt;&lt;DisplayText&gt;Soltani-Sobh et al. (2015)&lt;/DisplayText&gt;&lt;record&gt;&lt;rec-number&gt;161&lt;/rec-number&gt;&lt;foreign-keys&gt;&lt;key app="EN" db-id="s0p2zpapifxv9yep9sf5x929xxwtr5f95aw2" timestamp="1550437454"&gt;161&lt;/key&gt;&lt;key app="ENWeb" db-id=""&gt;0&lt;/key&gt;&lt;/foreign-keys&gt;&lt;ref-type name="Journal Article"&gt;17&lt;/ref-type&gt;&lt;contributors&gt;&lt;authors&gt;&lt;author&gt;Ali Soltani-Sobh&lt;/author&gt;&lt;author&gt;Kevin Heaslip&lt;/author&gt;&lt;author&gt;John El Khoury&lt;/author&gt;&lt;/authors&gt;&lt;/contributors&gt;&lt;titles&gt;&lt;title&gt;Estimation of road network reliability on resiliency: An uncertain based model&lt;/title&gt;&lt;secondary-title&gt;International Journal of Disaster Risk Reduction&lt;/secondary-title&gt;&lt;/titles&gt;&lt;periodical&gt;&lt;full-title&gt;International Journal of Disaster Risk Reduction&lt;/full-title&gt;&lt;/periodical&gt;&lt;pages&gt;536-544&lt;/pages&gt;&lt;volume&gt;14&lt;/volume&gt;&lt;dates&gt;&lt;year&gt;2015&lt;/year&gt;&lt;/dates&gt;&lt;urls&gt;&lt;/urls&gt;&lt;electronic-resource-num&gt;http://dx.doi.org/10.1016/j.ijdrr.2015.10.005&lt;/electronic-resource-num&gt;&lt;/record&gt;&lt;/Cite&gt;&lt;/EndNote&gt;</w:instrText>
      </w:r>
      <w:r w:rsidRPr="008B4D96">
        <w:rPr>
          <w:rFonts w:ascii="Arial" w:hAnsi="Arial" w:cs="Arial"/>
          <w:sz w:val="22"/>
          <w:szCs w:val="22"/>
        </w:rPr>
        <w:fldChar w:fldCharType="separate"/>
      </w:r>
      <w:r w:rsidRPr="008B4D96">
        <w:rPr>
          <w:rFonts w:ascii="Arial" w:hAnsi="Arial" w:cs="Arial"/>
          <w:sz w:val="22"/>
          <w:szCs w:val="22"/>
        </w:rPr>
        <w:t>Soltani-Sobh et al. (2015)</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fldData xml:space="preserve">PEVuZE5vdGU+PENpdGUgQXV0aG9yWWVhcj0iMSI+PEF1dGhvcj5DaGVuPC9BdXRob3I+PFllYXI+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=
</w:fldData>
        </w:fldChar>
      </w:r>
      <w:r w:rsidRPr="008B4D96">
        <w:rPr>
          <w:rFonts w:ascii="Arial" w:hAnsi="Arial" w:cs="Arial"/>
          <w:sz w:val="22"/>
          <w:szCs w:val="22"/>
        </w:rPr>
        <w:instrText xml:space="preserve"> ADDIN EN.CITE </w:instrText>
      </w:r>
      <w:r w:rsidRPr="008B4D96">
        <w:rPr>
          <w:rFonts w:ascii="Arial" w:hAnsi="Arial" w:cs="Arial"/>
          <w:sz w:val="22"/>
          <w:szCs w:val="22"/>
        </w:rPr>
        <w:fldChar w:fldCharType="begin">
          <w:fldData xml:space="preserve">PEVuZE5vdGU+PENpdGUgQXV0aG9yWWVhcj0iMSI+PEF1dGhvcj5DaGVuPC9BdXRob3I+PFllYXI+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=
</w:fldData>
        </w:fldChar>
      </w:r>
      <w:r w:rsidRPr="008B4D96">
        <w:rPr>
          <w:rFonts w:ascii="Arial" w:hAnsi="Arial" w:cs="Arial"/>
          <w:sz w:val="22"/>
          <w:szCs w:val="22"/>
        </w:rPr>
        <w:instrText xml:space="preserve"> ADDIN EN.CITE.DATA </w:instrText>
      </w:r>
      <w:r w:rsidRPr="008B4D96">
        <w:rPr>
          <w:rFonts w:ascii="Arial" w:hAnsi="Arial" w:cs="Arial"/>
          <w:sz w:val="22"/>
          <w:szCs w:val="22"/>
        </w:rPr>
      </w:r>
      <w:r w:rsidRPr="008B4D96">
        <w:rPr>
          <w:rFonts w:ascii="Arial" w:hAnsi="Arial" w:cs="Arial"/>
          <w:sz w:val="22"/>
          <w:szCs w:val="22"/>
        </w:rPr>
        <w:fldChar w:fldCharType="end"/>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Chen et al. (2012), Miller-Hooks et al. (2012)</w:t>
      </w:r>
      <w:r w:rsidRPr="008B4D96">
        <w:rPr>
          <w:rFonts w:ascii="Arial" w:hAnsi="Arial" w:cs="Arial"/>
          <w:sz w:val="22"/>
          <w:szCs w:val="22"/>
        </w:rPr>
        <w:fldChar w:fldCharType="end"/>
      </w:r>
      <w:r w:rsidRPr="008B4D96">
        <w:rPr>
          <w:rFonts w:ascii="Arial" w:hAnsi="Arial" w:cs="Arial"/>
          <w:sz w:val="22"/>
          <w:szCs w:val="22"/>
        </w:rPr>
        <w:t xml:space="preserve"> and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AuthorYear="1"&gt;&lt;Author&gt;Jenelius&lt;/Author&gt;&lt;Year&gt;2006&lt;/Year&gt;&lt;RecNum&gt;120&lt;/RecNum&gt;&lt;DisplayText&gt;Jenelius et al. (2006)&lt;/DisplayText&gt;&lt;record&gt;&lt;rec-number&gt;120&lt;/rec-number&gt;&lt;foreign-keys&gt;&lt;key app="EN" db-id="s0p2zpapifxv9yep9sf5x929xxwtr5f95aw2" timestamp="1550437431"&gt;120&lt;/key&gt;&lt;key app="ENWeb" db-id=""&gt;0&lt;/key&gt;&lt;/foreign-keys&gt;&lt;ref-type name="Journal Article"&gt;17&lt;/ref-type&gt;&lt;contributors&gt;&lt;authors&gt;&lt;author&gt;Erik Jenelius&lt;/author&gt;&lt;author&gt;Tom Petersen&lt;/author&gt;&lt;author&gt;Lars Goran Mattsson&lt;/author&gt;&lt;/authors&gt;&lt;/contributors&gt;&lt;titles&gt;&lt;title&gt;Importance and exposure in road network vulnerability analysis&lt;/title&gt;&lt;secondary-title&gt;Transportation Research Part A 40&lt;/secondary-title&gt;&lt;/titles&gt;&lt;periodical&gt;&lt;full-title&gt;Transportation Research Part A 40&lt;/full-title&gt;&lt;/periodical&gt;&lt;pages&gt;537-560&lt;/pages&gt;&lt;dates&gt;&lt;year&gt;2006&lt;/year&gt;&lt;/dates&gt;&lt;urls&gt;&lt;/urls&gt;&lt;electronic-resource-num&gt;doi:10.1016/j.tra.2005.11.003&lt;/electronic-resource-num&gt;&lt;/record&gt;&lt;/Cite&gt;&lt;/EndNote&gt;</w:instrText>
      </w:r>
      <w:r w:rsidRPr="008B4D96">
        <w:rPr>
          <w:rFonts w:ascii="Arial" w:hAnsi="Arial" w:cs="Arial"/>
          <w:sz w:val="22"/>
          <w:szCs w:val="22"/>
        </w:rPr>
        <w:fldChar w:fldCharType="separate"/>
      </w:r>
      <w:r w:rsidRPr="008B4D96">
        <w:rPr>
          <w:rFonts w:ascii="Arial" w:hAnsi="Arial" w:cs="Arial"/>
          <w:sz w:val="22"/>
          <w:szCs w:val="22"/>
        </w:rPr>
        <w:t>Jenelius et al. (2006)</w:t>
      </w:r>
      <w:r w:rsidRPr="008B4D96">
        <w:rPr>
          <w:rFonts w:ascii="Arial" w:hAnsi="Arial" w:cs="Arial"/>
          <w:sz w:val="22"/>
          <w:szCs w:val="22"/>
        </w:rPr>
        <w:fldChar w:fldCharType="end"/>
      </w:r>
      <w:r w:rsidRPr="008B4D96">
        <w:rPr>
          <w:rFonts w:ascii="Arial" w:hAnsi="Arial" w:cs="Arial"/>
          <w:sz w:val="22"/>
          <w:szCs w:val="22"/>
        </w:rPr>
        <w:t xml:space="preserve">. Redundancy, </w:t>
      </w:r>
      <w:bookmarkStart w:id="5" w:name="_Hlk163576245"/>
      <w:r w:rsidRPr="008B4D96">
        <w:rPr>
          <w:rFonts w:ascii="Arial" w:hAnsi="Arial" w:cs="Arial"/>
          <w:sz w:val="22"/>
          <w:szCs w:val="22"/>
        </w:rPr>
        <w:t>usually measured as t</w:t>
      </w:r>
      <w:r w:rsidRPr="008B4D96">
        <w:rPr>
          <w:rFonts w:ascii="Arial" w:hAnsi="Arial" w:cs="Arial"/>
          <w:noProof/>
          <w:sz w:val="22"/>
          <w:szCs w:val="22"/>
        </w:rPr>
        <w:t>he impact of disruption in terms of travel cost or travel time variation</w:t>
      </w:r>
      <w:bookmarkEnd w:id="5"/>
      <w:r w:rsidRPr="008B4D96">
        <w:rPr>
          <w:rFonts w:ascii="Arial" w:hAnsi="Arial" w:cs="Arial"/>
          <w:noProof/>
          <w:sz w:val="22"/>
          <w:szCs w:val="22"/>
        </w:rPr>
        <w:t xml:space="preserve">, has been examined in numerous studies. </w:t>
      </w:r>
      <w:r w:rsidRPr="008B4D96">
        <w:rPr>
          <w:rFonts w:ascii="Arial" w:hAnsi="Arial" w:cs="Arial"/>
          <w:sz w:val="22"/>
          <w:szCs w:val="22"/>
        </w:rPr>
        <w:t xml:space="preserve">Recovery </w:t>
      </w:r>
      <w:bookmarkStart w:id="6" w:name="_Hlk163576334"/>
      <w:r w:rsidRPr="008B4D96">
        <w:rPr>
          <w:rFonts w:ascii="Arial" w:hAnsi="Arial" w:cs="Arial"/>
          <w:sz w:val="22"/>
          <w:szCs w:val="22"/>
        </w:rPr>
        <w:t>considers the impact of time and resources (i.e. finance, materials, and workforce) on the recovery of the disrupted network and, ultimately, the resilience of the network</w:t>
      </w:r>
      <w:bookmarkEnd w:id="6"/>
      <w:r w:rsidRPr="008B4D96">
        <w:rPr>
          <w:rFonts w:ascii="Arial" w:hAnsi="Arial" w:cs="Arial"/>
          <w:sz w:val="22"/>
          <w:szCs w:val="22"/>
        </w:rPr>
        <w:t xml:space="preserve">. The impact of recovery actions on the resilience of the network was investigated by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AuthorYear="1"&gt;&lt;Author&gt;Chen&lt;/Author&gt;&lt;Year&gt;2012&lt;/Year&gt;&lt;RecNum&gt;89&lt;/RecNum&gt;&lt;DisplayText&gt;Chen and Miller-Hooks (2012)&lt;/DisplayText&gt;&lt;record&gt;&lt;rec-number&gt;89&lt;/rec-number&gt;&lt;foreign-keys&gt;&lt;key app="EN" db-id="s0p2zpapifxv9yep9sf5x929xxwtr5f95aw2" timestamp="1550437407"&gt;89&lt;/key&gt;&lt;key app="ENWeb" db-id=""&gt;0&lt;/key&gt;&lt;/foreign-keys&gt;&lt;ref-type name="Journal Article"&gt;17&lt;/ref-type&gt;&lt;contributors&gt;&lt;authors&gt;&lt;author&gt;Lichun Chen &lt;/author&gt;&lt;author&gt;Elise Miller-Hooks &lt;/author&gt;&lt;/authors&gt;&lt;/contributors&gt;&lt;titles&gt;&lt;title&gt;Resilience: An Indicator of Recovery Capability in Intermodal Freight Transport&lt;/title&gt;&lt;secondary-title&gt;Transportation Science&lt;/secondary-title&gt;&lt;/titles&gt;&lt;periodical&gt;&lt;full-title&gt;Transportation Science&lt;/full-title&gt;&lt;/periodical&gt;&lt;pages&gt;109-123&lt;/pages&gt;&lt;volume&gt;46(1)&lt;/volume&gt;&lt;dates&gt;&lt;year&gt;2012&lt;/year&gt;&lt;/dates&gt;&lt;urls&gt;&lt;/urls&gt;&lt;electronic-resource-num&gt;http://dx.doi.org/10.1287/trsc.1110.0376&lt;/electronic-resource-num&gt;&lt;/record&gt;&lt;/Cite&gt;&lt;/EndNote&gt;</w:instrText>
      </w:r>
      <w:r w:rsidRPr="008B4D96">
        <w:rPr>
          <w:rFonts w:ascii="Arial" w:hAnsi="Arial" w:cs="Arial"/>
          <w:sz w:val="22"/>
          <w:szCs w:val="22"/>
        </w:rPr>
        <w:fldChar w:fldCharType="separate"/>
      </w:r>
      <w:r w:rsidRPr="008B4D96">
        <w:rPr>
          <w:rFonts w:ascii="Arial" w:hAnsi="Arial" w:cs="Arial"/>
          <w:noProof/>
          <w:sz w:val="22"/>
          <w:szCs w:val="22"/>
        </w:rPr>
        <w:t>Chen and Miller-Hooks (2012)</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AuthorYear="1"&gt;&lt;Author&gt;Miller-Hooks&lt;/Author&gt;&lt;Year&gt;2012&lt;/Year&gt;&lt;RecNum&gt;64&lt;/RecNum&gt;&lt;DisplayText&gt;Miller-Hooks et al. (2012)&lt;/DisplayText&gt;&lt;record&gt;&lt;rec-number&gt;64&lt;/rec-number&gt;&lt;foreign-keys&gt;&lt;key app="EN" db-id="s0p2zpapifxv9yep9sf5x929xxwtr5f95aw2" timestamp="1550437385"&gt;64&lt;/key&gt;&lt;key app="ENWeb" db-id=""&gt;0&lt;/key&gt;&lt;/foreign-keys&gt;&lt;ref-type name="Journal Article"&gt;17&lt;/ref-type&gt;&lt;contributors&gt;&lt;authors&gt;&lt;author&gt;Elise Miller-Hooks&lt;/author&gt;&lt;author&gt;Xiaodong Zhang&lt;/author&gt;&lt;author&gt;Reza Faturechi&lt;/author&gt;&lt;/authors&gt;&lt;/contributors&gt;&lt;titles&gt;&lt;title&gt;Measuring and maximizing resilience of freight transportation networks&lt;/title&gt;&lt;secondary-title&gt;Computers &amp;amp; Operations Research&lt;/secondary-title&gt;&lt;/titles&gt;&lt;periodical&gt;&lt;full-title&gt;Computers &amp;amp; Operations Research&lt;/full-title&gt;&lt;/periodical&gt;&lt;pages&gt;1633-1643&lt;/pages&gt;&lt;volume&gt;39&lt;/volume&gt;&lt;keywords&gt;&lt;keyword&gt;Reliability&lt;/keyword&gt;&lt;keyword&gt;Vulnerability&lt;/keyword&gt;&lt;keyword&gt;Flexibility&lt;/keyword&gt;&lt;keyword&gt;Robustness&lt;/keyword&gt;&lt;keyword&gt;Emergency preparedness&lt;/keyword&gt;&lt;keyword&gt;Stochastic programming&lt;/keyword&gt;&lt;keyword&gt;Recourse&lt;/keyword&gt;&lt;keyword&gt;Recovery&lt;/keyword&gt;&lt;/keywords&gt;&lt;dates&gt;&lt;year&gt;2012&lt;/year&gt;&lt;/dates&gt;&lt;urls&gt;&lt;/urls&gt;&lt;electronic-resource-num&gt;doi:10.1016/j.cor.2011.09.017&lt;/electronic-resource-num&gt;&lt;/record&gt;&lt;/Cite&gt;&lt;/EndNote&gt;</w:instrText>
      </w:r>
      <w:r w:rsidRPr="008B4D96">
        <w:rPr>
          <w:rFonts w:ascii="Arial" w:hAnsi="Arial" w:cs="Arial"/>
          <w:sz w:val="22"/>
          <w:szCs w:val="22"/>
        </w:rPr>
        <w:fldChar w:fldCharType="separate"/>
      </w:r>
      <w:r w:rsidRPr="008B4D96">
        <w:rPr>
          <w:rFonts w:ascii="Arial" w:hAnsi="Arial" w:cs="Arial"/>
          <w:noProof/>
          <w:sz w:val="22"/>
          <w:szCs w:val="22"/>
        </w:rPr>
        <w:t>Miller-Hooks et al. (2012)</w:t>
      </w:r>
      <w:r w:rsidRPr="008B4D96">
        <w:rPr>
          <w:rFonts w:ascii="Arial" w:hAnsi="Arial" w:cs="Arial"/>
          <w:sz w:val="22"/>
          <w:szCs w:val="22"/>
        </w:rPr>
        <w:fldChar w:fldCharType="end"/>
      </w:r>
      <w:r w:rsidRPr="008B4D96">
        <w:rPr>
          <w:rFonts w:ascii="Arial" w:hAnsi="Arial" w:cs="Arial"/>
          <w:sz w:val="22"/>
          <w:szCs w:val="22"/>
        </w:rPr>
        <w:t xml:space="preserve">, and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AuthorYear="1"&gt;&lt;Author&gt;Zhang&lt;/Author&gt;&lt;Year&gt;2015&lt;/Year&gt;&lt;RecNum&gt;67&lt;/RecNum&gt;&lt;DisplayText&gt;Zhang et al. (2015)&lt;/DisplayText&gt;&lt;record&gt;&lt;rec-number&gt;67&lt;/rec-number&gt;&lt;foreign-keys&gt;&lt;key app="EN" db-id="s0p2zpapifxv9yep9sf5x929xxwtr5f95aw2" timestamp="1550437387"&gt;67&lt;/key&gt;&lt;key app="ENWeb" db-id=""&gt;0&lt;/key&gt;&lt;/foreign-keys&gt;&lt;ref-type name="Journal Article"&gt;17&lt;/ref-type&gt;&lt;contributors&gt;&lt;authors&gt;&lt;author&gt;X. Zhang&lt;/author&gt;&lt;author&gt;E. Miller-Hooks&lt;/author&gt;&lt;author&gt;K. Denny&lt;/author&gt;&lt;/authors&gt;&lt;/contributors&gt;&lt;titles&gt;&lt;title&gt;Assessing the role of network topology in transportation network resilience&lt;/title&gt;&lt;secondary-title&gt;Journal of Transport Geography&lt;/secondary-title&gt;&lt;/titles&gt;&lt;periodical&gt;&lt;full-title&gt;Journal of Transport Geography&lt;/full-title&gt;&lt;/periodical&gt;&lt;pages&gt;35-45&lt;/pages&gt;&lt;volume&gt;46&lt;/volume&gt;&lt;keywords&gt;&lt;keyword&gt;Resilience&lt;/keyword&gt;&lt;keyword&gt;Vulnerability&lt;/keyword&gt;&lt;keyword&gt;Reliability&lt;/keyword&gt;&lt;keyword&gt;Network performance&lt;/keyword&gt;&lt;keyword&gt;Infrastructure systems&lt;/keyword&gt;&lt;keyword&gt;Graph theory&lt;/keyword&gt;&lt;/keywords&gt;&lt;dates&gt;&lt;year&gt;2015&lt;/year&gt;&lt;/dates&gt;&lt;urls&gt;&lt;/urls&gt;&lt;electronic-resource-num&gt;http://dx.doi.org/10.1016/j.jtrangeo.2015.05.006&lt;/electronic-resource-num&gt;&lt;/record&gt;&lt;/Cite&gt;&lt;/EndNote&gt;</w:instrText>
      </w:r>
      <w:r w:rsidRPr="008B4D96">
        <w:rPr>
          <w:rFonts w:ascii="Arial" w:hAnsi="Arial" w:cs="Arial"/>
          <w:sz w:val="22"/>
          <w:szCs w:val="22"/>
        </w:rPr>
        <w:fldChar w:fldCharType="separate"/>
      </w:r>
      <w:r w:rsidRPr="008B4D96">
        <w:rPr>
          <w:rFonts w:ascii="Arial" w:hAnsi="Arial" w:cs="Arial"/>
          <w:noProof/>
          <w:sz w:val="22"/>
          <w:szCs w:val="22"/>
        </w:rPr>
        <w:t>Zhang et al. (2015)</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AuthorYear="1"&gt;&lt;Author&gt;Omer&lt;/Author&gt;&lt;Year&gt;2013&lt;/Year&gt;&lt;RecNum&gt;183&lt;/RecNum&gt;&lt;DisplayText&gt;Omer et al. (2013)&lt;/DisplayText&gt;&lt;record&gt;&lt;rec-number&gt;183&lt;/rec-number&gt;&lt;foreign-keys&gt;&lt;key app="EN" db-id="s0p2zpapifxv9yep9sf5x929xxwtr5f95aw2" timestamp="1555562641"&gt;183&lt;/key&gt;&lt;/foreign-keys&gt;&lt;ref-type name="Journal Article"&gt;17&lt;/ref-type&gt;&lt;contributors&gt;&lt;authors&gt;&lt;author&gt;Omer, Mayada&lt;/author&gt;&lt;author&gt;Mostashari, Ali&lt;/author&gt;&lt;author&gt;Nilchiani, Roshanak&lt;/author&gt;&lt;/authors&gt;&lt;/contributors&gt;&lt;titles&gt;&lt;title&gt;Assessing resilience in a regional road-based transportation network&lt;/title&gt;&lt;secondary-title&gt;International Journal of Industrial and Systems Engineering&lt;/secondary-title&gt;&lt;/titles&gt;&lt;periodical&gt;&lt;full-title&gt;International Journal of Industrial and Systems Engineering&lt;/full-title&gt;&lt;/periodical&gt;&lt;pages&gt;389-408&lt;/pages&gt;&lt;volume&gt;13&lt;/volume&gt;&lt;number&gt;4&lt;/number&gt;&lt;dates&gt;&lt;year&gt;2013&lt;/year&gt;&lt;/dates&gt;&lt;isbn&gt;1748-5037&lt;/isbn&gt;&lt;urls&gt;&lt;/urls&gt;&lt;/record&gt;&lt;/Cite&gt;&lt;/EndNote&gt;</w:instrText>
      </w:r>
      <w:r w:rsidRPr="008B4D96">
        <w:rPr>
          <w:rFonts w:ascii="Arial" w:hAnsi="Arial" w:cs="Arial"/>
          <w:sz w:val="22"/>
          <w:szCs w:val="22"/>
        </w:rPr>
        <w:fldChar w:fldCharType="separate"/>
      </w:r>
      <w:r w:rsidRPr="008B4D96">
        <w:rPr>
          <w:rFonts w:ascii="Arial" w:hAnsi="Arial" w:cs="Arial"/>
          <w:noProof/>
          <w:sz w:val="22"/>
          <w:szCs w:val="22"/>
        </w:rPr>
        <w:t>Omer et al. (2013)</w:t>
      </w:r>
      <w:r w:rsidRPr="008B4D96">
        <w:rPr>
          <w:rFonts w:ascii="Arial" w:hAnsi="Arial" w:cs="Arial"/>
          <w:sz w:val="22"/>
          <w:szCs w:val="22"/>
        </w:rPr>
        <w:fldChar w:fldCharType="end"/>
      </w:r>
      <w:r w:rsidRPr="008B4D96">
        <w:rPr>
          <w:rFonts w:ascii="Arial" w:hAnsi="Arial" w:cs="Arial"/>
          <w:sz w:val="22"/>
          <w:szCs w:val="22"/>
        </w:rPr>
        <w:t xml:space="preserve"> measured the travel time resilience over the recovery period. </w:t>
      </w:r>
      <w:r w:rsidRPr="008B4D96" w:rsidDel="00BC6ED7">
        <w:rPr>
          <w:rFonts w:ascii="Arial" w:hAnsi="Arial" w:cs="Arial"/>
          <w:sz w:val="22"/>
          <w:szCs w:val="22"/>
        </w:rPr>
        <w:t>A short recovery time indicates the network returned to the (new) normal condition faster and, therefore, the resilience of the network would be higher.</w:t>
      </w:r>
    </w:p>
    <w:p w14:paraId="54A0323D"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To the best of the authors’ knowledge, based on a review of the relevant literature, the impact of eliminated trips together with increased travel time following a disaster has not been examined to date over the horizon of the post-disaster recovery phase in a single resilience measure. The proposed new measures integrate all three concepts of resilience to determine the impact of eliminated trips (robustness) and increased travel time (redundancy) over the horizon of the post-</w:t>
      </w:r>
      <w:r w:rsidRPr="008B4D96">
        <w:rPr>
          <w:rFonts w:ascii="Arial" w:hAnsi="Arial" w:cs="Arial"/>
          <w:sz w:val="22"/>
          <w:szCs w:val="22"/>
        </w:rPr>
        <w:lastRenderedPageBreak/>
        <w:t xml:space="preserve">disaster (recovery) phase. The inclusion of the recovery element in the measure is critical </w:t>
      </w:r>
      <w:proofErr w:type="gramStart"/>
      <w:r w:rsidRPr="008B4D96">
        <w:rPr>
          <w:rFonts w:ascii="Arial" w:hAnsi="Arial" w:cs="Arial"/>
          <w:sz w:val="22"/>
          <w:szCs w:val="22"/>
        </w:rPr>
        <w:t>in order to</w:t>
      </w:r>
      <w:proofErr w:type="gramEnd"/>
      <w:r w:rsidRPr="008B4D96">
        <w:rPr>
          <w:rFonts w:ascii="Arial" w:hAnsi="Arial" w:cs="Arial"/>
          <w:sz w:val="22"/>
          <w:szCs w:val="22"/>
        </w:rPr>
        <w:t xml:space="preserve"> calculate a measure of resilience over a period of time, rather than at a point in time. In fact, it can be argued that the latter, point in time, estimate is not a measure of trip resilience at all, but of trip reliability.</w:t>
      </w:r>
    </w:p>
    <w:p w14:paraId="20B42408" w14:textId="77777777" w:rsidR="00B56A0F" w:rsidRPr="008B4D96" w:rsidRDefault="00B56A0F" w:rsidP="00B56A0F">
      <w:pPr>
        <w:pStyle w:val="Heading1"/>
        <w:numPr>
          <w:ilvl w:val="0"/>
          <w:numId w:val="2"/>
        </w:numPr>
        <w:spacing w:before="120" w:line="264" w:lineRule="auto"/>
        <w:ind w:left="284" w:hanging="284"/>
        <w:jc w:val="both"/>
        <w:rPr>
          <w:rFonts w:ascii="Arial" w:eastAsia="CMS Y 10" w:hAnsi="Arial" w:cs="Arial"/>
          <w:b/>
          <w:bCs/>
          <w:color w:val="auto"/>
          <w:sz w:val="28"/>
          <w:szCs w:val="28"/>
        </w:rPr>
      </w:pPr>
      <w:r w:rsidRPr="008B4D96">
        <w:rPr>
          <w:rFonts w:ascii="Arial" w:eastAsia="CMS Y 10" w:hAnsi="Arial" w:cs="Arial"/>
          <w:b/>
          <w:bCs/>
          <w:color w:val="auto"/>
          <w:sz w:val="28"/>
          <w:szCs w:val="28"/>
        </w:rPr>
        <w:t>Development of the Trip Resilience Measures</w:t>
      </w:r>
    </w:p>
    <w:p w14:paraId="39D70087"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noProof/>
          <w:sz w:val="22"/>
          <w:szCs w:val="22"/>
        </w:rPr>
        <w:t xml:space="preserve">Generally, two issues arise when a disaster occurs on a road network. First, some traffic zones (TZs) can end up completely disconnected and, hence, trips cannot be completed to or from these TZs. Second, some TZs with alternative routes available can experience increased travel time due to increased travelled distance (typically in rural areas) or congested routes (typically in urban areas). A new resilience measure namely the Trip Resilience (TR) measure is proposed to assess the resilience of trips between TZs on a road network. The </w:t>
      </w:r>
      <w:r w:rsidRPr="008B4D96">
        <w:rPr>
          <w:rFonts w:ascii="Arial" w:hAnsi="Arial" w:cs="Arial"/>
          <w:noProof/>
          <w:sz w:val="22"/>
          <w:szCs w:val="22"/>
        </w:rPr>
        <w:fldChar w:fldCharType="begin"/>
      </w:r>
      <w:r w:rsidRPr="008B4D96">
        <w:rPr>
          <w:rFonts w:ascii="Arial" w:hAnsi="Arial" w:cs="Arial"/>
          <w:noProof/>
          <w:sz w:val="22"/>
          <w:szCs w:val="22"/>
        </w:rPr>
        <w:instrText xml:space="preserve"> ADDIN EN.CITE &lt;EndNote&gt;&lt;Cite AuthorYear="1"&gt;&lt;Author&gt;Bruneau&lt;/Author&gt;&lt;Year&gt;2003&lt;/Year&gt;&lt;RecNum&gt;30&lt;/RecNum&gt;&lt;DisplayText&gt;Bruneau et al. (2003)&lt;/DisplayText&gt;&lt;record&gt;&lt;rec-number&gt;30&lt;/rec-number&gt;&lt;foreign-keys&gt;&lt;key app="EN" db-id="s0p2zpapifxv9yep9sf5x929xxwtr5f95aw2" timestamp="1550437374"&gt;30&lt;/key&gt;&lt;/foreign-keys&gt;&lt;ref-type name="Journal Article"&gt;17&lt;/ref-type&gt;&lt;contributors&gt;&lt;authors&gt;&lt;author&gt;Michel Bruneau&lt;/author&gt;&lt;author&gt;Stephanie E. Chang&lt;/author&gt;&lt;author&gt;Ronald T. Eguchi&lt;/author&gt;&lt;author&gt;George C. Lee&lt;/author&gt;&lt;author&gt;Thomas D. O’Rourke&lt;/author&gt;&lt;author&gt;Andrei M. Reinhorn&lt;/author&gt;&lt;author&gt;Masanobu Shinozuka&lt;/author&gt;&lt;author&gt;Kathleen Tierney&lt;/author&gt;&lt;author&gt;William A. Wallace&lt;/author&gt;&lt;author&gt;Detlof von Winterfeldt&lt;/author&gt;&lt;/authors&gt;&lt;/contributors&gt;&lt;titles&gt;&lt;title&gt;A Framework to Quantitatively Assess and Enhance the Seismic Resilience of Communities&lt;/title&gt;&lt;secondary-title&gt;Earthquake Spectra&lt;/secondary-title&gt;&lt;/titles&gt;&lt;periodical&gt;&lt;full-title&gt;Earthquake Spectra&lt;/full-title&gt;&lt;/periodical&gt;&lt;pages&gt;733-752&lt;/pages&gt;&lt;volume&gt;19&lt;/volume&gt;&lt;number&gt;4&lt;/number&gt;&lt;dates&gt;&lt;year&gt;2003&lt;/year&gt;&lt;/dates&gt;&lt;urls&gt;&lt;related-urls&gt;&lt;url&gt;http://earthquakespectra.org/doi/abs/10.1193/1.1623497&lt;/url&gt;&lt;/related-urls&gt;&lt;/urls&gt;&lt;electronic-resource-num&gt;10.1193/1.1623497&lt;/electronic-resource-num&gt;&lt;/record&gt;&lt;/Cite&gt;&lt;/EndNote&gt;</w:instrText>
      </w:r>
      <w:r w:rsidRPr="008B4D96">
        <w:rPr>
          <w:rFonts w:ascii="Arial" w:hAnsi="Arial" w:cs="Arial"/>
          <w:noProof/>
          <w:sz w:val="22"/>
          <w:szCs w:val="22"/>
        </w:rPr>
        <w:fldChar w:fldCharType="separate"/>
      </w:r>
      <w:r w:rsidRPr="008B4D96">
        <w:rPr>
          <w:rFonts w:ascii="Arial" w:hAnsi="Arial" w:cs="Arial"/>
          <w:noProof/>
          <w:sz w:val="22"/>
          <w:szCs w:val="22"/>
        </w:rPr>
        <w:t>Bruneau et al. (2003)</w:t>
      </w:r>
      <w:r w:rsidRPr="008B4D96">
        <w:rPr>
          <w:rFonts w:ascii="Arial" w:hAnsi="Arial" w:cs="Arial"/>
          <w:noProof/>
          <w:sz w:val="22"/>
          <w:szCs w:val="22"/>
        </w:rPr>
        <w:fldChar w:fldCharType="end"/>
      </w:r>
      <w:r w:rsidRPr="008B4D96">
        <w:rPr>
          <w:rFonts w:ascii="Arial" w:hAnsi="Arial" w:cs="Arial"/>
          <w:noProof/>
          <w:sz w:val="22"/>
          <w:szCs w:val="22"/>
        </w:rPr>
        <w:t xml:space="preserve"> study provided a generic definition of the concepts of robustness, redundancy, resourcefulness, and rapidity and proposed a conceptual framework for resilience assessment of a community. Their work was only conceptual in nature (i.e. they did not define how to calculate such measures), and they were not referring to transportation resilience. However, these four concepts are regularly used across all areas of resilience assessment. The proposed measure incorporates the four dimensions of resilient systems; </w:t>
      </w:r>
      <w:bookmarkStart w:id="7" w:name="_Hlk39434251"/>
      <w:r w:rsidRPr="008B4D96">
        <w:rPr>
          <w:rFonts w:ascii="Arial" w:hAnsi="Arial" w:cs="Arial"/>
          <w:noProof/>
          <w:sz w:val="22"/>
          <w:szCs w:val="22"/>
        </w:rPr>
        <w:t xml:space="preserve">robustness, redundancy, </w:t>
      </w:r>
      <w:bookmarkEnd w:id="7"/>
      <w:r w:rsidRPr="008B4D96">
        <w:rPr>
          <w:rFonts w:ascii="Arial" w:hAnsi="Arial" w:cs="Arial"/>
          <w:noProof/>
          <w:sz w:val="22"/>
          <w:szCs w:val="22"/>
        </w:rPr>
        <w:t xml:space="preserve">resourcefulness, and rapidity. Resourcefulness and rapidity reflect the importance of resources and budget to achieve response and reconstruction goals in a timely manner, hence, they can be represented by a single dimension, namely recovery. </w:t>
      </w:r>
      <w:r w:rsidRPr="008B4D96">
        <w:rPr>
          <w:rFonts w:ascii="Arial" w:hAnsi="Arial" w:cs="Arial"/>
          <w:i/>
          <w:iCs/>
          <w:noProof/>
          <w:sz w:val="22"/>
          <w:szCs w:val="22"/>
        </w:rPr>
        <w:t>TR</w:t>
      </w:r>
      <w:r w:rsidRPr="008B4D96">
        <w:rPr>
          <w:rFonts w:ascii="Arial" w:hAnsi="Arial" w:cs="Arial"/>
          <w:noProof/>
          <w:sz w:val="22"/>
          <w:szCs w:val="22"/>
        </w:rPr>
        <w:t xml:space="preserve"> is, therefore, a function of </w:t>
      </w:r>
      <w:r w:rsidRPr="008B4D96">
        <w:rPr>
          <w:rFonts w:ascii="Arial" w:hAnsi="Arial" w:cs="Arial"/>
          <w:i/>
          <w:noProof/>
          <w:sz w:val="22"/>
          <w:szCs w:val="22"/>
        </w:rPr>
        <w:t>robustness</w:t>
      </w:r>
      <w:r w:rsidRPr="008B4D96">
        <w:rPr>
          <w:rFonts w:ascii="Arial" w:hAnsi="Arial" w:cs="Arial"/>
          <w:noProof/>
          <w:sz w:val="22"/>
          <w:szCs w:val="22"/>
        </w:rPr>
        <w:t xml:space="preserve">, </w:t>
      </w:r>
      <w:r w:rsidRPr="008B4D96">
        <w:rPr>
          <w:rFonts w:ascii="Arial" w:hAnsi="Arial" w:cs="Arial"/>
          <w:i/>
          <w:noProof/>
          <w:sz w:val="22"/>
          <w:szCs w:val="22"/>
        </w:rPr>
        <w:t>redundancy</w:t>
      </w:r>
      <w:r w:rsidRPr="008B4D96" w:rsidDel="00971752">
        <w:rPr>
          <w:rFonts w:ascii="Arial" w:hAnsi="Arial" w:cs="Arial"/>
          <w:noProof/>
          <w:sz w:val="22"/>
          <w:szCs w:val="22"/>
        </w:rPr>
        <w:t xml:space="preserve"> </w:t>
      </w:r>
      <w:r w:rsidRPr="008B4D96">
        <w:rPr>
          <w:rFonts w:ascii="Arial" w:hAnsi="Arial" w:cs="Arial"/>
          <w:noProof/>
          <w:sz w:val="22"/>
          <w:szCs w:val="22"/>
        </w:rPr>
        <w:t xml:space="preserve">and </w:t>
      </w:r>
      <w:r w:rsidRPr="008B4D96">
        <w:rPr>
          <w:rFonts w:ascii="Arial" w:hAnsi="Arial" w:cs="Arial"/>
          <w:i/>
          <w:noProof/>
          <w:sz w:val="22"/>
          <w:szCs w:val="22"/>
        </w:rPr>
        <w:t>recovery</w:t>
      </w:r>
      <w:r w:rsidRPr="008B4D96">
        <w:rPr>
          <w:rFonts w:ascii="Arial" w:hAnsi="Arial" w:cs="Arial"/>
          <w:noProof/>
          <w:sz w:val="22"/>
          <w:szCs w:val="22"/>
        </w:rPr>
        <w:t xml:space="preserve"> as expressed in Eq. (1)</w:t>
      </w:r>
      <w:r w:rsidRPr="008B4D96">
        <w:rPr>
          <w:rFonts w:ascii="Arial" w:hAnsi="Arial" w:cs="Arial"/>
          <w:sz w:val="22"/>
          <w:szCs w:val="22"/>
        </w:rPr>
        <w:t xml:space="preserve">. </w:t>
      </w:r>
    </w:p>
    <w:p w14:paraId="083C08AC" w14:textId="77777777" w:rsidR="00B56A0F" w:rsidRPr="00E34AEB" w:rsidRDefault="00B56A0F" w:rsidP="00B56A0F">
      <w:pPr>
        <w:pStyle w:val="MTDisplayEquation"/>
        <w:spacing w:before="120" w:line="264" w:lineRule="auto"/>
        <w:rPr>
          <w:rFonts w:ascii="Arial" w:hAnsi="Arial" w:cs="Arial"/>
          <w:sz w:val="20"/>
          <w:szCs w:val="20"/>
        </w:rPr>
      </w:pPr>
      <w:r w:rsidRPr="00E34AEB">
        <w:rPr>
          <w:rFonts w:ascii="Arial" w:hAnsi="Arial" w:cs="Arial"/>
          <w:i/>
          <w:iCs/>
          <w:sz w:val="20"/>
          <w:szCs w:val="20"/>
        </w:rPr>
        <w:t xml:space="preserve">TR = f (Trip Robustness, Trip Redundancy, Recovery) </w:t>
      </w:r>
      <w:r w:rsidRPr="00E34AEB">
        <w:rPr>
          <w:rFonts w:ascii="Arial" w:hAnsi="Arial" w:cs="Arial"/>
          <w:sz w:val="20"/>
          <w:szCs w:val="20"/>
        </w:rPr>
        <w:tab/>
      </w:r>
      <w:r w:rsidRPr="00E34AEB">
        <w:rPr>
          <w:rFonts w:ascii="Arial" w:hAnsi="Arial" w:cs="Arial"/>
          <w:sz w:val="20"/>
          <w:szCs w:val="20"/>
        </w:rPr>
        <w:fldChar w:fldCharType="begin"/>
      </w:r>
      <w:r w:rsidRPr="00E34AEB">
        <w:rPr>
          <w:rFonts w:ascii="Arial" w:hAnsi="Arial" w:cs="Arial"/>
          <w:sz w:val="20"/>
          <w:szCs w:val="20"/>
        </w:rPr>
        <w:instrText xml:space="preserve"> MACROBUTTON MTPlaceRef \* MERGEFORMAT </w:instrText>
      </w:r>
      <w:r w:rsidRPr="00E34AEB">
        <w:rPr>
          <w:rFonts w:ascii="Arial" w:hAnsi="Arial" w:cs="Arial"/>
          <w:sz w:val="20"/>
          <w:szCs w:val="20"/>
        </w:rPr>
        <w:fldChar w:fldCharType="begin"/>
      </w:r>
      <w:r w:rsidRPr="00E34AEB">
        <w:rPr>
          <w:rFonts w:ascii="Arial" w:hAnsi="Arial" w:cs="Arial"/>
          <w:sz w:val="20"/>
          <w:szCs w:val="20"/>
        </w:rPr>
        <w:instrText xml:space="preserve"> SEQ MTEqn \h \* MERGEFORMAT </w:instrText>
      </w:r>
      <w:r w:rsidRPr="00E34AEB">
        <w:rPr>
          <w:rFonts w:ascii="Arial" w:hAnsi="Arial" w:cs="Arial"/>
          <w:sz w:val="20"/>
          <w:szCs w:val="20"/>
        </w:rPr>
        <w:fldChar w:fldCharType="end"/>
      </w:r>
      <w:bookmarkStart w:id="8" w:name="ZEqnNum357402"/>
      <w:r w:rsidRPr="00E34AEB">
        <w:rPr>
          <w:rFonts w:ascii="Arial" w:hAnsi="Arial" w:cs="Arial"/>
          <w:sz w:val="20"/>
          <w:szCs w:val="20"/>
        </w:rPr>
        <w:instrText>(</w:instrText>
      </w:r>
      <w:r w:rsidRPr="00E34AEB">
        <w:rPr>
          <w:rFonts w:ascii="Arial" w:hAnsi="Arial" w:cs="Arial"/>
          <w:noProof/>
          <w:sz w:val="20"/>
          <w:szCs w:val="20"/>
        </w:rPr>
        <w:fldChar w:fldCharType="begin"/>
      </w:r>
      <w:r w:rsidRPr="00E34AEB">
        <w:rPr>
          <w:rFonts w:ascii="Arial" w:hAnsi="Arial" w:cs="Arial"/>
          <w:noProof/>
          <w:sz w:val="20"/>
          <w:szCs w:val="20"/>
        </w:rPr>
        <w:instrText xml:space="preserve"> SEQ MTEqn \c \* Arabic \* MERGEFORMAT </w:instrText>
      </w:r>
      <w:r w:rsidRPr="00E34AEB">
        <w:rPr>
          <w:rFonts w:ascii="Arial" w:hAnsi="Arial" w:cs="Arial"/>
          <w:noProof/>
          <w:sz w:val="20"/>
          <w:szCs w:val="20"/>
        </w:rPr>
        <w:fldChar w:fldCharType="separate"/>
      </w:r>
      <w:r w:rsidRPr="00E34AEB">
        <w:rPr>
          <w:rFonts w:ascii="Arial" w:hAnsi="Arial" w:cs="Arial"/>
          <w:noProof/>
          <w:sz w:val="20"/>
          <w:szCs w:val="20"/>
        </w:rPr>
        <w:instrText>1</w:instrText>
      </w:r>
      <w:r w:rsidRPr="00E34AEB">
        <w:rPr>
          <w:rFonts w:ascii="Arial" w:hAnsi="Arial" w:cs="Arial"/>
          <w:noProof/>
          <w:sz w:val="20"/>
          <w:szCs w:val="20"/>
        </w:rPr>
        <w:fldChar w:fldCharType="end"/>
      </w:r>
      <w:r w:rsidRPr="00E34AEB">
        <w:rPr>
          <w:rFonts w:ascii="Arial" w:hAnsi="Arial" w:cs="Arial"/>
          <w:sz w:val="20"/>
          <w:szCs w:val="20"/>
        </w:rPr>
        <w:instrText>)</w:instrText>
      </w:r>
      <w:bookmarkEnd w:id="8"/>
      <w:r w:rsidRPr="00E34AEB">
        <w:rPr>
          <w:rFonts w:ascii="Arial" w:hAnsi="Arial" w:cs="Arial"/>
          <w:sz w:val="20"/>
          <w:szCs w:val="20"/>
        </w:rPr>
        <w:fldChar w:fldCharType="end"/>
      </w:r>
    </w:p>
    <w:p w14:paraId="022568DC"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It should be noted that </w:t>
      </w:r>
      <w:r w:rsidRPr="008B4D96">
        <w:rPr>
          <w:rFonts w:ascii="Arial" w:hAnsi="Arial" w:cs="Arial"/>
          <w:i/>
          <w:sz w:val="22"/>
          <w:szCs w:val="22"/>
        </w:rPr>
        <w:t>robustness</w:t>
      </w:r>
      <w:r w:rsidRPr="008B4D96">
        <w:rPr>
          <w:rFonts w:ascii="Arial" w:hAnsi="Arial" w:cs="Arial"/>
          <w:sz w:val="22"/>
          <w:szCs w:val="22"/>
        </w:rPr>
        <w:t xml:space="preserve"> and </w:t>
      </w:r>
      <w:r w:rsidRPr="008B4D96">
        <w:rPr>
          <w:rFonts w:ascii="Arial" w:hAnsi="Arial" w:cs="Arial"/>
          <w:i/>
          <w:sz w:val="22"/>
          <w:szCs w:val="22"/>
        </w:rPr>
        <w:t>redundancy</w:t>
      </w:r>
      <w:r w:rsidRPr="008B4D96">
        <w:rPr>
          <w:rFonts w:ascii="Arial" w:hAnsi="Arial" w:cs="Arial"/>
          <w:sz w:val="22"/>
          <w:szCs w:val="22"/>
        </w:rPr>
        <w:t xml:space="preserve"> can vary over time due to the recovery effort and, at any point in time, when taken together they represent the reliability of the network. The </w:t>
      </w:r>
      <w:r w:rsidRPr="008B4D96">
        <w:rPr>
          <w:rFonts w:ascii="Arial" w:hAnsi="Arial" w:cs="Arial"/>
          <w:i/>
          <w:sz w:val="22"/>
          <w:szCs w:val="22"/>
        </w:rPr>
        <w:t>recovery</w:t>
      </w:r>
      <w:r w:rsidRPr="008B4D96">
        <w:rPr>
          <w:rFonts w:ascii="Arial" w:hAnsi="Arial" w:cs="Arial"/>
          <w:sz w:val="22"/>
          <w:szCs w:val="22"/>
        </w:rPr>
        <w:t xml:space="preserve"> determines a time scale whereby the network structurally, and therefore operationally, improves. </w:t>
      </w:r>
      <w:r w:rsidRPr="008B4D96">
        <w:rPr>
          <w:rFonts w:ascii="Arial" w:hAnsi="Arial" w:cs="Arial"/>
          <w:sz w:val="22"/>
          <w:szCs w:val="22"/>
        </w:rPr>
        <w:fldChar w:fldCharType="begin"/>
      </w:r>
      <w:r w:rsidRPr="008B4D96">
        <w:rPr>
          <w:rFonts w:ascii="Arial" w:hAnsi="Arial" w:cs="Arial"/>
          <w:sz w:val="22"/>
          <w:szCs w:val="22"/>
        </w:rPr>
        <w:instrText xml:space="preserve"> REF _Ref55339021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1</w:t>
      </w:r>
      <w:r w:rsidRPr="008B4D96">
        <w:rPr>
          <w:rFonts w:ascii="Arial" w:hAnsi="Arial" w:cs="Arial"/>
          <w:sz w:val="22"/>
          <w:szCs w:val="22"/>
        </w:rPr>
        <w:fldChar w:fldCharType="end"/>
      </w:r>
      <w:r w:rsidRPr="008B4D96">
        <w:rPr>
          <w:rFonts w:ascii="Arial" w:hAnsi="Arial" w:cs="Arial"/>
          <w:sz w:val="22"/>
          <w:szCs w:val="22"/>
        </w:rPr>
        <w:t xml:space="preserve"> graphically illustrates robustness, </w:t>
      </w:r>
      <w:proofErr w:type="gramStart"/>
      <w:r w:rsidRPr="008B4D96">
        <w:rPr>
          <w:rFonts w:ascii="Arial" w:hAnsi="Arial" w:cs="Arial"/>
          <w:sz w:val="22"/>
          <w:szCs w:val="22"/>
        </w:rPr>
        <w:t>reliability</w:t>
      </w:r>
      <w:proofErr w:type="gramEnd"/>
      <w:r w:rsidRPr="008B4D96">
        <w:rPr>
          <w:rFonts w:ascii="Arial" w:hAnsi="Arial" w:cs="Arial"/>
          <w:sz w:val="22"/>
          <w:szCs w:val="22"/>
        </w:rPr>
        <w:t xml:space="preserve"> and resilience in the event of a disaster. </w:t>
      </w:r>
    </w:p>
    <w:p w14:paraId="70346023" w14:textId="77777777" w:rsidR="00B56A0F" w:rsidRPr="008B4D96" w:rsidRDefault="00B56A0F" w:rsidP="00B56A0F">
      <w:pPr>
        <w:spacing w:before="120" w:line="264" w:lineRule="auto"/>
        <w:jc w:val="center"/>
        <w:rPr>
          <w:rFonts w:ascii="Arial" w:hAnsi="Arial" w:cs="Arial"/>
          <w:sz w:val="22"/>
          <w:szCs w:val="22"/>
        </w:rPr>
      </w:pPr>
      <w:r w:rsidRPr="008B4D96">
        <w:rPr>
          <w:rFonts w:ascii="Arial" w:hAnsi="Arial" w:cs="Arial"/>
          <w:noProof/>
          <w:sz w:val="22"/>
          <w:szCs w:val="22"/>
          <w:lang w:eastAsia="en-NZ"/>
        </w:rPr>
        <w:drawing>
          <wp:inline distT="0" distB="0" distL="0" distR="0" wp14:anchorId="5F76F95D" wp14:editId="7D5F1A66">
            <wp:extent cx="3650285" cy="1788953"/>
            <wp:effectExtent l="0" t="0" r="7620" b="1905"/>
            <wp:docPr id="13" name="Picture 13" descr="A graph of recovery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recovery ti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4320" cy="1800732"/>
                    </a:xfrm>
                    <a:prstGeom prst="rect">
                      <a:avLst/>
                    </a:prstGeom>
                    <a:noFill/>
                  </pic:spPr>
                </pic:pic>
              </a:graphicData>
            </a:graphic>
          </wp:inline>
        </w:drawing>
      </w:r>
    </w:p>
    <w:p w14:paraId="245922F8" w14:textId="77777777" w:rsidR="00B56A0F" w:rsidRPr="008B4D96" w:rsidRDefault="00B56A0F" w:rsidP="00B56A0F">
      <w:pPr>
        <w:pStyle w:val="Caption"/>
        <w:spacing w:before="120" w:after="0" w:line="264" w:lineRule="auto"/>
        <w:jc w:val="center"/>
        <w:rPr>
          <w:rFonts w:ascii="Arial" w:hAnsi="Arial" w:cs="Arial"/>
          <w:i w:val="0"/>
          <w:color w:val="auto"/>
          <w:sz w:val="20"/>
          <w:szCs w:val="20"/>
        </w:rPr>
      </w:pPr>
      <w:bookmarkStart w:id="9" w:name="_Ref55339021"/>
      <w:r w:rsidRPr="008B4D96">
        <w:rPr>
          <w:rFonts w:ascii="Arial" w:hAnsi="Arial" w:cs="Arial"/>
          <w:i w:val="0"/>
          <w:color w:val="auto"/>
          <w:sz w:val="20"/>
          <w:szCs w:val="20"/>
        </w:rPr>
        <w:t xml:space="preserve">Figure </w:t>
      </w:r>
      <w:r w:rsidRPr="008B4D96">
        <w:rPr>
          <w:rFonts w:ascii="Arial" w:hAnsi="Arial" w:cs="Arial"/>
          <w:iCs w:val="0"/>
          <w:color w:val="auto"/>
          <w:sz w:val="20"/>
          <w:szCs w:val="20"/>
        </w:rPr>
        <w:fldChar w:fldCharType="begin"/>
      </w:r>
      <w:r w:rsidRPr="008B4D96">
        <w:rPr>
          <w:rFonts w:ascii="Arial" w:hAnsi="Arial" w:cs="Arial"/>
          <w:i w:val="0"/>
          <w:color w:val="auto"/>
          <w:sz w:val="20"/>
          <w:szCs w:val="20"/>
        </w:rPr>
        <w:instrText xml:space="preserve"> SEQ Figure \* ARABIC </w:instrText>
      </w:r>
      <w:r w:rsidRPr="008B4D96">
        <w:rPr>
          <w:rFonts w:ascii="Arial" w:hAnsi="Arial" w:cs="Arial"/>
          <w:iCs w:val="0"/>
          <w:color w:val="auto"/>
          <w:sz w:val="20"/>
          <w:szCs w:val="20"/>
        </w:rPr>
        <w:fldChar w:fldCharType="separate"/>
      </w:r>
      <w:r w:rsidRPr="008B4D96">
        <w:rPr>
          <w:rFonts w:ascii="Arial" w:hAnsi="Arial" w:cs="Arial"/>
          <w:i w:val="0"/>
          <w:noProof/>
          <w:color w:val="auto"/>
          <w:sz w:val="20"/>
          <w:szCs w:val="20"/>
        </w:rPr>
        <w:t>1</w:t>
      </w:r>
      <w:r w:rsidRPr="008B4D96">
        <w:rPr>
          <w:rFonts w:ascii="Arial" w:hAnsi="Arial" w:cs="Arial"/>
          <w:iCs w:val="0"/>
          <w:color w:val="auto"/>
          <w:sz w:val="20"/>
          <w:szCs w:val="20"/>
        </w:rPr>
        <w:fldChar w:fldCharType="end"/>
      </w:r>
      <w:bookmarkEnd w:id="9"/>
      <w:r w:rsidRPr="008B4D96">
        <w:rPr>
          <w:rFonts w:ascii="Arial" w:hAnsi="Arial" w:cs="Arial"/>
          <w:i w:val="0"/>
          <w:color w:val="auto"/>
          <w:sz w:val="20"/>
          <w:szCs w:val="20"/>
        </w:rPr>
        <w:t xml:space="preserve">: Conceptual Robustness, Reliability and Resilience of a Network </w:t>
      </w:r>
    </w:p>
    <w:p w14:paraId="0A9F3F11"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i/>
          <w:sz w:val="22"/>
          <w:szCs w:val="22"/>
        </w:rPr>
        <w:t>Robustness</w:t>
      </w:r>
      <w:r w:rsidRPr="008B4D96">
        <w:rPr>
          <w:rFonts w:ascii="Arial" w:hAnsi="Arial" w:cs="Arial"/>
          <w:sz w:val="22"/>
          <w:szCs w:val="22"/>
        </w:rPr>
        <w:t>, in this study, relates to the structural and physical strength of the transportation network assets, where the impact of disruption following a disaster would be reflected in the total percentage of trips that can still be undertaken between an OD pair post-disaster. When a link or a group of links on the network are blocked or disrupted, some TZs might be disconnected from other TZs, which means trips between those TZs will not occur. In such cases, those trips are eliminated as their travel costs become infinite as demand is unsatisfied. Consequently, the robustness of trips between an OD pair (</w:t>
      </w:r>
      <w:proofErr w:type="spellStart"/>
      <w:r w:rsidRPr="008B4D96">
        <w:rPr>
          <w:rFonts w:ascii="Arial" w:hAnsi="Arial" w:cs="Arial"/>
          <w:sz w:val="22"/>
          <w:szCs w:val="22"/>
        </w:rPr>
        <w:t>ij</w:t>
      </w:r>
      <w:proofErr w:type="spellEnd"/>
      <w:r w:rsidRPr="008B4D96">
        <w:rPr>
          <w:rFonts w:ascii="Arial" w:hAnsi="Arial" w:cs="Arial"/>
          <w:sz w:val="22"/>
          <w:szCs w:val="22"/>
        </w:rPr>
        <w:t>) during a recovery time (</w:t>
      </w:r>
      <m:oMath>
        <m:sSub>
          <m:sSubPr>
            <m:ctrlPr>
              <w:rPr>
                <w:rFonts w:ascii="Cambria Math" w:hAnsi="Cambria Math" w:cs="Arial"/>
                <w:i/>
                <w:sz w:val="22"/>
                <w:szCs w:val="22"/>
                <w:lang w:eastAsia="en-NZ"/>
              </w:rPr>
            </m:ctrlPr>
          </m:sSubPr>
          <m:e>
            <m:r>
              <w:rPr>
                <w:rFonts w:ascii="Cambria Math" w:hAnsi="Cambria Math" w:cs="Arial"/>
                <w:sz w:val="22"/>
                <w:szCs w:val="22"/>
                <w:lang w:eastAsia="en-NZ"/>
              </w:rPr>
              <m:t>t</m:t>
            </m:r>
          </m:e>
          <m:sub>
            <m:r>
              <w:rPr>
                <w:rFonts w:ascii="Cambria Math" w:hAnsi="Cambria Math" w:cs="Arial"/>
                <w:sz w:val="22"/>
                <w:szCs w:val="22"/>
                <w:lang w:eastAsia="en-NZ"/>
              </w:rPr>
              <m:t>ζ</m:t>
            </m:r>
          </m:sub>
        </m:sSub>
      </m:oMath>
      <w:r w:rsidRPr="008B4D96">
        <w:rPr>
          <w:rFonts w:ascii="Arial" w:hAnsi="Arial" w:cs="Arial"/>
          <w:sz w:val="22"/>
          <w:szCs w:val="22"/>
        </w:rPr>
        <w:t xml:space="preserve">) under post-disaster scenario </w:t>
      </w:r>
      <m:oMath>
        <m:r>
          <w:rPr>
            <w:rFonts w:ascii="Cambria Math" w:hAnsi="Cambria Math" w:cs="Arial"/>
            <w:sz w:val="22"/>
            <w:szCs w:val="22"/>
            <w:lang w:eastAsia="en-NZ"/>
          </w:rPr>
          <m:t>ζ</m:t>
        </m:r>
      </m:oMath>
      <w:r w:rsidRPr="008B4D96">
        <w:rPr>
          <w:rFonts w:ascii="Arial" w:hAnsi="Arial" w:cs="Arial"/>
          <w:sz w:val="22"/>
          <w:szCs w:val="22"/>
        </w:rPr>
        <w:t xml:space="preserve"> can be calculated as expressed in Eq. (2), where </w:t>
      </w:r>
      <w:proofErr w:type="spellStart"/>
      <w:r w:rsidRPr="008B4D96">
        <w:rPr>
          <w:rFonts w:ascii="Arial" w:hAnsi="Arial" w:cs="Arial"/>
          <w:i/>
          <w:iCs/>
          <w:sz w:val="22"/>
          <w:szCs w:val="22"/>
        </w:rPr>
        <w:t>Flow</w:t>
      </w:r>
      <w:r w:rsidRPr="008B4D96">
        <w:rPr>
          <w:rFonts w:ascii="Arial" w:hAnsi="Arial" w:cs="Arial"/>
          <w:i/>
          <w:iCs/>
          <w:sz w:val="22"/>
          <w:szCs w:val="22"/>
          <w:vertAlign w:val="subscript"/>
        </w:rPr>
        <w:t>ij</w:t>
      </w:r>
      <w:proofErr w:type="spellEnd"/>
      <w:r w:rsidRPr="008B4D96">
        <w:rPr>
          <w:rFonts w:ascii="Arial" w:hAnsi="Arial" w:cs="Arial"/>
          <w:i/>
          <w:iCs/>
          <w:sz w:val="22"/>
          <w:szCs w:val="22"/>
          <w:vertAlign w:val="subscript"/>
        </w:rPr>
        <w:t>(ζ)</w:t>
      </w:r>
      <w:r w:rsidRPr="008B4D96">
        <w:rPr>
          <w:rFonts w:ascii="Arial" w:hAnsi="Arial" w:cs="Arial"/>
          <w:sz w:val="22"/>
          <w:szCs w:val="22"/>
        </w:rPr>
        <w:t xml:space="preserve"> and </w:t>
      </w:r>
      <w:proofErr w:type="spellStart"/>
      <w:proofErr w:type="gramStart"/>
      <w:r w:rsidRPr="008B4D96">
        <w:rPr>
          <w:rFonts w:ascii="Arial" w:hAnsi="Arial" w:cs="Arial"/>
          <w:i/>
          <w:iCs/>
          <w:sz w:val="22"/>
          <w:szCs w:val="22"/>
        </w:rPr>
        <w:t>Flow</w:t>
      </w:r>
      <w:r w:rsidRPr="008B4D96">
        <w:rPr>
          <w:rFonts w:ascii="Arial" w:hAnsi="Arial" w:cs="Arial"/>
          <w:i/>
          <w:iCs/>
          <w:sz w:val="22"/>
          <w:szCs w:val="22"/>
          <w:vertAlign w:val="subscript"/>
        </w:rPr>
        <w:t>ij</w:t>
      </w:r>
      <w:proofErr w:type="spellEnd"/>
      <w:r w:rsidRPr="008B4D96">
        <w:rPr>
          <w:rFonts w:ascii="Arial" w:hAnsi="Arial" w:cs="Arial"/>
          <w:i/>
          <w:iCs/>
          <w:sz w:val="22"/>
          <w:szCs w:val="22"/>
          <w:vertAlign w:val="subscript"/>
        </w:rPr>
        <w:t>(</w:t>
      </w:r>
      <w:proofErr w:type="gramEnd"/>
      <w:r w:rsidRPr="008B4D96">
        <w:rPr>
          <w:rFonts w:ascii="Arial" w:hAnsi="Arial" w:cs="Arial"/>
          <w:i/>
          <w:iCs/>
          <w:sz w:val="22"/>
          <w:szCs w:val="22"/>
          <w:vertAlign w:val="subscript"/>
        </w:rPr>
        <w:t>BAU)</w:t>
      </w:r>
      <w:r w:rsidRPr="008B4D96">
        <w:rPr>
          <w:rFonts w:ascii="Arial" w:hAnsi="Arial" w:cs="Arial"/>
          <w:sz w:val="22"/>
          <w:szCs w:val="22"/>
        </w:rPr>
        <w:t xml:space="preserve"> represent flow under post-disaster and BAU scenarios respectively. Eq. (2) can be used for an OD pair, a group of OD pairs, or the whole network. </w:t>
      </w:r>
    </w:p>
    <w:p w14:paraId="1A4320C8" w14:textId="77777777" w:rsidR="00B56A0F" w:rsidRPr="00E34AEB" w:rsidRDefault="00455D44" w:rsidP="00B56A0F">
      <w:pPr>
        <w:pStyle w:val="MTDisplayEquation"/>
        <w:spacing w:before="120" w:line="264" w:lineRule="auto"/>
        <w:ind w:left="720" w:firstLine="0"/>
        <w:rPr>
          <w:rFonts w:ascii="Arial" w:hAnsi="Arial" w:cs="Arial"/>
          <w:sz w:val="20"/>
          <w:szCs w:val="20"/>
          <w:lang w:eastAsia="en-NZ"/>
        </w:rPr>
      </w:pPr>
      <m:oMath>
        <m:sSub>
          <m:sSubPr>
            <m:ctrlPr>
              <w:rPr>
                <w:rFonts w:ascii="Cambria Math" w:hAnsi="Cambria Math" w:cs="Arial"/>
                <w:i/>
                <w:sz w:val="20"/>
                <w:szCs w:val="20"/>
                <w:lang w:eastAsia="en-NZ"/>
              </w:rPr>
            </m:ctrlPr>
          </m:sSubPr>
          <m:e>
            <m:r>
              <w:rPr>
                <w:rFonts w:ascii="Cambria Math" w:hAnsi="Cambria Math" w:cs="Arial"/>
                <w:sz w:val="20"/>
                <w:szCs w:val="20"/>
                <w:lang w:eastAsia="en-NZ"/>
              </w:rPr>
              <m:t>Robustness</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f>
          <m:fPr>
            <m:ctrlPr>
              <w:rPr>
                <w:rFonts w:ascii="Cambria Math" w:hAnsi="Cambria Math" w:cs="Arial"/>
                <w:i/>
                <w:sz w:val="20"/>
                <w:szCs w:val="20"/>
                <w:lang w:eastAsia="en-NZ"/>
              </w:rPr>
            </m:ctrlPr>
          </m:fPr>
          <m:num>
            <m:sSub>
              <m:sSubPr>
                <m:ctrlPr>
                  <w:rPr>
                    <w:rFonts w:ascii="Cambria Math" w:hAnsi="Cambria Math" w:cs="Arial"/>
                    <w:i/>
                    <w:sz w:val="20"/>
                    <w:szCs w:val="20"/>
                    <w:lang w:eastAsia="en-NZ"/>
                  </w:rPr>
                </m:ctrlPr>
              </m:sSubPr>
              <m:e>
                <m:r>
                  <w:rPr>
                    <w:rFonts w:ascii="Cambria Math" w:hAnsi="Cambria Math" w:cs="Arial"/>
                    <w:sz w:val="20"/>
                    <w:szCs w:val="20"/>
                    <w:lang w:eastAsia="en-NZ"/>
                  </w:rPr>
                  <m:t>Flow</m:t>
                </m:r>
              </m:e>
              <m:sub>
                <m:r>
                  <w:rPr>
                    <w:rFonts w:ascii="Cambria Math" w:hAnsi="Cambria Math" w:cs="Arial"/>
                    <w:sz w:val="20"/>
                    <w:szCs w:val="20"/>
                    <w:lang w:eastAsia="en-NZ"/>
                  </w:rPr>
                  <m:t>ij(ζ)</m:t>
                </m:r>
              </m:sub>
            </m:sSub>
          </m:num>
          <m:den>
            <m:sSub>
              <m:sSubPr>
                <m:ctrlPr>
                  <w:rPr>
                    <w:rFonts w:ascii="Cambria Math" w:hAnsi="Cambria Math" w:cs="Arial"/>
                    <w:i/>
                    <w:sz w:val="20"/>
                    <w:szCs w:val="20"/>
                    <w:lang w:eastAsia="en-NZ"/>
                  </w:rPr>
                </m:ctrlPr>
              </m:sSubPr>
              <m:e>
                <m:r>
                  <w:rPr>
                    <w:rFonts w:ascii="Cambria Math" w:hAnsi="Cambria Math" w:cs="Arial"/>
                    <w:sz w:val="20"/>
                    <w:szCs w:val="20"/>
                    <w:lang w:eastAsia="en-NZ"/>
                  </w:rPr>
                  <m:t>Flow</m:t>
                </m:r>
              </m:e>
              <m:sub>
                <m:r>
                  <w:rPr>
                    <w:rFonts w:ascii="Cambria Math" w:hAnsi="Cambria Math" w:cs="Arial"/>
                    <w:sz w:val="20"/>
                    <w:szCs w:val="20"/>
                    <w:lang w:eastAsia="en-NZ"/>
                  </w:rPr>
                  <m:t>ij(BAU)</m:t>
                </m:r>
              </m:sub>
            </m:sSub>
          </m:den>
        </m:f>
      </m:oMath>
      <w:r w:rsidR="00B56A0F" w:rsidRPr="00E34AEB">
        <w:rPr>
          <w:rFonts w:ascii="Arial" w:hAnsi="Arial" w:cs="Arial"/>
          <w:sz w:val="20"/>
          <w:szCs w:val="20"/>
          <w:lang w:eastAsia="en-NZ"/>
        </w:rPr>
        <w:t xml:space="preserve"> </w:t>
      </w:r>
      <w:r w:rsidR="00B56A0F" w:rsidRPr="00E34AEB">
        <w:rPr>
          <w:rFonts w:ascii="Arial" w:hAnsi="Arial" w:cs="Arial"/>
          <w:sz w:val="20"/>
          <w:szCs w:val="20"/>
          <w:lang w:eastAsia="en-NZ"/>
        </w:rPr>
        <w:tab/>
      </w:r>
      <w:r w:rsidR="00B56A0F" w:rsidRPr="00E34AEB">
        <w:rPr>
          <w:rFonts w:ascii="Arial" w:hAnsi="Arial" w:cs="Arial"/>
          <w:sz w:val="20"/>
          <w:szCs w:val="20"/>
          <w:lang w:eastAsia="en-NZ"/>
        </w:rPr>
        <w:tab/>
      </w:r>
      <w:r w:rsidR="00B56A0F" w:rsidRPr="00E34AEB">
        <w:rPr>
          <w:rFonts w:ascii="Arial" w:hAnsi="Arial" w:cs="Arial"/>
          <w:sz w:val="20"/>
          <w:szCs w:val="20"/>
          <w:lang w:eastAsia="en-NZ"/>
        </w:rPr>
        <w:fldChar w:fldCharType="begin"/>
      </w:r>
      <w:r w:rsidR="00B56A0F" w:rsidRPr="00E34AEB">
        <w:rPr>
          <w:rFonts w:ascii="Arial" w:hAnsi="Arial" w:cs="Arial"/>
          <w:sz w:val="20"/>
          <w:szCs w:val="20"/>
          <w:lang w:eastAsia="en-NZ"/>
        </w:rPr>
        <w:instrText xml:space="preserve"> MACROBUTTON MTPlaceRef \* MERGEFORMAT </w:instrText>
      </w:r>
      <w:r w:rsidR="00B56A0F" w:rsidRPr="00E34AEB">
        <w:rPr>
          <w:rFonts w:ascii="Arial" w:hAnsi="Arial" w:cs="Arial"/>
          <w:sz w:val="20"/>
          <w:szCs w:val="20"/>
          <w:lang w:eastAsia="en-NZ"/>
        </w:rPr>
        <w:fldChar w:fldCharType="begin"/>
      </w:r>
      <w:r w:rsidR="00B56A0F" w:rsidRPr="00E34AEB">
        <w:rPr>
          <w:rFonts w:ascii="Arial" w:hAnsi="Arial" w:cs="Arial"/>
          <w:sz w:val="20"/>
          <w:szCs w:val="20"/>
          <w:lang w:eastAsia="en-NZ"/>
        </w:rPr>
        <w:instrText xml:space="preserve"> SEQ MTEqn \h \* MERGEFORMAT </w:instrText>
      </w:r>
      <w:r w:rsidR="00B56A0F" w:rsidRPr="00E34AEB">
        <w:rPr>
          <w:rFonts w:ascii="Arial" w:hAnsi="Arial" w:cs="Arial"/>
          <w:sz w:val="20"/>
          <w:szCs w:val="20"/>
          <w:lang w:eastAsia="en-NZ"/>
        </w:rPr>
        <w:fldChar w:fldCharType="end"/>
      </w:r>
      <w:bookmarkStart w:id="10" w:name="ZEqnNum248216"/>
      <w:r w:rsidR="00B56A0F" w:rsidRPr="00E34AEB">
        <w:rPr>
          <w:rFonts w:ascii="Arial" w:hAnsi="Arial" w:cs="Arial"/>
          <w:sz w:val="20"/>
          <w:szCs w:val="20"/>
          <w:lang w:eastAsia="en-NZ"/>
        </w:rPr>
        <w:instrText>(</w:instrText>
      </w:r>
      <w:r w:rsidR="00B56A0F" w:rsidRPr="00E34AEB">
        <w:rPr>
          <w:rFonts w:ascii="Arial" w:hAnsi="Arial" w:cs="Arial"/>
          <w:sz w:val="20"/>
          <w:szCs w:val="20"/>
          <w:lang w:eastAsia="en-NZ"/>
        </w:rPr>
        <w:fldChar w:fldCharType="begin"/>
      </w:r>
      <w:r w:rsidR="00B56A0F" w:rsidRPr="00E34AEB">
        <w:rPr>
          <w:rFonts w:ascii="Arial" w:hAnsi="Arial" w:cs="Arial"/>
          <w:sz w:val="20"/>
          <w:szCs w:val="20"/>
          <w:lang w:eastAsia="en-NZ"/>
        </w:rPr>
        <w:instrText xml:space="preserve"> SEQ MTEqn \c \* Arabic \* MERGEFORMAT </w:instrText>
      </w:r>
      <w:r w:rsidR="00B56A0F" w:rsidRPr="00E34AEB">
        <w:rPr>
          <w:rFonts w:ascii="Arial" w:hAnsi="Arial" w:cs="Arial"/>
          <w:sz w:val="20"/>
          <w:szCs w:val="20"/>
          <w:lang w:eastAsia="en-NZ"/>
        </w:rPr>
        <w:fldChar w:fldCharType="separate"/>
      </w:r>
      <w:r w:rsidR="00B56A0F" w:rsidRPr="00E34AEB">
        <w:rPr>
          <w:rFonts w:ascii="Arial" w:hAnsi="Arial" w:cs="Arial"/>
          <w:noProof/>
          <w:sz w:val="20"/>
          <w:szCs w:val="20"/>
          <w:lang w:eastAsia="en-NZ"/>
        </w:rPr>
        <w:instrText>2</w:instrText>
      </w:r>
      <w:r w:rsidR="00B56A0F" w:rsidRPr="00E34AEB">
        <w:rPr>
          <w:rFonts w:ascii="Arial" w:hAnsi="Arial" w:cs="Arial"/>
          <w:sz w:val="20"/>
          <w:szCs w:val="20"/>
          <w:lang w:eastAsia="en-NZ"/>
        </w:rPr>
        <w:fldChar w:fldCharType="end"/>
      </w:r>
      <w:r w:rsidR="00B56A0F" w:rsidRPr="00E34AEB">
        <w:rPr>
          <w:rFonts w:ascii="Arial" w:hAnsi="Arial" w:cs="Arial"/>
          <w:sz w:val="20"/>
          <w:szCs w:val="20"/>
          <w:lang w:eastAsia="en-NZ"/>
        </w:rPr>
        <w:instrText>)</w:instrText>
      </w:r>
      <w:bookmarkEnd w:id="10"/>
      <w:r w:rsidR="00B56A0F" w:rsidRPr="00E34AEB">
        <w:rPr>
          <w:rFonts w:ascii="Arial" w:hAnsi="Arial" w:cs="Arial"/>
          <w:sz w:val="20"/>
          <w:szCs w:val="20"/>
          <w:lang w:eastAsia="en-NZ"/>
        </w:rPr>
        <w:fldChar w:fldCharType="end"/>
      </w:r>
    </w:p>
    <w:p w14:paraId="1C4D5593" w14:textId="77777777" w:rsidR="00B56A0F" w:rsidRPr="008B4D96" w:rsidRDefault="00B56A0F" w:rsidP="00B56A0F">
      <w:pPr>
        <w:spacing w:before="120" w:line="264" w:lineRule="auto"/>
        <w:jc w:val="both"/>
        <w:rPr>
          <w:rFonts w:ascii="Arial" w:hAnsi="Arial" w:cs="Arial"/>
          <w:sz w:val="22"/>
          <w:szCs w:val="22"/>
        </w:rPr>
      </w:pPr>
      <w:proofErr w:type="spellStart"/>
      <w:r w:rsidRPr="008B4D96">
        <w:rPr>
          <w:rFonts w:ascii="Arial" w:hAnsi="Arial" w:cs="Arial"/>
          <w:i/>
          <w:iCs/>
          <w:sz w:val="22"/>
          <w:szCs w:val="22"/>
        </w:rPr>
        <w:t>Robustness</w:t>
      </w:r>
      <w:r w:rsidRPr="008B4D96">
        <w:rPr>
          <w:rFonts w:ascii="Arial" w:hAnsi="Arial" w:cs="Arial"/>
          <w:i/>
          <w:iCs/>
          <w:sz w:val="22"/>
          <w:szCs w:val="22"/>
          <w:vertAlign w:val="subscript"/>
        </w:rPr>
        <w:t>ij</w:t>
      </w:r>
      <w:proofErr w:type="spellEnd"/>
      <w:r w:rsidRPr="008B4D96">
        <w:rPr>
          <w:rFonts w:ascii="Arial" w:hAnsi="Arial" w:cs="Arial"/>
          <w:i/>
          <w:iCs/>
          <w:sz w:val="22"/>
          <w:szCs w:val="22"/>
          <w:vertAlign w:val="subscript"/>
        </w:rPr>
        <w:t xml:space="preserve"> </w:t>
      </w:r>
      <w:r w:rsidRPr="008B4D96">
        <w:rPr>
          <w:rFonts w:ascii="Arial" w:hAnsi="Arial" w:cs="Arial"/>
          <w:sz w:val="22"/>
          <w:szCs w:val="22"/>
        </w:rPr>
        <w:t>= 1 represents a scenario where no trips are eliminated after the disaster</w:t>
      </w:r>
      <w:r w:rsidRPr="008B4D96" w:rsidDel="00273533">
        <w:rPr>
          <w:rFonts w:ascii="Arial" w:hAnsi="Arial" w:cs="Arial"/>
          <w:sz w:val="22"/>
          <w:szCs w:val="22"/>
        </w:rPr>
        <w:t xml:space="preserve"> </w:t>
      </w:r>
      <w:r w:rsidRPr="008B4D96">
        <w:rPr>
          <w:rFonts w:ascii="Arial" w:hAnsi="Arial" w:cs="Arial"/>
          <w:sz w:val="22"/>
          <w:szCs w:val="22"/>
        </w:rPr>
        <w:t xml:space="preserve">while </w:t>
      </w:r>
      <w:proofErr w:type="spellStart"/>
      <w:r w:rsidRPr="008B4D96">
        <w:rPr>
          <w:rFonts w:ascii="Arial" w:hAnsi="Arial" w:cs="Arial"/>
          <w:i/>
          <w:iCs/>
          <w:sz w:val="22"/>
          <w:szCs w:val="22"/>
        </w:rPr>
        <w:lastRenderedPageBreak/>
        <w:t>Robustness</w:t>
      </w:r>
      <w:r w:rsidRPr="008B4D96">
        <w:rPr>
          <w:rFonts w:ascii="Arial" w:hAnsi="Arial" w:cs="Arial"/>
          <w:i/>
          <w:iCs/>
          <w:sz w:val="22"/>
          <w:szCs w:val="22"/>
          <w:vertAlign w:val="subscript"/>
        </w:rPr>
        <w:t>ij</w:t>
      </w:r>
      <w:proofErr w:type="spellEnd"/>
      <w:r w:rsidRPr="008B4D96">
        <w:rPr>
          <w:rFonts w:ascii="Arial" w:hAnsi="Arial" w:cs="Arial"/>
          <w:sz w:val="22"/>
          <w:szCs w:val="22"/>
        </w:rPr>
        <w:t xml:space="preserve"> = 0 represents a scenario where no trips can occur, that is all the trips are eliminated due to either the respective origin or destination being blocked. Eq. (2) seeks to quantify the proportion of trips undertaken post-disaster compared to BAU. These are termed robust trips. Assuming 1000 trips between an OD pair in BAU decreases to 600 in a post-disaster scenario, then the </w:t>
      </w:r>
      <w:r w:rsidRPr="008B4D96">
        <w:rPr>
          <w:rFonts w:ascii="Arial" w:hAnsi="Arial" w:cs="Arial"/>
          <w:i/>
          <w:sz w:val="22"/>
          <w:szCs w:val="22"/>
        </w:rPr>
        <w:t>robustness</w:t>
      </w:r>
      <w:r w:rsidRPr="008B4D96">
        <w:rPr>
          <w:rFonts w:ascii="Arial" w:hAnsi="Arial" w:cs="Arial"/>
          <w:sz w:val="22"/>
          <w:szCs w:val="22"/>
        </w:rPr>
        <w:t xml:space="preserve"> of trips between this OD pair will be 0.6 or 60%, meaning 40% of trips will be eliminated due to post-disaster accessibility issues. The remaining 60% of trips will be completed either using the same route as the BAU scenario or using an alternative route based on the accessibility of the network, most probably with an increased travel time. </w:t>
      </w:r>
    </w:p>
    <w:p w14:paraId="5DD8B5BA"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Where trips can occur, disruption on a network can result in longer travel times on alternative routes. On a regional road network, the additional travel time is typically due to long detours because of a lack of equivalent alternative routes. In an urban situation, </w:t>
      </w:r>
      <w:proofErr w:type="gramStart"/>
      <w:r w:rsidRPr="008B4D96">
        <w:rPr>
          <w:rFonts w:ascii="Arial" w:hAnsi="Arial" w:cs="Arial"/>
          <w:sz w:val="22"/>
          <w:szCs w:val="22"/>
        </w:rPr>
        <w:t>a number of</w:t>
      </w:r>
      <w:proofErr w:type="gramEnd"/>
      <w:r w:rsidRPr="008B4D96">
        <w:rPr>
          <w:rFonts w:ascii="Arial" w:hAnsi="Arial" w:cs="Arial"/>
          <w:sz w:val="22"/>
          <w:szCs w:val="22"/>
        </w:rPr>
        <w:t xml:space="preserve"> alternative routes are typically available, with similar or equivalent distance travelled. In such cases, the increased congestion on these routes may result in longer travel times. Such an increase in travel time post-disaster causes a decrease in the general performance of a trip. </w:t>
      </w:r>
      <w:r w:rsidRPr="008B4D96">
        <w:rPr>
          <w:rFonts w:ascii="Arial" w:hAnsi="Arial" w:cs="Arial"/>
          <w:i/>
          <w:sz w:val="22"/>
          <w:szCs w:val="22"/>
        </w:rPr>
        <w:t>Redundancy</w:t>
      </w:r>
      <w:r w:rsidRPr="008B4D96">
        <w:rPr>
          <w:rFonts w:ascii="Arial" w:hAnsi="Arial" w:cs="Arial"/>
          <w:sz w:val="22"/>
          <w:szCs w:val="22"/>
        </w:rPr>
        <w:t xml:space="preserve">, in this study, is therefore defined as the impact of post-disaster trip assignment (new route choice, the shortest alternative route) on travel time, where infinite post-disaster travel time indicates no </w:t>
      </w:r>
      <w:r w:rsidRPr="008B4D96">
        <w:rPr>
          <w:rFonts w:ascii="Arial" w:hAnsi="Arial" w:cs="Arial"/>
          <w:i/>
          <w:sz w:val="22"/>
          <w:szCs w:val="22"/>
        </w:rPr>
        <w:t>redundancy</w:t>
      </w:r>
      <w:r w:rsidRPr="008B4D96">
        <w:rPr>
          <w:rFonts w:ascii="Arial" w:hAnsi="Arial" w:cs="Arial"/>
          <w:sz w:val="22"/>
          <w:szCs w:val="22"/>
        </w:rPr>
        <w:t xml:space="preserve">. Hence, </w:t>
      </w:r>
      <w:r w:rsidRPr="008B4D96">
        <w:rPr>
          <w:rFonts w:ascii="Arial" w:hAnsi="Arial" w:cs="Arial"/>
          <w:i/>
          <w:sz w:val="22"/>
          <w:szCs w:val="22"/>
        </w:rPr>
        <w:t>redundancy</w:t>
      </w:r>
      <w:r w:rsidRPr="008B4D96">
        <w:rPr>
          <w:rFonts w:ascii="Arial" w:hAnsi="Arial" w:cs="Arial"/>
          <w:sz w:val="22"/>
          <w:szCs w:val="22"/>
        </w:rPr>
        <w:t xml:space="preserve"> can be estimated as the ratio of the average travel time between an OD pair (</w:t>
      </w:r>
      <w:proofErr w:type="spellStart"/>
      <w:r w:rsidRPr="008B4D96">
        <w:rPr>
          <w:rFonts w:ascii="Arial" w:hAnsi="Arial" w:cs="Arial"/>
          <w:sz w:val="22"/>
          <w:szCs w:val="22"/>
        </w:rPr>
        <w:t>ij</w:t>
      </w:r>
      <w:proofErr w:type="spellEnd"/>
      <w:r w:rsidRPr="008B4D96">
        <w:rPr>
          <w:rFonts w:ascii="Arial" w:hAnsi="Arial" w:cs="Arial"/>
          <w:sz w:val="22"/>
          <w:szCs w:val="22"/>
        </w:rPr>
        <w:t xml:space="preserve">) in BAU and post-disaster scenarios as expressed in Eq. (3). </w:t>
      </w:r>
      <w:proofErr w:type="gramStart"/>
      <w:r w:rsidRPr="008B4D96">
        <w:rPr>
          <w:rFonts w:ascii="Arial" w:hAnsi="Arial" w:cs="Arial"/>
          <w:sz w:val="22"/>
          <w:szCs w:val="22"/>
        </w:rPr>
        <w:t>Similar to</w:t>
      </w:r>
      <w:proofErr w:type="gramEnd"/>
      <w:r w:rsidRPr="008B4D96">
        <w:rPr>
          <w:rFonts w:ascii="Arial" w:hAnsi="Arial" w:cs="Arial"/>
          <w:sz w:val="22"/>
          <w:szCs w:val="22"/>
        </w:rPr>
        <w:t xml:space="preserve"> Eq. (2), it can be used for an OD pair, a group of OD pairs, or the whole network.   </w:t>
      </w:r>
    </w:p>
    <w:p w14:paraId="5DC08BCB" w14:textId="77777777" w:rsidR="00B56A0F" w:rsidRPr="008B4D96" w:rsidRDefault="00455D44" w:rsidP="00B56A0F">
      <w:pPr>
        <w:pStyle w:val="MTDisplayEquation"/>
        <w:spacing w:before="120" w:line="264" w:lineRule="auto"/>
        <w:ind w:left="720" w:firstLine="0"/>
        <w:rPr>
          <w:rFonts w:ascii="Arial" w:hAnsi="Arial" w:cs="Arial"/>
          <w:lang w:eastAsia="en-NZ"/>
        </w:rPr>
      </w:pPr>
      <m:oMath>
        <m:sSub>
          <m:sSubPr>
            <m:ctrlPr>
              <w:rPr>
                <w:rFonts w:ascii="Cambria Math" w:hAnsi="Cambria Math" w:cs="Arial"/>
                <w:i/>
                <w:sz w:val="20"/>
                <w:szCs w:val="20"/>
                <w:lang w:eastAsia="en-NZ"/>
              </w:rPr>
            </m:ctrlPr>
          </m:sSubPr>
          <m:e>
            <m:r>
              <w:rPr>
                <w:rFonts w:ascii="Cambria Math" w:hAnsi="Cambria Math" w:cs="Arial"/>
                <w:sz w:val="20"/>
                <w:szCs w:val="20"/>
                <w:lang w:eastAsia="en-NZ"/>
              </w:rPr>
              <m:t>Redundancy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f>
          <m:fPr>
            <m:ctrlPr>
              <w:rPr>
                <w:rFonts w:ascii="Cambria Math" w:hAnsi="Cambria Math" w:cs="Arial"/>
                <w:i/>
                <w:sz w:val="20"/>
                <w:szCs w:val="20"/>
                <w:lang w:eastAsia="en-NZ"/>
              </w:rPr>
            </m:ctrlPr>
          </m:fPr>
          <m:num>
            <m:r>
              <w:rPr>
                <w:rFonts w:ascii="Cambria Math" w:hAnsi="Cambria Math" w:cs="Arial"/>
                <w:sz w:val="20"/>
                <w:szCs w:val="20"/>
                <w:lang w:eastAsia="en-NZ"/>
              </w:rPr>
              <m:t xml:space="preserve">Average </m:t>
            </m:r>
            <m:sSub>
              <m:sSubPr>
                <m:ctrlPr>
                  <w:rPr>
                    <w:rFonts w:ascii="Cambria Math" w:hAnsi="Cambria Math" w:cs="Arial"/>
                    <w:i/>
                    <w:sz w:val="20"/>
                    <w:szCs w:val="20"/>
                    <w:lang w:eastAsia="en-NZ"/>
                  </w:rPr>
                </m:ctrlPr>
              </m:sSubPr>
              <m:e>
                <m:r>
                  <w:rPr>
                    <w:rFonts w:ascii="Cambria Math" w:hAnsi="Cambria Math" w:cs="Arial"/>
                    <w:sz w:val="20"/>
                    <w:szCs w:val="20"/>
                    <w:lang w:eastAsia="en-NZ"/>
                  </w:rPr>
                  <m:t>Travel Time</m:t>
                </m:r>
              </m:e>
              <m:sub>
                <m:r>
                  <w:rPr>
                    <w:rFonts w:ascii="Cambria Math" w:hAnsi="Cambria Math" w:cs="Arial"/>
                    <w:sz w:val="20"/>
                    <w:szCs w:val="20"/>
                    <w:lang w:eastAsia="en-NZ"/>
                  </w:rPr>
                  <m:t>ij(BAU)</m:t>
                </m:r>
              </m:sub>
            </m:sSub>
          </m:num>
          <m:den>
            <m:r>
              <w:rPr>
                <w:rFonts w:ascii="Cambria Math" w:hAnsi="Cambria Math" w:cs="Arial"/>
                <w:sz w:val="20"/>
                <w:szCs w:val="20"/>
                <w:lang w:eastAsia="en-NZ"/>
              </w:rPr>
              <m:t xml:space="preserve">Average </m:t>
            </m:r>
            <m:sSub>
              <m:sSubPr>
                <m:ctrlPr>
                  <w:rPr>
                    <w:rFonts w:ascii="Cambria Math" w:hAnsi="Cambria Math" w:cs="Arial"/>
                    <w:i/>
                    <w:sz w:val="20"/>
                    <w:szCs w:val="20"/>
                    <w:lang w:eastAsia="en-NZ"/>
                  </w:rPr>
                </m:ctrlPr>
              </m:sSubPr>
              <m:e>
                <m:r>
                  <w:rPr>
                    <w:rFonts w:ascii="Cambria Math" w:hAnsi="Cambria Math" w:cs="Arial"/>
                    <w:sz w:val="20"/>
                    <w:szCs w:val="20"/>
                    <w:lang w:eastAsia="en-NZ"/>
                  </w:rPr>
                  <m:t>Travel Time</m:t>
                </m:r>
              </m:e>
              <m:sub>
                <m:r>
                  <w:rPr>
                    <w:rFonts w:ascii="Cambria Math" w:hAnsi="Cambria Math" w:cs="Arial"/>
                    <w:sz w:val="20"/>
                    <w:szCs w:val="20"/>
                    <w:lang w:eastAsia="en-NZ"/>
                  </w:rPr>
                  <m:t>ij(ζ)</m:t>
                </m:r>
              </m:sub>
            </m:sSub>
          </m:den>
        </m:f>
      </m:oMath>
      <w:r w:rsidR="00B56A0F" w:rsidRPr="00E34AEB">
        <w:rPr>
          <w:rFonts w:ascii="Arial" w:hAnsi="Arial" w:cs="Arial"/>
          <w:sz w:val="20"/>
          <w:szCs w:val="20"/>
          <w:lang w:eastAsia="en-NZ"/>
        </w:rPr>
        <w:t xml:space="preserve">  </w:t>
      </w:r>
      <w:r w:rsidR="00B56A0F" w:rsidRPr="008B4D96">
        <w:rPr>
          <w:rFonts w:ascii="Arial" w:hAnsi="Arial" w:cs="Arial"/>
          <w:lang w:eastAsia="en-NZ"/>
        </w:rPr>
        <w:tab/>
      </w:r>
      <w:r w:rsidR="00B56A0F" w:rsidRPr="008B4D96">
        <w:rPr>
          <w:rFonts w:ascii="Arial" w:hAnsi="Arial" w:cs="Arial"/>
          <w:lang w:eastAsia="en-NZ"/>
        </w:rPr>
        <w:tab/>
      </w:r>
      <w:r w:rsidR="00B56A0F" w:rsidRPr="008B4D96">
        <w:rPr>
          <w:rFonts w:ascii="Arial" w:hAnsi="Arial" w:cs="Arial"/>
          <w:lang w:eastAsia="en-NZ"/>
        </w:rPr>
        <w:fldChar w:fldCharType="begin"/>
      </w:r>
      <w:r w:rsidR="00B56A0F" w:rsidRPr="008B4D96">
        <w:rPr>
          <w:rFonts w:ascii="Arial" w:hAnsi="Arial" w:cs="Arial"/>
          <w:lang w:eastAsia="en-NZ"/>
        </w:rPr>
        <w:instrText xml:space="preserve"> MACROBUTTON MTPlaceRef \* MERGEFORMAT </w:instrText>
      </w:r>
      <w:r w:rsidR="00B56A0F" w:rsidRPr="008B4D96">
        <w:rPr>
          <w:rFonts w:ascii="Arial" w:hAnsi="Arial" w:cs="Arial"/>
          <w:lang w:eastAsia="en-NZ"/>
        </w:rPr>
        <w:fldChar w:fldCharType="begin"/>
      </w:r>
      <w:r w:rsidR="00B56A0F" w:rsidRPr="008B4D96">
        <w:rPr>
          <w:rFonts w:ascii="Arial" w:hAnsi="Arial" w:cs="Arial"/>
          <w:lang w:eastAsia="en-NZ"/>
        </w:rPr>
        <w:instrText xml:space="preserve"> SEQ MTEqn \h \* MERGEFORMAT </w:instrText>
      </w:r>
      <w:r w:rsidR="00B56A0F" w:rsidRPr="008B4D96">
        <w:rPr>
          <w:rFonts w:ascii="Arial" w:hAnsi="Arial" w:cs="Arial"/>
          <w:lang w:eastAsia="en-NZ"/>
        </w:rPr>
        <w:fldChar w:fldCharType="end"/>
      </w:r>
      <w:bookmarkStart w:id="11" w:name="ZEqnNum551556"/>
      <w:r w:rsidR="00B56A0F" w:rsidRPr="008B4D96">
        <w:rPr>
          <w:rFonts w:ascii="Arial" w:hAnsi="Arial" w:cs="Arial"/>
          <w:lang w:eastAsia="en-NZ"/>
        </w:rPr>
        <w:instrText>(</w:instrText>
      </w:r>
      <w:r w:rsidR="00B56A0F" w:rsidRPr="008B4D96">
        <w:rPr>
          <w:rFonts w:ascii="Arial" w:hAnsi="Arial" w:cs="Arial"/>
          <w:lang w:eastAsia="en-NZ"/>
        </w:rPr>
        <w:fldChar w:fldCharType="begin"/>
      </w:r>
      <w:r w:rsidR="00B56A0F" w:rsidRPr="008B4D96">
        <w:rPr>
          <w:rFonts w:ascii="Arial" w:hAnsi="Arial" w:cs="Arial"/>
          <w:lang w:eastAsia="en-NZ"/>
        </w:rPr>
        <w:instrText xml:space="preserve"> SEQ MTEqn \c \* Arabic \* MERGEFORMAT </w:instrText>
      </w:r>
      <w:r w:rsidR="00B56A0F" w:rsidRPr="008B4D96">
        <w:rPr>
          <w:rFonts w:ascii="Arial" w:hAnsi="Arial" w:cs="Arial"/>
          <w:lang w:eastAsia="en-NZ"/>
        </w:rPr>
        <w:fldChar w:fldCharType="separate"/>
      </w:r>
      <w:r w:rsidR="00B56A0F" w:rsidRPr="008B4D96">
        <w:rPr>
          <w:rFonts w:ascii="Arial" w:hAnsi="Arial" w:cs="Arial"/>
          <w:noProof/>
          <w:lang w:eastAsia="en-NZ"/>
        </w:rPr>
        <w:instrText>3</w:instrText>
      </w:r>
      <w:r w:rsidR="00B56A0F" w:rsidRPr="008B4D96">
        <w:rPr>
          <w:rFonts w:ascii="Arial" w:hAnsi="Arial" w:cs="Arial"/>
          <w:lang w:eastAsia="en-NZ"/>
        </w:rPr>
        <w:fldChar w:fldCharType="end"/>
      </w:r>
      <w:r w:rsidR="00B56A0F" w:rsidRPr="008B4D96">
        <w:rPr>
          <w:rFonts w:ascii="Arial" w:hAnsi="Arial" w:cs="Arial"/>
          <w:lang w:eastAsia="en-NZ"/>
        </w:rPr>
        <w:instrText>)</w:instrText>
      </w:r>
      <w:bookmarkEnd w:id="11"/>
      <w:r w:rsidR="00B56A0F" w:rsidRPr="008B4D96">
        <w:rPr>
          <w:rFonts w:ascii="Arial" w:hAnsi="Arial" w:cs="Arial"/>
          <w:lang w:eastAsia="en-NZ"/>
        </w:rPr>
        <w:fldChar w:fldCharType="end"/>
      </w:r>
    </w:p>
    <w:p w14:paraId="3EBFC1D0"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i/>
          <w:iCs/>
          <w:sz w:val="22"/>
          <w:szCs w:val="22"/>
        </w:rPr>
        <w:t>Redundancy</w:t>
      </w:r>
      <w:r w:rsidRPr="008B4D96">
        <w:rPr>
          <w:rFonts w:ascii="Arial" w:hAnsi="Arial" w:cs="Arial"/>
          <w:sz w:val="22"/>
          <w:szCs w:val="22"/>
        </w:rPr>
        <w:t xml:space="preserve">, as defined in Eq. (3), decreases with an increase in post-disaster travel time but never reaches zero </w:t>
      </w:r>
      <w:proofErr w:type="gramStart"/>
      <w:r w:rsidRPr="008B4D96">
        <w:rPr>
          <w:rFonts w:ascii="Arial" w:hAnsi="Arial" w:cs="Arial"/>
          <w:sz w:val="22"/>
          <w:szCs w:val="22"/>
        </w:rPr>
        <w:t>as long as</w:t>
      </w:r>
      <w:proofErr w:type="gramEnd"/>
      <w:r w:rsidRPr="008B4D96">
        <w:rPr>
          <w:rFonts w:ascii="Arial" w:hAnsi="Arial" w:cs="Arial"/>
          <w:sz w:val="22"/>
          <w:szCs w:val="22"/>
        </w:rPr>
        <w:t xml:space="preserve"> a trip occurs. The </w:t>
      </w:r>
      <w:r w:rsidRPr="008B4D96">
        <w:rPr>
          <w:rFonts w:ascii="Arial" w:hAnsi="Arial" w:cs="Arial"/>
          <w:i/>
          <w:sz w:val="22"/>
          <w:szCs w:val="22"/>
        </w:rPr>
        <w:t>redundancy</w:t>
      </w:r>
      <w:r w:rsidRPr="008B4D96">
        <w:rPr>
          <w:rFonts w:ascii="Arial" w:hAnsi="Arial" w:cs="Arial"/>
          <w:sz w:val="22"/>
          <w:szCs w:val="22"/>
        </w:rPr>
        <w:t xml:space="preserve">, therefore, only impacts robust trips, the trips with finite post-disaster travel time. </w:t>
      </w:r>
      <w:proofErr w:type="spellStart"/>
      <w:r w:rsidRPr="008B4D96">
        <w:rPr>
          <w:rFonts w:ascii="Arial" w:hAnsi="Arial" w:cs="Arial"/>
          <w:i/>
          <w:iCs/>
          <w:sz w:val="22"/>
          <w:szCs w:val="22"/>
        </w:rPr>
        <w:t>Redundancy</w:t>
      </w:r>
      <w:r w:rsidRPr="008B4D96">
        <w:rPr>
          <w:rFonts w:ascii="Arial" w:hAnsi="Arial" w:cs="Arial"/>
          <w:i/>
          <w:iCs/>
          <w:sz w:val="22"/>
          <w:szCs w:val="22"/>
          <w:vertAlign w:val="subscript"/>
        </w:rPr>
        <w:t>ij</w:t>
      </w:r>
      <w:proofErr w:type="spellEnd"/>
      <w:r w:rsidRPr="008B4D96">
        <w:rPr>
          <w:rFonts w:ascii="Arial" w:hAnsi="Arial" w:cs="Arial"/>
          <w:sz w:val="22"/>
          <w:szCs w:val="22"/>
        </w:rPr>
        <w:t xml:space="preserve"> = 1 represents a scenario where the network yields the same average travel time for the BAU routes and the post-disaster routes. Assuming average travel time for an OD pair (</w:t>
      </w:r>
      <w:proofErr w:type="spellStart"/>
      <w:r w:rsidRPr="008B4D96">
        <w:rPr>
          <w:rFonts w:ascii="Arial" w:hAnsi="Arial" w:cs="Arial"/>
          <w:sz w:val="22"/>
          <w:szCs w:val="22"/>
        </w:rPr>
        <w:t>ij</w:t>
      </w:r>
      <w:proofErr w:type="spellEnd"/>
      <w:r w:rsidRPr="008B4D96">
        <w:rPr>
          <w:rFonts w:ascii="Arial" w:hAnsi="Arial" w:cs="Arial"/>
          <w:sz w:val="22"/>
          <w:szCs w:val="22"/>
        </w:rPr>
        <w:t xml:space="preserve">) increased three-fold following a disaster, the </w:t>
      </w:r>
      <w:r w:rsidRPr="008B4D96">
        <w:rPr>
          <w:rFonts w:ascii="Arial" w:hAnsi="Arial" w:cs="Arial"/>
          <w:i/>
          <w:sz w:val="22"/>
          <w:szCs w:val="22"/>
        </w:rPr>
        <w:t>redundancy</w:t>
      </w:r>
      <w:r w:rsidRPr="008B4D96">
        <w:rPr>
          <w:rFonts w:ascii="Arial" w:hAnsi="Arial" w:cs="Arial"/>
          <w:sz w:val="22"/>
          <w:szCs w:val="22"/>
        </w:rPr>
        <w:t xml:space="preserve"> will be 0.33 or 33% indicating a 67% drop in </w:t>
      </w:r>
      <w:r w:rsidRPr="008B4D96">
        <w:rPr>
          <w:rFonts w:ascii="Arial" w:hAnsi="Arial" w:cs="Arial"/>
          <w:i/>
          <w:sz w:val="22"/>
          <w:szCs w:val="22"/>
        </w:rPr>
        <w:t>redundancy</w:t>
      </w:r>
      <w:r w:rsidRPr="008B4D96">
        <w:rPr>
          <w:rFonts w:ascii="Arial" w:hAnsi="Arial" w:cs="Arial"/>
          <w:sz w:val="22"/>
          <w:szCs w:val="22"/>
        </w:rPr>
        <w:t>. Hence, following a disaster, trips are completely reliable if they can firstly be assigned to the network (</w:t>
      </w:r>
      <w:proofErr w:type="spellStart"/>
      <w:r w:rsidRPr="008B4D96">
        <w:rPr>
          <w:rFonts w:ascii="Arial" w:hAnsi="Arial" w:cs="Arial"/>
          <w:i/>
          <w:iCs/>
          <w:sz w:val="22"/>
          <w:szCs w:val="22"/>
        </w:rPr>
        <w:t>Robustness</w:t>
      </w:r>
      <w:r w:rsidRPr="008B4D96">
        <w:rPr>
          <w:rFonts w:ascii="Arial" w:hAnsi="Arial" w:cs="Arial"/>
          <w:i/>
          <w:iCs/>
          <w:sz w:val="22"/>
          <w:szCs w:val="22"/>
          <w:vertAlign w:val="subscript"/>
        </w:rPr>
        <w:t>ij</w:t>
      </w:r>
      <w:proofErr w:type="spellEnd"/>
      <w:r w:rsidRPr="008B4D96">
        <w:rPr>
          <w:rFonts w:ascii="Arial" w:hAnsi="Arial" w:cs="Arial"/>
          <w:sz w:val="22"/>
          <w:szCs w:val="22"/>
        </w:rPr>
        <w:t xml:space="preserve"> = 1), and then can travel with no increased travel time (</w:t>
      </w:r>
      <w:proofErr w:type="spellStart"/>
      <w:r w:rsidRPr="008B4D96">
        <w:rPr>
          <w:rFonts w:ascii="Arial" w:hAnsi="Arial" w:cs="Arial"/>
          <w:i/>
          <w:iCs/>
          <w:sz w:val="22"/>
          <w:szCs w:val="22"/>
        </w:rPr>
        <w:t>Redundancy</w:t>
      </w:r>
      <w:r w:rsidRPr="008B4D96">
        <w:rPr>
          <w:rFonts w:ascii="Arial" w:hAnsi="Arial" w:cs="Arial"/>
          <w:i/>
          <w:iCs/>
          <w:sz w:val="22"/>
          <w:szCs w:val="22"/>
          <w:vertAlign w:val="subscript"/>
        </w:rPr>
        <w:t>ij</w:t>
      </w:r>
      <w:proofErr w:type="spellEnd"/>
      <w:r w:rsidRPr="008B4D96">
        <w:rPr>
          <w:rFonts w:ascii="Arial" w:hAnsi="Arial" w:cs="Arial"/>
          <w:sz w:val="22"/>
          <w:szCs w:val="22"/>
        </w:rPr>
        <w:t xml:space="preserve"> = 1). </w:t>
      </w:r>
    </w:p>
    <w:p w14:paraId="5D7B24F3"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A combination of </w:t>
      </w:r>
      <w:r w:rsidRPr="008B4D96">
        <w:rPr>
          <w:rFonts w:ascii="Arial" w:hAnsi="Arial" w:cs="Arial"/>
          <w:i/>
          <w:sz w:val="22"/>
          <w:szCs w:val="22"/>
        </w:rPr>
        <w:t>robustness</w:t>
      </w:r>
      <w:r w:rsidRPr="008B4D96">
        <w:rPr>
          <w:rFonts w:ascii="Arial" w:hAnsi="Arial" w:cs="Arial"/>
          <w:sz w:val="22"/>
          <w:szCs w:val="22"/>
        </w:rPr>
        <w:t xml:space="preserve"> and </w:t>
      </w:r>
      <w:r w:rsidRPr="008B4D96">
        <w:rPr>
          <w:rFonts w:ascii="Arial" w:hAnsi="Arial" w:cs="Arial"/>
          <w:i/>
          <w:sz w:val="22"/>
          <w:szCs w:val="22"/>
        </w:rPr>
        <w:t>redundancy</w:t>
      </w:r>
      <w:r w:rsidRPr="008B4D96">
        <w:rPr>
          <w:rFonts w:ascii="Arial" w:hAnsi="Arial" w:cs="Arial"/>
          <w:sz w:val="22"/>
          <w:szCs w:val="22"/>
        </w:rPr>
        <w:t xml:space="preserve"> can be expressed as trip reliability. Following a major disaster, trip reliability deteriorates partly due to eliminated trips, reflecting the fact that a less robust network results in less robust trips (i.e. more eliminated trips) and, therefore, less reliable trips. The robust trips, however, may be assigned to different routes compared to BAU, potentially resulting in increased travel time (reflecting the </w:t>
      </w:r>
      <w:r w:rsidRPr="008B4D96">
        <w:rPr>
          <w:rFonts w:ascii="Arial" w:hAnsi="Arial" w:cs="Arial"/>
          <w:i/>
          <w:sz w:val="22"/>
          <w:szCs w:val="22"/>
        </w:rPr>
        <w:t>redundancy</w:t>
      </w:r>
      <w:r w:rsidRPr="008B4D96">
        <w:rPr>
          <w:rFonts w:ascii="Arial" w:hAnsi="Arial" w:cs="Arial"/>
          <w:sz w:val="22"/>
          <w:szCs w:val="22"/>
        </w:rPr>
        <w:t xml:space="preserve"> concept). Trip reliability, as a result, is estimated in two stages, as presented in Eq. (4). Initially, the proportion of robust trips is calculated </w:t>
      </w:r>
      <w:proofErr w:type="gramStart"/>
      <w:r w:rsidRPr="008B4D96">
        <w:rPr>
          <w:rFonts w:ascii="Arial" w:hAnsi="Arial" w:cs="Arial"/>
          <w:sz w:val="22"/>
          <w:szCs w:val="22"/>
        </w:rPr>
        <w:t>and,</w:t>
      </w:r>
      <w:proofErr w:type="gramEnd"/>
      <w:r w:rsidRPr="008B4D96">
        <w:rPr>
          <w:rFonts w:ascii="Arial" w:hAnsi="Arial" w:cs="Arial"/>
          <w:sz w:val="22"/>
          <w:szCs w:val="22"/>
        </w:rPr>
        <w:t xml:space="preserve"> then, the lack of redundancy is deducted.  </w:t>
      </w:r>
    </w:p>
    <w:p w14:paraId="584556B1" w14:textId="77777777" w:rsidR="00B56A0F" w:rsidRPr="008B4D96" w:rsidRDefault="00455D44" w:rsidP="00E34AEB">
      <w:pPr>
        <w:spacing w:before="120" w:line="264" w:lineRule="auto"/>
        <w:rPr>
          <w:rFonts w:ascii="Arial" w:hAnsi="Arial" w:cs="Arial"/>
          <w:sz w:val="22"/>
          <w:szCs w:val="22"/>
          <w:lang w:eastAsia="en-NZ"/>
        </w:rPr>
      </w:pPr>
      <m:oMath>
        <m:sSub>
          <m:sSubPr>
            <m:ctrlPr>
              <w:rPr>
                <w:rFonts w:ascii="Cambria Math" w:hAnsi="Cambria Math" w:cs="Arial"/>
                <w:i/>
                <w:sz w:val="20"/>
                <w:szCs w:val="20"/>
                <w:lang w:eastAsia="en-NZ"/>
              </w:rPr>
            </m:ctrlPr>
          </m:sSubPr>
          <m:e>
            <m:r>
              <w:rPr>
                <w:rFonts w:ascii="Cambria Math" w:hAnsi="Cambria Math" w:cs="Arial"/>
                <w:sz w:val="20"/>
                <w:szCs w:val="20"/>
                <w:lang w:eastAsia="en-NZ"/>
              </w:rPr>
              <m:t>Reliability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sSub>
          <m:sSubPr>
            <m:ctrlPr>
              <w:rPr>
                <w:rFonts w:ascii="Cambria Math" w:hAnsi="Cambria Math" w:cs="Arial"/>
                <w:i/>
                <w:sz w:val="20"/>
                <w:szCs w:val="20"/>
                <w:lang w:eastAsia="en-NZ"/>
              </w:rPr>
            </m:ctrlPr>
          </m:sSubPr>
          <m:e>
            <m:r>
              <w:rPr>
                <w:rFonts w:ascii="Cambria Math" w:hAnsi="Cambria Math" w:cs="Arial"/>
                <w:sz w:val="20"/>
                <w:szCs w:val="20"/>
                <w:lang w:eastAsia="en-NZ"/>
              </w:rPr>
              <m:t>Robustness</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Robustness</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sSub>
              <m:sSubPr>
                <m:ctrlPr>
                  <w:rPr>
                    <w:rFonts w:ascii="Cambria Math" w:hAnsi="Cambria Math" w:cs="Arial"/>
                    <w:i/>
                    <w:sz w:val="20"/>
                    <w:szCs w:val="20"/>
                    <w:lang w:eastAsia="en-NZ"/>
                  </w:rPr>
                </m:ctrlPr>
              </m:sSubPr>
              <m:e>
                <m:r>
                  <w:rPr>
                    <w:rFonts w:ascii="Cambria Math" w:hAnsi="Cambria Math" w:cs="Arial"/>
                    <w:sz w:val="20"/>
                    <w:szCs w:val="20"/>
                    <w:lang w:eastAsia="en-NZ"/>
                  </w:rPr>
                  <m:t>(1-Redundancy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e>
        </m:d>
        <m:r>
          <w:rPr>
            <w:rFonts w:ascii="Cambria Math" w:hAnsi="Cambria Math" w:cs="Arial"/>
            <w:sz w:val="20"/>
            <w:szCs w:val="20"/>
            <w:lang w:eastAsia="en-NZ"/>
          </w:rPr>
          <m:t xml:space="preserve"> </m:t>
        </m:r>
      </m:oMath>
      <w:r w:rsidR="00B56A0F" w:rsidRPr="00E34AEB">
        <w:rPr>
          <w:rFonts w:ascii="Arial" w:hAnsi="Arial" w:cs="Arial"/>
          <w:sz w:val="20"/>
          <w:szCs w:val="20"/>
          <w:lang w:eastAsia="en-NZ"/>
        </w:rPr>
        <w:tab/>
        <w:t xml:space="preserve">   </w:t>
      </w:r>
      <w:r w:rsidR="00B56A0F" w:rsidRPr="008B4D96">
        <w:rPr>
          <w:rFonts w:ascii="Arial" w:hAnsi="Arial" w:cs="Arial"/>
          <w:sz w:val="22"/>
          <w:szCs w:val="22"/>
          <w:lang w:eastAsia="en-NZ"/>
        </w:rPr>
        <w:tab/>
        <w:t xml:space="preserve"> </w:t>
      </w:r>
      <w:r w:rsidR="00B56A0F" w:rsidRPr="008B4D96">
        <w:rPr>
          <w:rFonts w:ascii="Arial" w:hAnsi="Arial" w:cs="Arial"/>
          <w:sz w:val="22"/>
          <w:szCs w:val="22"/>
        </w:rPr>
        <w:fldChar w:fldCharType="begin"/>
      </w:r>
      <w:r w:rsidR="00B56A0F" w:rsidRPr="008B4D96">
        <w:rPr>
          <w:rFonts w:ascii="Arial" w:hAnsi="Arial" w:cs="Arial"/>
          <w:sz w:val="22"/>
          <w:szCs w:val="22"/>
        </w:rPr>
        <w:instrText xml:space="preserve"> MACROBUTTON MTPlaceRef \* MERGEFORMAT </w:instrText>
      </w:r>
      <w:r w:rsidR="00B56A0F" w:rsidRPr="008B4D96">
        <w:rPr>
          <w:rFonts w:ascii="Arial" w:hAnsi="Arial" w:cs="Arial"/>
          <w:sz w:val="22"/>
          <w:szCs w:val="22"/>
        </w:rPr>
        <w:fldChar w:fldCharType="begin"/>
      </w:r>
      <w:r w:rsidR="00B56A0F" w:rsidRPr="008B4D96">
        <w:rPr>
          <w:rFonts w:ascii="Arial" w:hAnsi="Arial" w:cs="Arial"/>
          <w:sz w:val="22"/>
          <w:szCs w:val="22"/>
        </w:rPr>
        <w:instrText xml:space="preserve"> SEQ MTEqn \h \* MERGEFORMAT </w:instrText>
      </w:r>
      <w:r w:rsidR="00B56A0F" w:rsidRPr="008B4D96">
        <w:rPr>
          <w:rFonts w:ascii="Arial" w:hAnsi="Arial" w:cs="Arial"/>
          <w:sz w:val="22"/>
          <w:szCs w:val="22"/>
        </w:rPr>
        <w:fldChar w:fldCharType="end"/>
      </w:r>
      <w:bookmarkStart w:id="12" w:name="ZEqnNum857087"/>
      <w:r w:rsidR="00B56A0F" w:rsidRPr="008B4D96">
        <w:rPr>
          <w:rFonts w:ascii="Arial" w:hAnsi="Arial" w:cs="Arial"/>
          <w:sz w:val="22"/>
          <w:szCs w:val="22"/>
        </w:rPr>
        <w:instrText>(</w:instrText>
      </w:r>
      <w:r w:rsidR="00B56A0F" w:rsidRPr="008B4D96">
        <w:rPr>
          <w:rFonts w:ascii="Arial" w:hAnsi="Arial" w:cs="Arial"/>
          <w:sz w:val="22"/>
          <w:szCs w:val="22"/>
        </w:rPr>
        <w:fldChar w:fldCharType="begin"/>
      </w:r>
      <w:r w:rsidR="00B56A0F" w:rsidRPr="008B4D96">
        <w:rPr>
          <w:rFonts w:ascii="Arial" w:hAnsi="Arial" w:cs="Arial"/>
          <w:sz w:val="22"/>
          <w:szCs w:val="22"/>
        </w:rPr>
        <w:instrText xml:space="preserve"> SEQ MTEqn \c \* Arabic \* MERGEFORMAT </w:instrText>
      </w:r>
      <w:r w:rsidR="00B56A0F" w:rsidRPr="008B4D96">
        <w:rPr>
          <w:rFonts w:ascii="Arial" w:hAnsi="Arial" w:cs="Arial"/>
          <w:sz w:val="22"/>
          <w:szCs w:val="22"/>
        </w:rPr>
        <w:fldChar w:fldCharType="separate"/>
      </w:r>
      <w:r w:rsidR="00B56A0F" w:rsidRPr="008B4D96">
        <w:rPr>
          <w:rFonts w:ascii="Arial" w:hAnsi="Arial" w:cs="Arial"/>
          <w:noProof/>
          <w:sz w:val="22"/>
          <w:szCs w:val="22"/>
        </w:rPr>
        <w:instrText>4</w:instrText>
      </w:r>
      <w:r w:rsidR="00B56A0F" w:rsidRPr="008B4D96">
        <w:rPr>
          <w:rFonts w:ascii="Arial" w:hAnsi="Arial" w:cs="Arial"/>
          <w:sz w:val="22"/>
          <w:szCs w:val="22"/>
        </w:rPr>
        <w:fldChar w:fldCharType="end"/>
      </w:r>
      <w:r w:rsidR="00B56A0F" w:rsidRPr="008B4D96">
        <w:rPr>
          <w:rFonts w:ascii="Arial" w:hAnsi="Arial" w:cs="Arial"/>
          <w:sz w:val="22"/>
          <w:szCs w:val="22"/>
        </w:rPr>
        <w:instrText>)</w:instrText>
      </w:r>
      <w:bookmarkEnd w:id="12"/>
      <w:r w:rsidR="00B56A0F" w:rsidRPr="008B4D96">
        <w:rPr>
          <w:rFonts w:ascii="Arial" w:hAnsi="Arial" w:cs="Arial"/>
          <w:sz w:val="22"/>
          <w:szCs w:val="22"/>
        </w:rPr>
        <w:fldChar w:fldCharType="end"/>
      </w:r>
    </w:p>
    <w:p w14:paraId="771BAB06"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This can be simplified to the product of Robustness and Redundancy as represented in Eq. (5) below. Reliability is therefore estimated at a point in time and, </w:t>
      </w:r>
      <w:proofErr w:type="gramStart"/>
      <w:r w:rsidRPr="008B4D96">
        <w:rPr>
          <w:rFonts w:ascii="Arial" w:hAnsi="Arial" w:cs="Arial"/>
          <w:sz w:val="22"/>
          <w:szCs w:val="22"/>
        </w:rPr>
        <w:t>similar to</w:t>
      </w:r>
      <w:proofErr w:type="gramEnd"/>
      <w:r w:rsidRPr="008B4D96">
        <w:rPr>
          <w:rFonts w:ascii="Arial" w:hAnsi="Arial" w:cs="Arial"/>
          <w:sz w:val="22"/>
          <w:szCs w:val="22"/>
        </w:rPr>
        <w:t xml:space="preserve"> both </w:t>
      </w:r>
      <w:r w:rsidRPr="008B4D96">
        <w:rPr>
          <w:rFonts w:ascii="Arial" w:hAnsi="Arial" w:cs="Arial"/>
          <w:i/>
          <w:sz w:val="22"/>
          <w:szCs w:val="22"/>
        </w:rPr>
        <w:t>Robustness</w:t>
      </w:r>
      <w:r w:rsidRPr="008B4D96">
        <w:rPr>
          <w:rFonts w:ascii="Arial" w:hAnsi="Arial" w:cs="Arial"/>
          <w:sz w:val="22"/>
          <w:szCs w:val="22"/>
        </w:rPr>
        <w:t xml:space="preserve"> and </w:t>
      </w:r>
      <w:r w:rsidRPr="008B4D96">
        <w:rPr>
          <w:rFonts w:ascii="Arial" w:hAnsi="Arial" w:cs="Arial"/>
          <w:i/>
          <w:sz w:val="22"/>
          <w:szCs w:val="22"/>
        </w:rPr>
        <w:t>Redundancy</w:t>
      </w:r>
      <w:r w:rsidRPr="008B4D96">
        <w:rPr>
          <w:rFonts w:ascii="Arial" w:hAnsi="Arial" w:cs="Arial"/>
          <w:sz w:val="22"/>
          <w:szCs w:val="22"/>
        </w:rPr>
        <w:t xml:space="preserve">, is unitless and has a scale between 0 and 1. </w:t>
      </w:r>
    </w:p>
    <w:p w14:paraId="7B7D0681" w14:textId="77777777" w:rsidR="00B56A0F" w:rsidRPr="00E34AEB" w:rsidRDefault="00455D44" w:rsidP="00B56A0F">
      <w:pPr>
        <w:tabs>
          <w:tab w:val="left" w:pos="8789"/>
        </w:tabs>
        <w:spacing w:before="120" w:line="264" w:lineRule="auto"/>
        <w:ind w:left="720"/>
        <w:rPr>
          <w:rFonts w:ascii="Arial" w:hAnsi="Arial" w:cs="Arial"/>
          <w:sz w:val="20"/>
          <w:szCs w:val="20"/>
        </w:rPr>
      </w:pPr>
      <m:oMath>
        <m:sSub>
          <m:sSubPr>
            <m:ctrlPr>
              <w:rPr>
                <w:rFonts w:ascii="Cambria Math" w:hAnsi="Cambria Math" w:cs="Arial"/>
                <w:i/>
                <w:sz w:val="20"/>
                <w:szCs w:val="20"/>
                <w:lang w:eastAsia="en-NZ"/>
              </w:rPr>
            </m:ctrlPr>
          </m:sSubPr>
          <m:e>
            <m:r>
              <w:rPr>
                <w:rFonts w:ascii="Cambria Math" w:hAnsi="Cambria Math" w:cs="Arial"/>
                <w:sz w:val="20"/>
                <w:szCs w:val="20"/>
                <w:lang w:eastAsia="en-NZ"/>
              </w:rPr>
              <m:t>Reliability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sSub>
          <m:sSubPr>
            <m:ctrlPr>
              <w:rPr>
                <w:rFonts w:ascii="Cambria Math" w:hAnsi="Cambria Math" w:cs="Arial"/>
                <w:i/>
                <w:sz w:val="20"/>
                <w:szCs w:val="20"/>
                <w:lang w:eastAsia="en-NZ"/>
              </w:rPr>
            </m:ctrlPr>
          </m:sSubPr>
          <m:e>
            <m:r>
              <w:rPr>
                <w:rFonts w:ascii="Cambria Math" w:hAnsi="Cambria Math" w:cs="Arial"/>
                <w:sz w:val="20"/>
                <w:szCs w:val="20"/>
                <w:lang w:eastAsia="en-NZ"/>
              </w:rPr>
              <m:t>Robustness</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r>
          <w:rPr>
            <w:rFonts w:ascii="Cambria Math" w:hAnsi="Cambria Math" w:cs="Arial"/>
            <w:sz w:val="20"/>
            <w:szCs w:val="20"/>
            <w:lang w:eastAsia="en-NZ"/>
          </w:rPr>
          <m:t>*</m:t>
        </m:r>
        <m:sSub>
          <m:sSubPr>
            <m:ctrlPr>
              <w:rPr>
                <w:rFonts w:ascii="Cambria Math" w:hAnsi="Cambria Math" w:cs="Arial"/>
                <w:i/>
                <w:sz w:val="20"/>
                <w:szCs w:val="20"/>
                <w:lang w:eastAsia="en-NZ"/>
              </w:rPr>
            </m:ctrlPr>
          </m:sSubPr>
          <m:e>
            <m:r>
              <w:rPr>
                <w:rFonts w:ascii="Cambria Math" w:hAnsi="Cambria Math" w:cs="Arial"/>
                <w:sz w:val="20"/>
                <w:szCs w:val="20"/>
                <w:lang w:eastAsia="en-NZ"/>
              </w:rPr>
              <m:t>Redundancy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oMath>
      <w:r w:rsidR="00B56A0F" w:rsidRPr="00E34AEB">
        <w:rPr>
          <w:rFonts w:ascii="Arial" w:hAnsi="Arial" w:cs="Arial"/>
          <w:sz w:val="20"/>
          <w:szCs w:val="20"/>
        </w:rPr>
        <w:t xml:space="preserve"> </w:t>
      </w:r>
      <w:r w:rsidR="00B56A0F" w:rsidRPr="00E34AEB">
        <w:rPr>
          <w:rFonts w:ascii="Arial" w:hAnsi="Arial" w:cs="Arial"/>
          <w:sz w:val="20"/>
          <w:szCs w:val="20"/>
        </w:rPr>
        <w:tab/>
      </w:r>
      <w:r w:rsidR="00B56A0F" w:rsidRPr="00E34AEB">
        <w:rPr>
          <w:rFonts w:ascii="Arial" w:hAnsi="Arial" w:cs="Arial"/>
          <w:sz w:val="20"/>
          <w:szCs w:val="20"/>
        </w:rPr>
        <w:fldChar w:fldCharType="begin"/>
      </w:r>
      <w:r w:rsidR="00B56A0F" w:rsidRPr="00E34AEB">
        <w:rPr>
          <w:rFonts w:ascii="Arial" w:hAnsi="Arial" w:cs="Arial"/>
          <w:sz w:val="20"/>
          <w:szCs w:val="20"/>
        </w:rPr>
        <w:instrText xml:space="preserve"> MACROBUTTON MTPlaceRef \* MERGEFORMAT </w:instrText>
      </w:r>
      <w:r w:rsidR="00B56A0F" w:rsidRPr="00E34AEB">
        <w:rPr>
          <w:rFonts w:ascii="Arial" w:hAnsi="Arial" w:cs="Arial"/>
          <w:sz w:val="20"/>
          <w:szCs w:val="20"/>
        </w:rPr>
        <w:fldChar w:fldCharType="begin"/>
      </w:r>
      <w:r w:rsidR="00B56A0F" w:rsidRPr="00E34AEB">
        <w:rPr>
          <w:rFonts w:ascii="Arial" w:hAnsi="Arial" w:cs="Arial"/>
          <w:sz w:val="20"/>
          <w:szCs w:val="20"/>
        </w:rPr>
        <w:instrText xml:space="preserve"> SEQ MTEqn \h \* MERGEFORMAT </w:instrText>
      </w:r>
      <w:r w:rsidR="00B56A0F" w:rsidRPr="00E34AEB">
        <w:rPr>
          <w:rFonts w:ascii="Arial" w:hAnsi="Arial" w:cs="Arial"/>
          <w:sz w:val="20"/>
          <w:szCs w:val="20"/>
        </w:rPr>
        <w:fldChar w:fldCharType="end"/>
      </w:r>
      <w:r w:rsidR="00B56A0F" w:rsidRPr="00E34AEB">
        <w:rPr>
          <w:rFonts w:ascii="Arial" w:hAnsi="Arial" w:cs="Arial"/>
          <w:sz w:val="20"/>
          <w:szCs w:val="20"/>
        </w:rPr>
        <w:instrText>(</w:instrText>
      </w:r>
      <w:r w:rsidR="00B56A0F" w:rsidRPr="00E34AEB">
        <w:rPr>
          <w:rFonts w:ascii="Arial" w:hAnsi="Arial" w:cs="Arial"/>
          <w:sz w:val="20"/>
          <w:szCs w:val="20"/>
        </w:rPr>
        <w:fldChar w:fldCharType="begin"/>
      </w:r>
      <w:r w:rsidR="00B56A0F" w:rsidRPr="00E34AEB">
        <w:rPr>
          <w:rFonts w:ascii="Arial" w:hAnsi="Arial" w:cs="Arial"/>
          <w:sz w:val="20"/>
          <w:szCs w:val="20"/>
        </w:rPr>
        <w:instrText xml:space="preserve"> SEQ MTEqn \c \* Arabic \* MERGEFORMAT </w:instrText>
      </w:r>
      <w:r w:rsidR="00B56A0F" w:rsidRPr="00E34AEB">
        <w:rPr>
          <w:rFonts w:ascii="Arial" w:hAnsi="Arial" w:cs="Arial"/>
          <w:sz w:val="20"/>
          <w:szCs w:val="20"/>
        </w:rPr>
        <w:fldChar w:fldCharType="separate"/>
      </w:r>
      <w:r w:rsidR="00B56A0F" w:rsidRPr="00E34AEB">
        <w:rPr>
          <w:rFonts w:ascii="Arial" w:hAnsi="Arial" w:cs="Arial"/>
          <w:noProof/>
          <w:sz w:val="20"/>
          <w:szCs w:val="20"/>
        </w:rPr>
        <w:instrText>5</w:instrText>
      </w:r>
      <w:r w:rsidR="00B56A0F" w:rsidRPr="00E34AEB">
        <w:rPr>
          <w:rFonts w:ascii="Arial" w:hAnsi="Arial" w:cs="Arial"/>
          <w:noProof/>
          <w:sz w:val="20"/>
          <w:szCs w:val="20"/>
        </w:rPr>
        <w:fldChar w:fldCharType="end"/>
      </w:r>
      <w:r w:rsidR="00B56A0F" w:rsidRPr="00E34AEB">
        <w:rPr>
          <w:rFonts w:ascii="Arial" w:hAnsi="Arial" w:cs="Arial"/>
          <w:sz w:val="20"/>
          <w:szCs w:val="20"/>
        </w:rPr>
        <w:instrText>)</w:instrText>
      </w:r>
      <w:r w:rsidR="00B56A0F" w:rsidRPr="00E34AEB">
        <w:rPr>
          <w:rFonts w:ascii="Arial" w:hAnsi="Arial" w:cs="Arial"/>
          <w:sz w:val="20"/>
          <w:szCs w:val="20"/>
        </w:rPr>
        <w:fldChar w:fldCharType="end"/>
      </w:r>
    </w:p>
    <w:p w14:paraId="066F707D"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Referring to Eq. (6), Trip Resilience (TR) is then estimated using the area under the trip reliability curve from recovery time of </w:t>
      </w:r>
      <w:proofErr w:type="spellStart"/>
      <w:r w:rsidRPr="008B4D96">
        <w:rPr>
          <w:rFonts w:ascii="Arial" w:hAnsi="Arial" w:cs="Arial"/>
          <w:sz w:val="22"/>
          <w:szCs w:val="22"/>
        </w:rPr>
        <w:t>t</w:t>
      </w:r>
      <w:r w:rsidRPr="008B4D96">
        <w:rPr>
          <w:rFonts w:ascii="Arial" w:hAnsi="Arial" w:cs="Arial"/>
          <w:sz w:val="22"/>
          <w:szCs w:val="22"/>
          <w:vertAlign w:val="subscript"/>
        </w:rPr>
        <w:t>ζm</w:t>
      </w:r>
      <w:proofErr w:type="spellEnd"/>
      <w:r w:rsidRPr="008B4D96">
        <w:rPr>
          <w:rFonts w:ascii="Arial" w:hAnsi="Arial" w:cs="Arial"/>
          <w:sz w:val="22"/>
          <w:szCs w:val="22"/>
        </w:rPr>
        <w:t xml:space="preserve"> to </w:t>
      </w:r>
      <w:proofErr w:type="spellStart"/>
      <w:r w:rsidRPr="008B4D96">
        <w:rPr>
          <w:rFonts w:ascii="Arial" w:hAnsi="Arial" w:cs="Arial"/>
          <w:sz w:val="22"/>
          <w:szCs w:val="22"/>
        </w:rPr>
        <w:t>t</w:t>
      </w:r>
      <w:r w:rsidRPr="008B4D96">
        <w:rPr>
          <w:rFonts w:ascii="Arial" w:hAnsi="Arial" w:cs="Arial"/>
          <w:sz w:val="22"/>
          <w:szCs w:val="22"/>
          <w:vertAlign w:val="subscript"/>
        </w:rPr>
        <w:t>ζn</w:t>
      </w:r>
      <w:proofErr w:type="spellEnd"/>
      <w:r w:rsidRPr="008B4D96">
        <w:rPr>
          <w:rFonts w:ascii="Arial" w:hAnsi="Arial" w:cs="Arial"/>
          <w:sz w:val="22"/>
          <w:szCs w:val="22"/>
        </w:rPr>
        <w:t xml:space="preserve"> where m represents the start time and n represents the end time of a stage of recovery. To estimate the TR for the whole period of recovery instead of a stage, m and n represent the impact time and the end of recovery, respectively.   </w:t>
      </w:r>
    </w:p>
    <w:p w14:paraId="7C3B14FE" w14:textId="77777777" w:rsidR="00B56A0F" w:rsidRPr="00E34AEB" w:rsidRDefault="00B56A0F" w:rsidP="00B56A0F">
      <w:pPr>
        <w:tabs>
          <w:tab w:val="left" w:pos="8789"/>
        </w:tabs>
        <w:spacing w:before="120" w:line="264" w:lineRule="auto"/>
        <w:ind w:left="720"/>
        <w:rPr>
          <w:rFonts w:ascii="Arial" w:hAnsi="Arial" w:cs="Arial"/>
          <w:sz w:val="20"/>
          <w:szCs w:val="20"/>
        </w:rPr>
      </w:pPr>
      <m:oMath>
        <m:r>
          <w:rPr>
            <w:rFonts w:ascii="Cambria Math" w:hAnsi="Cambria Math" w:cs="Arial"/>
            <w:sz w:val="20"/>
            <w:szCs w:val="20"/>
            <w:lang w:eastAsia="en-NZ"/>
          </w:rPr>
          <m:t>TR=</m:t>
        </m:r>
        <m:nary>
          <m:naryPr>
            <m:limLoc m:val="subSup"/>
            <m:ctrlPr>
              <w:rPr>
                <w:rFonts w:ascii="Cambria Math" w:hAnsi="Cambria Math" w:cs="Arial"/>
                <w:i/>
                <w:sz w:val="20"/>
                <w:szCs w:val="20"/>
                <w:lang w:eastAsia="en-NZ"/>
              </w:rPr>
            </m:ctrlPr>
          </m:naryPr>
          <m:sub>
            <m:r>
              <w:rPr>
                <w:rFonts w:ascii="Cambria Math" w:hAnsi="Cambria Math" w:cs="Arial"/>
                <w:sz w:val="20"/>
                <w:szCs w:val="20"/>
                <w:lang w:eastAsia="en-NZ"/>
              </w:rPr>
              <m:t>t</m:t>
            </m:r>
            <m:sSub>
              <m:sSubPr>
                <m:ctrlPr>
                  <w:rPr>
                    <w:rFonts w:ascii="Cambria Math" w:hAnsi="Cambria Math" w:cs="Arial"/>
                    <w:i/>
                    <w:sz w:val="20"/>
                    <w:szCs w:val="20"/>
                    <w:lang w:eastAsia="en-NZ"/>
                  </w:rPr>
                </m:ctrlPr>
              </m:sSubPr>
              <m:e>
                <m:r>
                  <w:rPr>
                    <w:rFonts w:ascii="Cambria Math" w:hAnsi="Cambria Math" w:cs="Arial"/>
                    <w:sz w:val="20"/>
                    <w:szCs w:val="20"/>
                    <w:lang w:eastAsia="en-NZ"/>
                  </w:rPr>
                  <m:t>ζ</m:t>
                </m:r>
              </m:e>
              <m:sub>
                <m:r>
                  <w:rPr>
                    <w:rFonts w:ascii="Cambria Math" w:hAnsi="Cambria Math" w:cs="Arial"/>
                    <w:sz w:val="20"/>
                    <w:szCs w:val="20"/>
                    <w:lang w:eastAsia="en-NZ"/>
                  </w:rPr>
                  <m:t>m</m:t>
                </m:r>
              </m:sub>
            </m:sSub>
          </m:sub>
          <m:sup>
            <m:r>
              <w:rPr>
                <w:rFonts w:ascii="Cambria Math" w:hAnsi="Cambria Math" w:cs="Arial"/>
                <w:sz w:val="20"/>
                <w:szCs w:val="20"/>
                <w:lang w:eastAsia="en-NZ"/>
              </w:rPr>
              <m:t>t</m:t>
            </m:r>
            <m:sSub>
              <m:sSubPr>
                <m:ctrlPr>
                  <w:rPr>
                    <w:rFonts w:ascii="Cambria Math" w:hAnsi="Cambria Math" w:cs="Arial"/>
                    <w:i/>
                    <w:sz w:val="20"/>
                    <w:szCs w:val="20"/>
                    <w:lang w:eastAsia="en-NZ"/>
                  </w:rPr>
                </m:ctrlPr>
              </m:sSubPr>
              <m:e>
                <m:r>
                  <w:rPr>
                    <w:rFonts w:ascii="Cambria Math" w:hAnsi="Cambria Math" w:cs="Arial"/>
                    <w:sz w:val="20"/>
                    <w:szCs w:val="20"/>
                    <w:lang w:eastAsia="en-NZ"/>
                  </w:rPr>
                  <m:t>ζ</m:t>
                </m:r>
              </m:e>
              <m:sub>
                <m:r>
                  <w:rPr>
                    <w:rFonts w:ascii="Cambria Math" w:hAnsi="Cambria Math" w:cs="Arial"/>
                    <w:sz w:val="20"/>
                    <w:szCs w:val="20"/>
                    <w:lang w:eastAsia="en-NZ"/>
                  </w:rPr>
                  <m:t>n</m:t>
                </m:r>
              </m:sub>
            </m:sSub>
          </m:sup>
          <m:e>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Reliability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e>
            </m:d>
          </m:e>
        </m:nary>
        <m:r>
          <w:rPr>
            <w:rFonts w:ascii="Cambria Math" w:hAnsi="Cambria Math" w:cs="Arial"/>
            <w:sz w:val="20"/>
            <w:szCs w:val="20"/>
            <w:lang w:eastAsia="en-NZ"/>
          </w:rPr>
          <m:t>dt</m:t>
        </m:r>
      </m:oMath>
      <w:r w:rsidRPr="00E34AEB">
        <w:rPr>
          <w:rFonts w:ascii="Arial" w:hAnsi="Arial" w:cs="Arial"/>
          <w:sz w:val="20"/>
          <w:szCs w:val="20"/>
        </w:rPr>
        <w:t xml:space="preserve"> </w:t>
      </w:r>
      <w:r w:rsidRPr="00E34AEB">
        <w:rPr>
          <w:rFonts w:ascii="Arial" w:hAnsi="Arial" w:cs="Arial"/>
          <w:sz w:val="20"/>
          <w:szCs w:val="20"/>
        </w:rPr>
        <w:tab/>
      </w:r>
      <w:r w:rsidRPr="00E34AEB">
        <w:rPr>
          <w:rFonts w:ascii="Arial" w:hAnsi="Arial" w:cs="Arial"/>
          <w:sz w:val="20"/>
          <w:szCs w:val="20"/>
        </w:rPr>
        <w:fldChar w:fldCharType="begin"/>
      </w:r>
      <w:r w:rsidRPr="00E34AEB">
        <w:rPr>
          <w:rFonts w:ascii="Arial" w:hAnsi="Arial" w:cs="Arial"/>
          <w:sz w:val="20"/>
          <w:szCs w:val="20"/>
        </w:rPr>
        <w:instrText xml:space="preserve"> MACROBUTTON MTPlaceRef \* MERGEFORMAT </w:instrText>
      </w:r>
      <w:r w:rsidRPr="00E34AEB">
        <w:rPr>
          <w:rFonts w:ascii="Arial" w:hAnsi="Arial" w:cs="Arial"/>
          <w:sz w:val="20"/>
          <w:szCs w:val="20"/>
        </w:rPr>
        <w:fldChar w:fldCharType="begin"/>
      </w:r>
      <w:r w:rsidRPr="00E34AEB">
        <w:rPr>
          <w:rFonts w:ascii="Arial" w:hAnsi="Arial" w:cs="Arial"/>
          <w:sz w:val="20"/>
          <w:szCs w:val="20"/>
        </w:rPr>
        <w:instrText xml:space="preserve"> SEQ MTEqn \h \* MERGEFORMAT </w:instrText>
      </w:r>
      <w:r w:rsidRPr="00E34AEB">
        <w:rPr>
          <w:rFonts w:ascii="Arial" w:hAnsi="Arial" w:cs="Arial"/>
          <w:sz w:val="20"/>
          <w:szCs w:val="20"/>
        </w:rPr>
        <w:fldChar w:fldCharType="end"/>
      </w:r>
      <w:bookmarkStart w:id="13" w:name="ZEqnNum296967"/>
      <w:r w:rsidRPr="00E34AEB">
        <w:rPr>
          <w:rFonts w:ascii="Arial" w:hAnsi="Arial" w:cs="Arial"/>
          <w:sz w:val="20"/>
          <w:szCs w:val="20"/>
        </w:rPr>
        <w:instrText>(</w:instrText>
      </w:r>
      <w:r w:rsidRPr="00E34AEB">
        <w:rPr>
          <w:rFonts w:ascii="Arial" w:hAnsi="Arial" w:cs="Arial"/>
          <w:sz w:val="20"/>
          <w:szCs w:val="20"/>
        </w:rPr>
        <w:fldChar w:fldCharType="begin"/>
      </w:r>
      <w:r w:rsidRPr="00E34AEB">
        <w:rPr>
          <w:rFonts w:ascii="Arial" w:hAnsi="Arial" w:cs="Arial"/>
          <w:sz w:val="20"/>
          <w:szCs w:val="20"/>
        </w:rPr>
        <w:instrText xml:space="preserve"> SEQ MTEqn \c \* Arabic \* MERGEFORMAT </w:instrText>
      </w:r>
      <w:r w:rsidRPr="00E34AEB">
        <w:rPr>
          <w:rFonts w:ascii="Arial" w:hAnsi="Arial" w:cs="Arial"/>
          <w:sz w:val="20"/>
          <w:szCs w:val="20"/>
        </w:rPr>
        <w:fldChar w:fldCharType="separate"/>
      </w:r>
      <w:r w:rsidRPr="00E34AEB">
        <w:rPr>
          <w:rFonts w:ascii="Arial" w:hAnsi="Arial" w:cs="Arial"/>
          <w:noProof/>
          <w:sz w:val="20"/>
          <w:szCs w:val="20"/>
        </w:rPr>
        <w:instrText>6</w:instrText>
      </w:r>
      <w:r w:rsidRPr="00E34AEB">
        <w:rPr>
          <w:rFonts w:ascii="Arial" w:hAnsi="Arial" w:cs="Arial"/>
          <w:noProof/>
          <w:sz w:val="20"/>
          <w:szCs w:val="20"/>
        </w:rPr>
        <w:fldChar w:fldCharType="end"/>
      </w:r>
      <w:r w:rsidRPr="00E34AEB">
        <w:rPr>
          <w:rFonts w:ascii="Arial" w:hAnsi="Arial" w:cs="Arial"/>
          <w:sz w:val="20"/>
          <w:szCs w:val="20"/>
        </w:rPr>
        <w:instrText>)</w:instrText>
      </w:r>
      <w:bookmarkEnd w:id="13"/>
      <w:r w:rsidRPr="00E34AEB">
        <w:rPr>
          <w:rFonts w:ascii="Arial" w:hAnsi="Arial" w:cs="Arial"/>
          <w:sz w:val="20"/>
          <w:szCs w:val="20"/>
        </w:rPr>
        <w:fldChar w:fldCharType="end"/>
      </w:r>
    </w:p>
    <w:p w14:paraId="01A14D36"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Given that the TR is unitless and, at least theoretically, has no upper bound, it was decided to </w:t>
      </w:r>
      <w:r w:rsidRPr="008B4D96">
        <w:rPr>
          <w:rFonts w:ascii="Arial" w:hAnsi="Arial" w:cs="Arial"/>
          <w:sz w:val="22"/>
          <w:szCs w:val="22"/>
        </w:rPr>
        <w:lastRenderedPageBreak/>
        <w:t>normalise the TR during the recovery period to create a measure that is easily understandable to decision-makers. The resulting Normalised Trip Resilience (NTR) is estimated by Eq. (7) where an average of TR for a period of recovery (</w:t>
      </w:r>
      <w:proofErr w:type="spellStart"/>
      <w:r w:rsidRPr="008B4D96">
        <w:rPr>
          <w:rFonts w:ascii="Arial" w:hAnsi="Arial" w:cs="Arial"/>
          <w:sz w:val="22"/>
          <w:szCs w:val="22"/>
        </w:rPr>
        <w:t>Δt</w:t>
      </w:r>
      <w:proofErr w:type="spellEnd"/>
      <w:r w:rsidRPr="008B4D96">
        <w:rPr>
          <w:rFonts w:ascii="Arial" w:hAnsi="Arial" w:cs="Arial"/>
          <w:sz w:val="22"/>
          <w:szCs w:val="22"/>
        </w:rPr>
        <w:t xml:space="preserve">) reflects the </w:t>
      </w:r>
      <w:r w:rsidRPr="008B4D96">
        <w:rPr>
          <w:rFonts w:ascii="Arial" w:hAnsi="Arial" w:cs="Arial"/>
          <w:i/>
          <w:sz w:val="22"/>
          <w:szCs w:val="22"/>
        </w:rPr>
        <w:t>NTR</w:t>
      </w:r>
      <w:r w:rsidRPr="008B4D96">
        <w:rPr>
          <w:rFonts w:ascii="Arial" w:hAnsi="Arial" w:cs="Arial"/>
          <w:sz w:val="22"/>
          <w:szCs w:val="22"/>
        </w:rPr>
        <w:t xml:space="preserve">, presented as a percentage. If the network is completely reliable, then the </w:t>
      </w:r>
      <w:r w:rsidRPr="008B4D96">
        <w:rPr>
          <w:rFonts w:ascii="Arial" w:hAnsi="Arial" w:cs="Arial"/>
          <w:i/>
          <w:sz w:val="22"/>
          <w:szCs w:val="22"/>
        </w:rPr>
        <w:t>NTR</w:t>
      </w:r>
      <w:r w:rsidRPr="008B4D96">
        <w:rPr>
          <w:rFonts w:ascii="Arial" w:hAnsi="Arial" w:cs="Arial"/>
          <w:sz w:val="22"/>
          <w:szCs w:val="22"/>
        </w:rPr>
        <w:t xml:space="preserve"> returns 100% representing a resilient network. Typically, </w:t>
      </w:r>
      <w:r w:rsidRPr="008B4D96">
        <w:rPr>
          <w:rFonts w:ascii="Arial" w:hAnsi="Arial" w:cs="Arial"/>
          <w:i/>
          <w:sz w:val="22"/>
          <w:szCs w:val="22"/>
        </w:rPr>
        <w:t>NTR</w:t>
      </w:r>
      <w:r w:rsidRPr="008B4D96">
        <w:rPr>
          <w:rFonts w:ascii="Arial" w:hAnsi="Arial" w:cs="Arial"/>
          <w:sz w:val="22"/>
          <w:szCs w:val="22"/>
        </w:rPr>
        <w:t xml:space="preserve"> is estimated for the whole period of recovery, starting from the time of impact to the end of recovery, although </w:t>
      </w:r>
      <w:r w:rsidRPr="008B4D96">
        <w:rPr>
          <w:rFonts w:ascii="Arial" w:hAnsi="Arial" w:cs="Arial"/>
          <w:i/>
          <w:sz w:val="22"/>
          <w:szCs w:val="22"/>
        </w:rPr>
        <w:t>NTR</w:t>
      </w:r>
      <w:r w:rsidRPr="008B4D96">
        <w:rPr>
          <w:rFonts w:ascii="Arial" w:hAnsi="Arial" w:cs="Arial"/>
          <w:sz w:val="22"/>
          <w:szCs w:val="22"/>
        </w:rPr>
        <w:t xml:space="preserve"> can be calculated for any time interval, such as different stages of recovery.   </w:t>
      </w:r>
    </w:p>
    <w:p w14:paraId="241BCAB0" w14:textId="77777777" w:rsidR="00B56A0F" w:rsidRPr="00E34AEB" w:rsidRDefault="00B56A0F" w:rsidP="00B56A0F">
      <w:pPr>
        <w:pStyle w:val="MTDisplayEquation"/>
        <w:spacing w:before="120" w:line="264" w:lineRule="auto"/>
        <w:ind w:left="720" w:firstLine="0"/>
        <w:rPr>
          <w:rFonts w:ascii="Arial" w:hAnsi="Arial" w:cs="Arial"/>
          <w:sz w:val="20"/>
          <w:szCs w:val="20"/>
        </w:rPr>
      </w:pPr>
      <m:oMath>
        <m:r>
          <w:rPr>
            <w:rFonts w:ascii="Cambria Math" w:hAnsi="Cambria Math" w:cs="Arial"/>
            <w:sz w:val="20"/>
            <w:szCs w:val="20"/>
            <w:lang w:eastAsia="en-NZ"/>
          </w:rPr>
          <m:t>NTR=</m:t>
        </m:r>
        <m:f>
          <m:fPr>
            <m:ctrlPr>
              <w:rPr>
                <w:rFonts w:ascii="Cambria Math" w:hAnsi="Cambria Math" w:cs="Arial"/>
                <w:i/>
                <w:sz w:val="20"/>
                <w:szCs w:val="20"/>
                <w:lang w:eastAsia="en-NZ"/>
              </w:rPr>
            </m:ctrlPr>
          </m:fPr>
          <m:num>
            <m:nary>
              <m:naryPr>
                <m:limLoc m:val="subSup"/>
                <m:ctrlPr>
                  <w:rPr>
                    <w:rFonts w:ascii="Cambria Math" w:hAnsi="Cambria Math" w:cs="Arial"/>
                    <w:i/>
                    <w:sz w:val="20"/>
                    <w:szCs w:val="20"/>
                    <w:lang w:eastAsia="en-NZ"/>
                  </w:rPr>
                </m:ctrlPr>
              </m:naryPr>
              <m:sub>
                <m:r>
                  <w:rPr>
                    <w:rFonts w:ascii="Cambria Math" w:hAnsi="Cambria Math" w:cs="Arial"/>
                    <w:sz w:val="20"/>
                    <w:szCs w:val="20"/>
                    <w:lang w:eastAsia="en-NZ"/>
                  </w:rPr>
                  <m:t>t</m:t>
                </m:r>
                <m:sSub>
                  <m:sSubPr>
                    <m:ctrlPr>
                      <w:rPr>
                        <w:rFonts w:ascii="Cambria Math" w:hAnsi="Cambria Math" w:cs="Arial"/>
                        <w:i/>
                        <w:sz w:val="20"/>
                        <w:szCs w:val="20"/>
                        <w:lang w:eastAsia="en-NZ"/>
                      </w:rPr>
                    </m:ctrlPr>
                  </m:sSubPr>
                  <m:e>
                    <m:r>
                      <w:rPr>
                        <w:rFonts w:ascii="Cambria Math" w:hAnsi="Cambria Math" w:cs="Arial"/>
                        <w:sz w:val="20"/>
                        <w:szCs w:val="20"/>
                        <w:lang w:eastAsia="en-NZ"/>
                      </w:rPr>
                      <m:t>ζ</m:t>
                    </m:r>
                  </m:e>
                  <m:sub>
                    <m:r>
                      <w:rPr>
                        <w:rFonts w:ascii="Cambria Math" w:hAnsi="Cambria Math" w:cs="Arial"/>
                        <w:sz w:val="20"/>
                        <w:szCs w:val="20"/>
                        <w:lang w:eastAsia="en-NZ"/>
                      </w:rPr>
                      <m:t>m</m:t>
                    </m:r>
                  </m:sub>
                </m:sSub>
              </m:sub>
              <m:sup>
                <m:r>
                  <w:rPr>
                    <w:rFonts w:ascii="Cambria Math" w:hAnsi="Cambria Math" w:cs="Arial"/>
                    <w:sz w:val="20"/>
                    <w:szCs w:val="20"/>
                    <w:lang w:eastAsia="en-NZ"/>
                  </w:rPr>
                  <m:t>t</m:t>
                </m:r>
                <m:sSub>
                  <m:sSubPr>
                    <m:ctrlPr>
                      <w:rPr>
                        <w:rFonts w:ascii="Cambria Math" w:hAnsi="Cambria Math" w:cs="Arial"/>
                        <w:i/>
                        <w:sz w:val="20"/>
                        <w:szCs w:val="20"/>
                        <w:lang w:eastAsia="en-NZ"/>
                      </w:rPr>
                    </m:ctrlPr>
                  </m:sSubPr>
                  <m:e>
                    <m:r>
                      <w:rPr>
                        <w:rFonts w:ascii="Cambria Math" w:hAnsi="Cambria Math" w:cs="Arial"/>
                        <w:sz w:val="20"/>
                        <w:szCs w:val="20"/>
                        <w:lang w:eastAsia="en-NZ"/>
                      </w:rPr>
                      <m:t>ζ</m:t>
                    </m:r>
                  </m:e>
                  <m:sub>
                    <m:r>
                      <w:rPr>
                        <w:rFonts w:ascii="Cambria Math" w:hAnsi="Cambria Math" w:cs="Arial"/>
                        <w:sz w:val="20"/>
                        <w:szCs w:val="20"/>
                        <w:lang w:eastAsia="en-NZ"/>
                      </w:rPr>
                      <m:t>n</m:t>
                    </m:r>
                  </m:sub>
                </m:sSub>
              </m:sup>
              <m:e>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Reliability</m:t>
                        </m:r>
                      </m:e>
                      <m:sub>
                        <m:r>
                          <w:rPr>
                            <w:rFonts w:ascii="Cambria Math" w:hAnsi="Cambria Math" w:cs="Arial"/>
                            <w:sz w:val="20"/>
                            <w:szCs w:val="20"/>
                            <w:lang w:eastAsia="en-NZ"/>
                          </w:rPr>
                          <m:t>ij</m:t>
                        </m:r>
                      </m:sub>
                    </m:sSub>
                    <m:d>
                      <m:dPr>
                        <m:ctrlPr>
                          <w:rPr>
                            <w:rFonts w:ascii="Cambria Math" w:hAnsi="Cambria Math" w:cs="Arial"/>
                            <w:i/>
                            <w:sz w:val="20"/>
                            <w:szCs w:val="20"/>
                            <w:lang w:eastAsia="en-NZ"/>
                          </w:rPr>
                        </m:ctrlPr>
                      </m:dPr>
                      <m:e>
                        <m:sSub>
                          <m:sSubPr>
                            <m:ctrlPr>
                              <w:rPr>
                                <w:rFonts w:ascii="Cambria Math" w:hAnsi="Cambria Math" w:cs="Arial"/>
                                <w:i/>
                                <w:sz w:val="20"/>
                                <w:szCs w:val="20"/>
                                <w:lang w:eastAsia="en-NZ"/>
                              </w:rPr>
                            </m:ctrlPr>
                          </m:sSubPr>
                          <m:e>
                            <m:r>
                              <w:rPr>
                                <w:rFonts w:ascii="Cambria Math" w:hAnsi="Cambria Math" w:cs="Arial"/>
                                <w:sz w:val="20"/>
                                <w:szCs w:val="20"/>
                                <w:lang w:eastAsia="en-NZ"/>
                              </w:rPr>
                              <m:t>t</m:t>
                            </m:r>
                          </m:e>
                          <m:sub>
                            <m:r>
                              <w:rPr>
                                <w:rFonts w:ascii="Cambria Math" w:hAnsi="Cambria Math" w:cs="Arial"/>
                                <w:sz w:val="20"/>
                                <w:szCs w:val="20"/>
                                <w:lang w:eastAsia="en-NZ"/>
                              </w:rPr>
                              <m:t>ζ</m:t>
                            </m:r>
                          </m:sub>
                        </m:sSub>
                      </m:e>
                    </m:d>
                  </m:e>
                </m:d>
              </m:e>
            </m:nary>
            <m:r>
              <w:rPr>
                <w:rFonts w:ascii="Cambria Math" w:hAnsi="Cambria Math" w:cs="Arial"/>
                <w:sz w:val="20"/>
                <w:szCs w:val="20"/>
                <w:lang w:eastAsia="en-NZ"/>
              </w:rPr>
              <m:t>dt</m:t>
            </m:r>
          </m:num>
          <m:den>
            <m:r>
              <m:rPr>
                <m:sty m:val="p"/>
              </m:rPr>
              <w:rPr>
                <w:rFonts w:ascii="Cambria Math" w:hAnsi="Cambria Math" w:cs="Arial"/>
                <w:sz w:val="20"/>
                <w:szCs w:val="20"/>
                <w:lang w:eastAsia="en-NZ"/>
              </w:rPr>
              <m:t>Δ</m:t>
            </m:r>
            <m:r>
              <w:rPr>
                <w:rFonts w:ascii="Cambria Math" w:hAnsi="Cambria Math" w:cs="Arial"/>
                <w:sz w:val="20"/>
                <w:szCs w:val="20"/>
                <w:lang w:eastAsia="en-NZ"/>
              </w:rPr>
              <m:t>t</m:t>
            </m:r>
          </m:den>
        </m:f>
        <m:r>
          <w:rPr>
            <w:rFonts w:ascii="Cambria Math" w:hAnsi="Cambria Math" w:cs="Arial"/>
            <w:sz w:val="20"/>
            <w:szCs w:val="20"/>
            <w:lang w:eastAsia="en-NZ"/>
          </w:rPr>
          <m:t>*100</m:t>
        </m:r>
      </m:oMath>
      <w:r w:rsidRPr="00E34AEB">
        <w:rPr>
          <w:rFonts w:ascii="Arial" w:hAnsi="Arial" w:cs="Arial"/>
          <w:sz w:val="20"/>
          <w:szCs w:val="20"/>
        </w:rPr>
        <w:t xml:space="preserve"> </w:t>
      </w:r>
      <w:r w:rsidRPr="00E34AEB">
        <w:rPr>
          <w:rFonts w:ascii="Arial" w:hAnsi="Arial" w:cs="Arial"/>
          <w:sz w:val="20"/>
          <w:szCs w:val="20"/>
        </w:rPr>
        <w:tab/>
      </w:r>
      <w:r w:rsidRPr="00E34AEB">
        <w:rPr>
          <w:rFonts w:ascii="Arial" w:hAnsi="Arial" w:cs="Arial"/>
          <w:sz w:val="20"/>
          <w:szCs w:val="20"/>
        </w:rPr>
        <w:tab/>
      </w:r>
      <w:r w:rsidRPr="00E34AEB">
        <w:rPr>
          <w:rFonts w:ascii="Arial" w:hAnsi="Arial" w:cs="Arial"/>
          <w:sz w:val="20"/>
          <w:szCs w:val="20"/>
        </w:rPr>
        <w:fldChar w:fldCharType="begin"/>
      </w:r>
      <w:r w:rsidRPr="00E34AEB">
        <w:rPr>
          <w:rFonts w:ascii="Arial" w:hAnsi="Arial" w:cs="Arial"/>
          <w:sz w:val="20"/>
          <w:szCs w:val="20"/>
        </w:rPr>
        <w:instrText xml:space="preserve"> MACROBUTTON MTPlaceRef \* MERGEFORMAT </w:instrText>
      </w:r>
      <w:r w:rsidRPr="00E34AEB">
        <w:rPr>
          <w:rFonts w:ascii="Arial" w:hAnsi="Arial" w:cs="Arial"/>
          <w:sz w:val="20"/>
          <w:szCs w:val="20"/>
        </w:rPr>
        <w:fldChar w:fldCharType="begin"/>
      </w:r>
      <w:r w:rsidRPr="00E34AEB">
        <w:rPr>
          <w:rFonts w:ascii="Arial" w:hAnsi="Arial" w:cs="Arial"/>
          <w:sz w:val="20"/>
          <w:szCs w:val="20"/>
        </w:rPr>
        <w:instrText xml:space="preserve"> SEQ MTEqn \h \* MERGEFORMAT </w:instrText>
      </w:r>
      <w:r w:rsidRPr="00E34AEB">
        <w:rPr>
          <w:rFonts w:ascii="Arial" w:hAnsi="Arial" w:cs="Arial"/>
          <w:sz w:val="20"/>
          <w:szCs w:val="20"/>
        </w:rPr>
        <w:fldChar w:fldCharType="end"/>
      </w:r>
      <w:bookmarkStart w:id="14" w:name="ZEqnNum743322"/>
      <w:r w:rsidRPr="00E34AEB">
        <w:rPr>
          <w:rFonts w:ascii="Arial" w:hAnsi="Arial" w:cs="Arial"/>
          <w:sz w:val="20"/>
          <w:szCs w:val="20"/>
        </w:rPr>
        <w:instrText>(</w:instrText>
      </w:r>
      <w:r w:rsidRPr="00E34AEB">
        <w:rPr>
          <w:rFonts w:ascii="Arial" w:hAnsi="Arial" w:cs="Arial"/>
          <w:sz w:val="20"/>
          <w:szCs w:val="20"/>
        </w:rPr>
        <w:fldChar w:fldCharType="begin"/>
      </w:r>
      <w:r w:rsidRPr="00E34AEB">
        <w:rPr>
          <w:rFonts w:ascii="Arial" w:hAnsi="Arial" w:cs="Arial"/>
          <w:sz w:val="20"/>
          <w:szCs w:val="20"/>
        </w:rPr>
        <w:instrText xml:space="preserve"> SEQ MTEqn \c \* Arabic \* MERGEFORMAT </w:instrText>
      </w:r>
      <w:r w:rsidRPr="00E34AEB">
        <w:rPr>
          <w:rFonts w:ascii="Arial" w:hAnsi="Arial" w:cs="Arial"/>
          <w:sz w:val="20"/>
          <w:szCs w:val="20"/>
        </w:rPr>
        <w:fldChar w:fldCharType="separate"/>
      </w:r>
      <w:r w:rsidRPr="00E34AEB">
        <w:rPr>
          <w:rFonts w:ascii="Arial" w:hAnsi="Arial" w:cs="Arial"/>
          <w:noProof/>
          <w:sz w:val="20"/>
          <w:szCs w:val="20"/>
        </w:rPr>
        <w:instrText>7</w:instrText>
      </w:r>
      <w:r w:rsidRPr="00E34AEB">
        <w:rPr>
          <w:rFonts w:ascii="Arial" w:hAnsi="Arial" w:cs="Arial"/>
          <w:noProof/>
          <w:sz w:val="20"/>
          <w:szCs w:val="20"/>
        </w:rPr>
        <w:fldChar w:fldCharType="end"/>
      </w:r>
      <w:r w:rsidRPr="00E34AEB">
        <w:rPr>
          <w:rFonts w:ascii="Arial" w:hAnsi="Arial" w:cs="Arial"/>
          <w:sz w:val="20"/>
          <w:szCs w:val="20"/>
        </w:rPr>
        <w:instrText>)</w:instrText>
      </w:r>
      <w:bookmarkEnd w:id="14"/>
      <w:r w:rsidRPr="00E34AEB">
        <w:rPr>
          <w:rFonts w:ascii="Arial" w:hAnsi="Arial" w:cs="Arial"/>
          <w:sz w:val="20"/>
          <w:szCs w:val="20"/>
        </w:rPr>
        <w:fldChar w:fldCharType="end"/>
      </w:r>
    </w:p>
    <w:p w14:paraId="593B9303"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Finally, </w:t>
      </w:r>
      <w:proofErr w:type="gramStart"/>
      <w:r w:rsidRPr="008B4D96">
        <w:rPr>
          <w:rFonts w:ascii="Arial" w:hAnsi="Arial" w:cs="Arial"/>
          <w:sz w:val="22"/>
          <w:szCs w:val="22"/>
        </w:rPr>
        <w:t>in order to</w:t>
      </w:r>
      <w:proofErr w:type="gramEnd"/>
      <w:r w:rsidRPr="008B4D96">
        <w:rPr>
          <w:rFonts w:ascii="Arial" w:hAnsi="Arial" w:cs="Arial"/>
          <w:sz w:val="22"/>
          <w:szCs w:val="22"/>
        </w:rPr>
        <w:t xml:space="preserve"> facilitate ranking of the impact on districts post-disaster, the Equivalent daily number of Impacted Trips (EIT) is proposed in Eq. (8). The measure seeks to rank by impact, and is, therefore, a measure of vulnerability rather than resilience. The vulnerability is calculated by subtracting the NTR from unity, and this in turn is multiplied by traffic flow. Traffic flow is used as a criterion for importance in transportation and is commonly used when ranking or prioritizing.</w:t>
      </w:r>
    </w:p>
    <w:p w14:paraId="5D83AD99" w14:textId="77777777" w:rsidR="00B56A0F" w:rsidRPr="00E34AEB" w:rsidRDefault="00B56A0F" w:rsidP="00B56A0F">
      <w:pPr>
        <w:pStyle w:val="MTDisplayEquation"/>
        <w:tabs>
          <w:tab w:val="left" w:pos="1985"/>
        </w:tabs>
        <w:spacing w:before="120" w:line="264" w:lineRule="auto"/>
        <w:ind w:left="720" w:firstLine="0"/>
        <w:rPr>
          <w:rFonts w:ascii="Arial" w:hAnsi="Arial" w:cs="Arial"/>
          <w:sz w:val="20"/>
          <w:szCs w:val="20"/>
        </w:rPr>
      </w:pPr>
      <m:oMath>
        <m:r>
          <w:rPr>
            <w:rFonts w:ascii="Cambria Math" w:hAnsi="Cambria Math" w:cs="Arial"/>
            <w:sz w:val="20"/>
            <w:szCs w:val="20"/>
          </w:rPr>
          <m:t>EIT=</m:t>
        </m:r>
        <m:d>
          <m:dPr>
            <m:ctrlPr>
              <w:rPr>
                <w:rFonts w:ascii="Cambria Math" w:hAnsi="Cambria Math" w:cs="Arial"/>
                <w:i/>
                <w:sz w:val="20"/>
                <w:szCs w:val="20"/>
              </w:rPr>
            </m:ctrlPr>
          </m:dPr>
          <m:e>
            <m:r>
              <w:rPr>
                <w:rFonts w:ascii="Cambria Math" w:hAnsi="Cambria Math" w:cs="Arial"/>
                <w:sz w:val="20"/>
                <w:szCs w:val="20"/>
              </w:rPr>
              <m:t>1-NTR</m:t>
            </m:r>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Flow</m:t>
            </m:r>
          </m:e>
          <m:sub>
            <m:r>
              <w:rPr>
                <w:rFonts w:ascii="Cambria Math" w:hAnsi="Cambria Math" w:cs="Arial"/>
                <w:sz w:val="20"/>
                <w:szCs w:val="20"/>
              </w:rPr>
              <m:t>(BAU)</m:t>
            </m:r>
          </m:sub>
        </m:sSub>
      </m:oMath>
      <w:r w:rsidRPr="00E34AEB">
        <w:rPr>
          <w:rFonts w:ascii="Arial" w:hAnsi="Arial" w:cs="Arial"/>
          <w:sz w:val="20"/>
          <w:szCs w:val="20"/>
        </w:rPr>
        <w:tab/>
      </w:r>
      <w:r w:rsidRPr="00E34AEB">
        <w:rPr>
          <w:rFonts w:ascii="Arial" w:hAnsi="Arial" w:cs="Arial"/>
          <w:sz w:val="20"/>
          <w:szCs w:val="20"/>
        </w:rPr>
        <w:tab/>
      </w:r>
      <w:r w:rsidRPr="00E34AEB">
        <w:rPr>
          <w:rFonts w:ascii="Arial" w:hAnsi="Arial" w:cs="Arial"/>
          <w:sz w:val="20"/>
          <w:szCs w:val="20"/>
        </w:rPr>
        <w:fldChar w:fldCharType="begin"/>
      </w:r>
      <w:r w:rsidRPr="00E34AEB">
        <w:rPr>
          <w:rFonts w:ascii="Arial" w:hAnsi="Arial" w:cs="Arial"/>
          <w:sz w:val="20"/>
          <w:szCs w:val="20"/>
        </w:rPr>
        <w:instrText xml:space="preserve"> MACROBUTTON MTPlaceRef \* MERGEFORMAT </w:instrText>
      </w:r>
      <w:r w:rsidRPr="00E34AEB">
        <w:rPr>
          <w:rFonts w:ascii="Arial" w:hAnsi="Arial" w:cs="Arial"/>
          <w:sz w:val="20"/>
          <w:szCs w:val="20"/>
        </w:rPr>
        <w:fldChar w:fldCharType="begin"/>
      </w:r>
      <w:r w:rsidRPr="00E34AEB">
        <w:rPr>
          <w:rFonts w:ascii="Arial" w:hAnsi="Arial" w:cs="Arial"/>
          <w:sz w:val="20"/>
          <w:szCs w:val="20"/>
        </w:rPr>
        <w:instrText xml:space="preserve"> SEQ MTEqn \h \* MERGEFORMAT </w:instrText>
      </w:r>
      <w:r w:rsidRPr="00E34AEB">
        <w:rPr>
          <w:rFonts w:ascii="Arial" w:hAnsi="Arial" w:cs="Arial"/>
          <w:sz w:val="20"/>
          <w:szCs w:val="20"/>
        </w:rPr>
        <w:fldChar w:fldCharType="end"/>
      </w:r>
      <w:r w:rsidRPr="00E34AEB">
        <w:rPr>
          <w:rFonts w:ascii="Arial" w:hAnsi="Arial" w:cs="Arial"/>
          <w:sz w:val="20"/>
          <w:szCs w:val="20"/>
        </w:rPr>
        <w:instrText>(</w:instrText>
      </w:r>
      <w:r w:rsidRPr="00E34AEB">
        <w:rPr>
          <w:rFonts w:ascii="Arial" w:hAnsi="Arial" w:cs="Arial"/>
          <w:sz w:val="20"/>
          <w:szCs w:val="20"/>
        </w:rPr>
        <w:fldChar w:fldCharType="begin"/>
      </w:r>
      <w:r w:rsidRPr="00E34AEB">
        <w:rPr>
          <w:rFonts w:ascii="Arial" w:hAnsi="Arial" w:cs="Arial"/>
          <w:sz w:val="20"/>
          <w:szCs w:val="20"/>
        </w:rPr>
        <w:instrText xml:space="preserve"> SEQ MTEqn \c \* Arabic \* MERGEFORMAT </w:instrText>
      </w:r>
      <w:r w:rsidRPr="00E34AEB">
        <w:rPr>
          <w:rFonts w:ascii="Arial" w:hAnsi="Arial" w:cs="Arial"/>
          <w:sz w:val="20"/>
          <w:szCs w:val="20"/>
        </w:rPr>
        <w:fldChar w:fldCharType="separate"/>
      </w:r>
      <w:r w:rsidRPr="00E34AEB">
        <w:rPr>
          <w:rFonts w:ascii="Arial" w:hAnsi="Arial" w:cs="Arial"/>
          <w:noProof/>
          <w:sz w:val="20"/>
          <w:szCs w:val="20"/>
        </w:rPr>
        <w:instrText>8</w:instrText>
      </w:r>
      <w:r w:rsidRPr="00E34AEB">
        <w:rPr>
          <w:rFonts w:ascii="Arial" w:hAnsi="Arial" w:cs="Arial"/>
          <w:noProof/>
          <w:sz w:val="20"/>
          <w:szCs w:val="20"/>
        </w:rPr>
        <w:fldChar w:fldCharType="end"/>
      </w:r>
      <w:r w:rsidRPr="00E34AEB">
        <w:rPr>
          <w:rFonts w:ascii="Arial" w:hAnsi="Arial" w:cs="Arial"/>
          <w:sz w:val="20"/>
          <w:szCs w:val="20"/>
        </w:rPr>
        <w:instrText>)</w:instrText>
      </w:r>
      <w:r w:rsidRPr="00E34AEB">
        <w:rPr>
          <w:rFonts w:ascii="Arial" w:hAnsi="Arial" w:cs="Arial"/>
          <w:sz w:val="20"/>
          <w:szCs w:val="20"/>
        </w:rPr>
        <w:fldChar w:fldCharType="end"/>
      </w:r>
    </w:p>
    <w:p w14:paraId="1FA79E1A"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The EIT could potentially be used to facilitate resilience investment decision making on the network by ranking the impact on trips for different natural disaster scenarios and, subsequently, the reduced impact on trips under different investment options.</w:t>
      </w:r>
    </w:p>
    <w:p w14:paraId="7C6904E9" w14:textId="77777777" w:rsidR="00B56A0F" w:rsidRPr="008B4D96" w:rsidRDefault="00B56A0F" w:rsidP="00B56A0F">
      <w:pPr>
        <w:pStyle w:val="Heading1"/>
        <w:numPr>
          <w:ilvl w:val="0"/>
          <w:numId w:val="2"/>
        </w:numPr>
        <w:spacing w:before="120" w:line="264" w:lineRule="auto"/>
        <w:ind w:left="284" w:hanging="284"/>
        <w:jc w:val="both"/>
        <w:rPr>
          <w:rFonts w:ascii="Arial" w:eastAsia="CMS Y 10" w:hAnsi="Arial" w:cs="Arial"/>
          <w:b/>
          <w:bCs/>
          <w:color w:val="auto"/>
          <w:sz w:val="28"/>
          <w:szCs w:val="28"/>
        </w:rPr>
      </w:pPr>
      <w:r w:rsidRPr="008B4D96">
        <w:rPr>
          <w:rFonts w:ascii="Arial" w:eastAsia="CMS Y 10" w:hAnsi="Arial" w:cs="Arial"/>
          <w:b/>
          <w:bCs/>
          <w:color w:val="auto"/>
          <w:sz w:val="28"/>
          <w:szCs w:val="28"/>
        </w:rPr>
        <w:t>Demonstration Case Study</w:t>
      </w:r>
    </w:p>
    <w:p w14:paraId="63EE6B0F" w14:textId="77777777" w:rsidR="00B56A0F" w:rsidRPr="008B4D96" w:rsidRDefault="00B56A0F" w:rsidP="00B56A0F">
      <w:pPr>
        <w:pStyle w:val="Heading1"/>
        <w:numPr>
          <w:ilvl w:val="1"/>
          <w:numId w:val="2"/>
        </w:numPr>
        <w:spacing w:before="120" w:line="264" w:lineRule="auto"/>
        <w:ind w:left="426"/>
        <w:jc w:val="both"/>
        <w:rPr>
          <w:rFonts w:ascii="Arial" w:eastAsia="CMS Y 10" w:hAnsi="Arial" w:cs="Arial"/>
          <w:b/>
          <w:bCs/>
          <w:color w:val="auto"/>
          <w:sz w:val="24"/>
          <w:szCs w:val="24"/>
        </w:rPr>
      </w:pPr>
      <w:r w:rsidRPr="008B4D96">
        <w:rPr>
          <w:rFonts w:ascii="Arial" w:eastAsia="CMS Y 10" w:hAnsi="Arial" w:cs="Arial"/>
          <w:b/>
          <w:bCs/>
          <w:color w:val="auto"/>
          <w:sz w:val="24"/>
          <w:szCs w:val="24"/>
        </w:rPr>
        <w:t>Alpine Fault Earthquake – South Island</w:t>
      </w:r>
    </w:p>
    <w:p w14:paraId="7FC5662B" w14:textId="5A2C9B96"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t xml:space="preserve">The Alpine fault is the longest active fault in NZ, measuring more than 800km, with the largest average long term slip rate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&lt;EndNote&gt;&lt;Cite&gt;&lt;Author&gt;Yetton&lt;/Author&gt;&lt;Year&gt;2000&lt;/Year&gt;&lt;RecNum&gt;207&lt;/RecNum&gt;&lt;DisplayText&gt;(Yetton, 2000)&lt;/DisplayText&gt;&lt;record&gt;&lt;rec-number&gt;207&lt;/rec-number&gt;&lt;foreign-keys&gt;&lt;key app="EN" db-id="s0p2zpapifxv9yep9sf5x929xxwtr5f95aw2" timestamp="1563317781"&gt;207&lt;/key&gt;&lt;key app="ENWeb" db-id=""&gt;0&lt;/key&gt;&lt;/foreign-keys&gt;&lt;ref-type name="Thesis"&gt;32&lt;/ref-type&gt;&lt;contributors&gt;&lt;authors&gt;&lt;author&gt;Mark D. Yetton&lt;/author&gt;&lt;/authors&gt;&lt;/contributors&gt;&lt;titles&gt;&lt;title&gt;The Probability and Consequencies of the next Alpine Fault Earthquake, South Island, New Zealand&lt;/title&gt;&lt;secondary-title&gt;Department of Geological Sciences&lt;/secondary-title&gt;&lt;/titles&gt;&lt;volume&gt;Doctor of Philosophy in Geology&lt;/volume&gt;&lt;dates&gt;&lt;year&gt;2000&lt;/year&gt;&lt;/dates&gt;&lt;publisher&gt;University of Canterbury&lt;/publisher&gt;&lt;urls&gt;&lt;/urls&gt;&lt;/record&gt;&lt;/Cite&gt;&lt;/EndNote&gt;</w:instrText>
      </w:r>
      <w:r w:rsidRPr="008B4D96">
        <w:rPr>
          <w:rFonts w:ascii="Arial" w:hAnsi="Arial" w:cs="Arial"/>
          <w:sz w:val="22"/>
          <w:szCs w:val="22"/>
        </w:rPr>
        <w:fldChar w:fldCharType="separate"/>
      </w:r>
      <w:r w:rsidRPr="008B4D96">
        <w:rPr>
          <w:rFonts w:ascii="Arial" w:hAnsi="Arial" w:cs="Arial"/>
          <w:noProof/>
          <w:sz w:val="22"/>
          <w:szCs w:val="22"/>
        </w:rPr>
        <w:t>(Yetton, 2000)</w:t>
      </w:r>
      <w:r w:rsidRPr="008B4D96">
        <w:rPr>
          <w:rFonts w:ascii="Arial" w:hAnsi="Arial" w:cs="Arial"/>
          <w:sz w:val="22"/>
          <w:szCs w:val="22"/>
        </w:rPr>
        <w:fldChar w:fldCharType="end"/>
      </w:r>
      <w:r w:rsidRPr="008B4D96">
        <w:rPr>
          <w:rFonts w:ascii="Arial" w:hAnsi="Arial" w:cs="Arial"/>
          <w:sz w:val="22"/>
          <w:szCs w:val="22"/>
        </w:rPr>
        <w:t xml:space="preserve">.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AuthorYear="1"&gt;&lt;Author&gt;McCahon&lt;/Author&gt;&lt;Year&gt;2006&lt;/Year&gt;&lt;RecNum&gt;109&lt;/RecNum&gt;&lt;DisplayText&gt;McCahon et al. (2006)&lt;/DisplayText&gt;&lt;record&gt;&lt;rec-number&gt;109&lt;/rec-number&gt;&lt;foreign-keys&gt;&lt;key app="EN" db-id="s0p2zpapifxv9yep9sf5x929xxwtr5f95aw2" timestamp="1550437421"&gt;109&lt;/key&gt;&lt;key app="ENWeb" db-id=""&gt;0&lt;/key&gt;&lt;/foreign-keys&gt;&lt;ref-type name="Report"&gt;27&lt;/ref-type&gt;&lt;contributors&gt;&lt;authors&gt;&lt;author&gt;Ian McCahon&lt;/author&gt;&lt;author&gt;David Elms&lt;/author&gt;&lt;author&gt;Rob Dewhirst&lt;/author&gt;&lt;/authors&gt;&lt;/contributors&gt;&lt;titles&gt;&lt;title&gt;Alpine Fault Earthquake Scenario &amp;amp; Lifelines Vulnerability Assessment&lt;/title&gt;&lt;/titles&gt;&lt;dates&gt;&lt;year&gt;2006&lt;/year&gt;&lt;/dates&gt;&lt;publisher&gt;West Coast Engineering Lifelines Group&lt;/publisher&gt;&lt;urls&gt;&lt;/urls&gt;&lt;/record&gt;&lt;/Cite&gt;&lt;/EndNote&gt;</w:instrText>
      </w:r>
      <w:r w:rsidRPr="008B4D96">
        <w:rPr>
          <w:rFonts w:ascii="Arial" w:hAnsi="Arial" w:cs="Arial"/>
          <w:sz w:val="22"/>
          <w:szCs w:val="22"/>
        </w:rPr>
        <w:fldChar w:fldCharType="separate"/>
      </w:r>
      <w:r w:rsidRPr="008B4D96">
        <w:rPr>
          <w:rFonts w:ascii="Arial" w:hAnsi="Arial" w:cs="Arial"/>
          <w:noProof/>
          <w:sz w:val="22"/>
          <w:szCs w:val="22"/>
        </w:rPr>
        <w:t>McCahon et al. (2006)</w:t>
      </w:r>
      <w:r w:rsidRPr="008B4D96">
        <w:rPr>
          <w:rFonts w:ascii="Arial" w:hAnsi="Arial" w:cs="Arial"/>
          <w:sz w:val="22"/>
          <w:szCs w:val="22"/>
        </w:rPr>
        <w:fldChar w:fldCharType="end"/>
      </w:r>
      <w:r w:rsidRPr="008B4D96">
        <w:rPr>
          <w:rFonts w:ascii="Arial" w:hAnsi="Arial" w:cs="Arial"/>
          <w:sz w:val="22"/>
          <w:szCs w:val="22"/>
        </w:rPr>
        <w:t xml:space="preserve"> stated that the effects of the AF8 earthquake will not be limited to only the West Coast and will, instead, influence the whole of the central South Island, including the main transportation corridors. The most recent study detailing the potential physical impact of an AF8 earthquake on different infrastructure, including energy, telecommunication, water and wastewater, and transportation, was undertaken by </w:t>
      </w:r>
      <w:r w:rsidRPr="008B4D96">
        <w:rPr>
          <w:rFonts w:ascii="Arial" w:hAnsi="Arial" w:cs="Arial"/>
          <w:sz w:val="22"/>
          <w:szCs w:val="22"/>
        </w:rPr>
        <w:fldChar w:fldCharType="begin"/>
      </w:r>
      <w:r w:rsidRPr="008B4D96">
        <w:rPr>
          <w:rFonts w:ascii="Arial" w:hAnsi="Arial" w:cs="Arial"/>
          <w:sz w:val="22"/>
          <w:szCs w:val="22"/>
        </w:rPr>
        <w:instrText xml:space="preserve"> ADDIN EN.CITE &lt;EndNote&gt;&lt;Cite AuthorYear="1"&gt;&lt;Author&gt;Davies&lt;/Author&gt;&lt;Year&gt;2019&lt;/Year&gt;&lt;RecNum&gt;210&lt;/RecNum&gt;&lt;DisplayText&gt;Davies (2019)&lt;/DisplayText&gt;&lt;record&gt;&lt;rec-number&gt;210&lt;/rec-number&gt;&lt;foreign-keys&gt;&lt;key app="EN" db-id="s0p2zpapifxv9yep9sf5x929xxwtr5f95aw2" timestamp="1563927085"&gt;210&lt;/key&gt;&lt;key app="ENWeb" db-id=""&gt;0&lt;/key&gt;&lt;/foreign-keys&gt;&lt;ref-type name="Thesis"&gt;32&lt;/ref-type&gt;&lt;contributors&gt;&lt;authors&gt;&lt;author&gt;Alistair Davies&lt;/author&gt;&lt;/authors&gt;&lt;/contributors&gt;&lt;titles&gt;&lt;title&gt;Increasing the disaster resilience of remote communities through scenario co-creation&lt;/title&gt;&lt;secondary-title&gt;Department of Geological Sciences&lt;/secondary-title&gt;&lt;/titles&gt;&lt;volume&gt;Doctor of Philosophy&lt;/volume&gt;&lt;dates&gt;&lt;year&gt;2019&lt;/year&gt;&lt;/dates&gt;&lt;publisher&gt;University of Canterbury&lt;/publisher&gt;&lt;urls&gt;&lt;/urls&gt;&lt;/record&gt;&lt;/Cite&gt;&lt;/EndNote&gt;</w:instrText>
      </w:r>
      <w:r w:rsidRPr="008B4D96">
        <w:rPr>
          <w:rFonts w:ascii="Arial" w:hAnsi="Arial" w:cs="Arial"/>
          <w:sz w:val="22"/>
          <w:szCs w:val="22"/>
        </w:rPr>
        <w:fldChar w:fldCharType="separate"/>
      </w:r>
      <w:r w:rsidRPr="008B4D96">
        <w:rPr>
          <w:rFonts w:ascii="Arial" w:hAnsi="Arial" w:cs="Arial"/>
          <w:noProof/>
          <w:sz w:val="22"/>
          <w:szCs w:val="22"/>
        </w:rPr>
        <w:t>Davies (2019)</w:t>
      </w:r>
      <w:r w:rsidRPr="008B4D96">
        <w:rPr>
          <w:rFonts w:ascii="Arial" w:hAnsi="Arial" w:cs="Arial"/>
          <w:sz w:val="22"/>
          <w:szCs w:val="22"/>
        </w:rPr>
        <w:fldChar w:fldCharType="end"/>
      </w:r>
      <w:r w:rsidRPr="008B4D96">
        <w:rPr>
          <w:rFonts w:ascii="Arial" w:hAnsi="Arial" w:cs="Arial"/>
          <w:sz w:val="22"/>
          <w:szCs w:val="22"/>
        </w:rPr>
        <w:t xml:space="preserve">. The ten time-steps, measured from the initial event, were one day, one week (7 days), one month (30 days), six months (183 days), one year (365 days), two years (730 days), three years (1095 days), four years (1461 days), five years (1826 days), and ten years (3652 days). Five of the scenarios are represented in Figure 4, namely one day, one week, one month, six months, and beyond six months after the earthquake. To remove ambiguity in the time span it is assumed that the beyond six months scenario will occur one-year post-disaster. For this paper, it is also assumed that one-year post-disaster is the new normal and the end of the recovery process. </w:t>
      </w:r>
    </w:p>
    <w:p w14:paraId="52ED82AB" w14:textId="77777777" w:rsidR="00B56A0F" w:rsidRPr="008B4D96" w:rsidRDefault="00B56A0F" w:rsidP="00B56A0F">
      <w:pPr>
        <w:spacing w:before="120" w:line="264" w:lineRule="auto"/>
        <w:jc w:val="center"/>
        <w:rPr>
          <w:rFonts w:ascii="Arial" w:hAnsi="Arial" w:cs="Arial"/>
          <w:sz w:val="22"/>
          <w:szCs w:val="22"/>
        </w:rPr>
      </w:pPr>
      <w:r w:rsidRPr="008B4D96">
        <w:rPr>
          <w:rFonts w:ascii="Arial" w:hAnsi="Arial" w:cs="Arial"/>
          <w:noProof/>
          <w:sz w:val="22"/>
          <w:szCs w:val="22"/>
          <w:lang w:eastAsia="en-NZ"/>
        </w:rPr>
        <w:drawing>
          <wp:inline distT="0" distB="0" distL="0" distR="0" wp14:anchorId="00250418" wp14:editId="3478EFDB">
            <wp:extent cx="3513124" cy="2487168"/>
            <wp:effectExtent l="0" t="0" r="0" b="8890"/>
            <wp:docPr id="4" name="Picture 4" descr="A map of the portuguese coa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portuguese coas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160" cy="2575689"/>
                    </a:xfrm>
                    <a:prstGeom prst="rect">
                      <a:avLst/>
                    </a:prstGeom>
                  </pic:spPr>
                </pic:pic>
              </a:graphicData>
            </a:graphic>
          </wp:inline>
        </w:drawing>
      </w:r>
    </w:p>
    <w:p w14:paraId="7CBACE7B" w14:textId="77777777" w:rsidR="00B56A0F" w:rsidRPr="008B4D96" w:rsidRDefault="00B56A0F" w:rsidP="00B56A0F">
      <w:pPr>
        <w:pStyle w:val="Caption"/>
        <w:spacing w:before="120" w:after="0" w:line="264" w:lineRule="auto"/>
        <w:jc w:val="center"/>
        <w:rPr>
          <w:rFonts w:ascii="Arial" w:hAnsi="Arial" w:cs="Arial"/>
          <w:i w:val="0"/>
          <w:color w:val="auto"/>
          <w:sz w:val="20"/>
          <w:szCs w:val="20"/>
        </w:rPr>
      </w:pPr>
      <w:bookmarkStart w:id="15" w:name="_Ref14947545"/>
      <w:r w:rsidRPr="00E34AEB">
        <w:rPr>
          <w:rFonts w:ascii="Arial" w:hAnsi="Arial" w:cs="Arial"/>
          <w:i w:val="0"/>
          <w:color w:val="auto"/>
        </w:rPr>
        <w:t xml:space="preserve">Figure </w:t>
      </w:r>
      <w:r w:rsidRPr="00E34AEB">
        <w:rPr>
          <w:rFonts w:ascii="Arial" w:hAnsi="Arial" w:cs="Arial"/>
          <w:i w:val="0"/>
          <w:color w:val="auto"/>
        </w:rPr>
        <w:fldChar w:fldCharType="begin"/>
      </w:r>
      <w:r w:rsidRPr="00E34AEB">
        <w:rPr>
          <w:rFonts w:ascii="Arial" w:hAnsi="Arial" w:cs="Arial"/>
          <w:i w:val="0"/>
          <w:color w:val="auto"/>
        </w:rPr>
        <w:instrText xml:space="preserve"> SEQ Figure \* ARABIC </w:instrText>
      </w:r>
      <w:r w:rsidRPr="00E34AEB">
        <w:rPr>
          <w:rFonts w:ascii="Arial" w:hAnsi="Arial" w:cs="Arial"/>
          <w:i w:val="0"/>
          <w:color w:val="auto"/>
        </w:rPr>
        <w:fldChar w:fldCharType="separate"/>
      </w:r>
      <w:r w:rsidRPr="00E34AEB">
        <w:rPr>
          <w:rFonts w:ascii="Arial" w:hAnsi="Arial" w:cs="Arial"/>
          <w:i w:val="0"/>
          <w:noProof/>
          <w:color w:val="auto"/>
        </w:rPr>
        <w:t>2</w:t>
      </w:r>
      <w:r w:rsidRPr="00E34AEB">
        <w:rPr>
          <w:rFonts w:ascii="Arial" w:hAnsi="Arial" w:cs="Arial"/>
          <w:i w:val="0"/>
          <w:color w:val="auto"/>
        </w:rPr>
        <w:fldChar w:fldCharType="end"/>
      </w:r>
      <w:bookmarkEnd w:id="15"/>
      <w:r w:rsidRPr="00E34AEB">
        <w:rPr>
          <w:rFonts w:ascii="Arial" w:hAnsi="Arial" w:cs="Arial"/>
          <w:i w:val="0"/>
          <w:color w:val="auto"/>
        </w:rPr>
        <w:t xml:space="preserve">: Expected Level of Services of the Road Network in Five Time Steps for AF8+ Scenarios </w:t>
      </w:r>
      <w:r w:rsidRPr="00E34AEB">
        <w:rPr>
          <w:rFonts w:ascii="Arial" w:hAnsi="Arial" w:cs="Arial"/>
          <w:i w:val="0"/>
          <w:color w:val="auto"/>
        </w:rPr>
        <w:fldChar w:fldCharType="begin"/>
      </w:r>
      <w:r w:rsidRPr="00E34AEB">
        <w:rPr>
          <w:rFonts w:ascii="Arial" w:hAnsi="Arial" w:cs="Arial"/>
          <w:i w:val="0"/>
          <w:color w:val="auto"/>
        </w:rPr>
        <w:instrText xml:space="preserve"> ADDIN EN.CITE &lt;EndNote&gt;&lt;Cite&gt;&lt;Author&gt;Davies&lt;/Author&gt;&lt;Year&gt;2019&lt;/Year&gt;&lt;RecNum&gt;210&lt;/RecNum&gt;&lt;DisplayText&gt;(Davies, 2019)&lt;/DisplayText&gt;&lt;record&gt;&lt;rec-number&gt;210&lt;/rec-number&gt;&lt;foreign-keys&gt;&lt;key app="EN" db-id="s0p2zpapifxv9yep9sf5x929xxwtr5f95aw2" timestamp="1563927085"&gt;210&lt;/key&gt;&lt;key app="ENWeb" db-id=""&gt;0&lt;/key&gt;&lt;/foreign-keys&gt;&lt;ref-type name="Thesis"&gt;32&lt;/ref-type&gt;&lt;contributors&gt;&lt;authors&gt;&lt;author&gt;Alistair Davies&lt;/author&gt;&lt;/authors&gt;&lt;/contributors&gt;&lt;titles&gt;&lt;title&gt;Increasing the disaster resilience of remote communities through scenario co-creation&lt;/title&gt;&lt;secondary-title&gt;Department of Geological Sciences&lt;/secondary-title&gt;&lt;/titles&gt;&lt;volume&gt;Doctor of Philosophy&lt;/volume&gt;&lt;dates&gt;&lt;year&gt;2019&lt;/year&gt;&lt;/dates&gt;&lt;publisher&gt;University of Canterbury&lt;/publisher&gt;&lt;urls&gt;&lt;/urls&gt;&lt;/record&gt;&lt;/Cite&gt;&lt;/EndNote&gt;</w:instrText>
      </w:r>
      <w:r w:rsidRPr="00E34AEB">
        <w:rPr>
          <w:rFonts w:ascii="Arial" w:hAnsi="Arial" w:cs="Arial"/>
          <w:i w:val="0"/>
          <w:color w:val="auto"/>
        </w:rPr>
        <w:fldChar w:fldCharType="separate"/>
      </w:r>
      <w:r w:rsidRPr="00E34AEB">
        <w:rPr>
          <w:rFonts w:ascii="Arial" w:hAnsi="Arial" w:cs="Arial"/>
          <w:i w:val="0"/>
          <w:noProof/>
          <w:color w:val="auto"/>
        </w:rPr>
        <w:t>(Davies, 2019)</w:t>
      </w:r>
      <w:r w:rsidRPr="00E34AEB">
        <w:rPr>
          <w:rFonts w:ascii="Arial" w:hAnsi="Arial" w:cs="Arial"/>
          <w:i w:val="0"/>
          <w:color w:val="auto"/>
        </w:rPr>
        <w:fldChar w:fldCharType="end"/>
      </w:r>
      <w:r w:rsidRPr="008B4D96">
        <w:rPr>
          <w:rFonts w:ascii="Arial" w:hAnsi="Arial" w:cs="Arial"/>
          <w:i w:val="0"/>
          <w:color w:val="auto"/>
          <w:sz w:val="20"/>
          <w:szCs w:val="20"/>
        </w:rPr>
        <w:t xml:space="preserve"> </w:t>
      </w:r>
    </w:p>
    <w:p w14:paraId="25904842" w14:textId="77777777" w:rsidR="00B56A0F" w:rsidRPr="008B4D96" w:rsidRDefault="00B56A0F" w:rsidP="00B56A0F">
      <w:pPr>
        <w:spacing w:before="120" w:line="264" w:lineRule="auto"/>
        <w:jc w:val="both"/>
        <w:rPr>
          <w:rFonts w:ascii="Arial" w:hAnsi="Arial" w:cs="Arial"/>
          <w:sz w:val="22"/>
          <w:szCs w:val="22"/>
        </w:rPr>
      </w:pPr>
      <w:r w:rsidRPr="008B4D96">
        <w:rPr>
          <w:rFonts w:ascii="Arial" w:hAnsi="Arial" w:cs="Arial"/>
          <w:sz w:val="22"/>
          <w:szCs w:val="22"/>
        </w:rPr>
        <w:lastRenderedPageBreak/>
        <w:fldChar w:fldCharType="begin"/>
      </w:r>
      <w:r w:rsidRPr="008B4D96">
        <w:rPr>
          <w:rFonts w:ascii="Arial" w:hAnsi="Arial" w:cs="Arial"/>
          <w:sz w:val="22"/>
          <w:szCs w:val="22"/>
        </w:rPr>
        <w:instrText xml:space="preserve"> REF _Ref55339188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3</w:t>
      </w:r>
      <w:r w:rsidRPr="008B4D96">
        <w:rPr>
          <w:rFonts w:ascii="Arial" w:hAnsi="Arial" w:cs="Arial"/>
          <w:sz w:val="22"/>
          <w:szCs w:val="22"/>
        </w:rPr>
        <w:fldChar w:fldCharType="end"/>
      </w:r>
      <w:r w:rsidRPr="008B4D96">
        <w:rPr>
          <w:rFonts w:ascii="Arial" w:hAnsi="Arial" w:cs="Arial"/>
          <w:sz w:val="22"/>
          <w:szCs w:val="22"/>
        </w:rPr>
        <w:t xml:space="preserve"> shows the robustness, reliability, and resilience of trips on the whole network, as well as from the three most impacted districts, namely Grey, Buller, and Westland, to all other districts. To provide some context, the total number of BAU trips from all districts, Grey, Buller, and Westland are 637620, 12689, 5469, and 3223, respectively. The whole </w:t>
      </w:r>
      <w:proofErr w:type="gramStart"/>
      <w:r w:rsidRPr="008B4D96">
        <w:rPr>
          <w:rFonts w:ascii="Arial" w:hAnsi="Arial" w:cs="Arial"/>
          <w:sz w:val="22"/>
          <w:szCs w:val="22"/>
        </w:rPr>
        <w:t>South Island road</w:t>
      </w:r>
      <w:proofErr w:type="gramEnd"/>
      <w:r w:rsidRPr="008B4D96">
        <w:rPr>
          <w:rFonts w:ascii="Arial" w:hAnsi="Arial" w:cs="Arial"/>
          <w:sz w:val="22"/>
          <w:szCs w:val="22"/>
        </w:rPr>
        <w:t xml:space="preserve"> network resilience, presented in </w:t>
      </w:r>
      <w:r w:rsidRPr="008B4D96">
        <w:rPr>
          <w:rFonts w:ascii="Arial" w:hAnsi="Arial" w:cs="Arial"/>
          <w:sz w:val="22"/>
          <w:szCs w:val="22"/>
        </w:rPr>
        <w:fldChar w:fldCharType="begin"/>
      </w:r>
      <w:r w:rsidRPr="008B4D96">
        <w:rPr>
          <w:rFonts w:ascii="Arial" w:hAnsi="Arial" w:cs="Arial"/>
          <w:sz w:val="22"/>
          <w:szCs w:val="22"/>
        </w:rPr>
        <w:instrText xml:space="preserve"> REF _Ref55339188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3</w:t>
      </w:r>
      <w:r w:rsidRPr="008B4D96">
        <w:rPr>
          <w:rFonts w:ascii="Arial" w:hAnsi="Arial" w:cs="Arial"/>
          <w:sz w:val="22"/>
          <w:szCs w:val="22"/>
        </w:rPr>
        <w:fldChar w:fldCharType="end"/>
      </w:r>
      <w:r w:rsidRPr="008B4D96">
        <w:rPr>
          <w:rFonts w:ascii="Arial" w:hAnsi="Arial" w:cs="Arial"/>
          <w:sz w:val="22"/>
          <w:szCs w:val="22"/>
        </w:rPr>
        <w:t xml:space="preserve">a, considers all impacted and non-impacted trips on the network. </w:t>
      </w:r>
      <w:proofErr w:type="gramStart"/>
      <w:r w:rsidRPr="008B4D96">
        <w:rPr>
          <w:rFonts w:ascii="Arial" w:hAnsi="Arial" w:cs="Arial"/>
          <w:sz w:val="22"/>
          <w:szCs w:val="22"/>
        </w:rPr>
        <w:t>It can be seen that the</w:t>
      </w:r>
      <w:proofErr w:type="gramEnd"/>
      <w:r w:rsidRPr="008B4D96">
        <w:rPr>
          <w:rFonts w:ascii="Arial" w:hAnsi="Arial" w:cs="Arial"/>
          <w:sz w:val="22"/>
          <w:szCs w:val="22"/>
        </w:rPr>
        <w:t xml:space="preserve"> number of eliminated trips one day after the earthquake is around 2% of total BAU trips, and therefore, the network robustness drops to 98% followed by a further 1% reduction due to the lack of equivalent alternative routes, returning a reliability value of 97% for the whole road network. The reliability slightly rises to 98% after a week as more trips occur and robustness increases, with no further change for a month. With the reopening of SH65 and SH7 (Lewis Pass) six months post-disaster, almost all trips can occur. A negligible proportion of trips, compared to the total number of trips on the whole network, would occur with increased travel time. The reliability increases to 99% one year after the earthquake. Given that many local and inter-district trips network-wide (around 98%) will not be impacted by AF8, the </w:t>
      </w:r>
      <w:r w:rsidRPr="008B4D96">
        <w:rPr>
          <w:rFonts w:ascii="Arial" w:hAnsi="Arial" w:cs="Arial"/>
          <w:i/>
          <w:sz w:val="22"/>
          <w:szCs w:val="22"/>
        </w:rPr>
        <w:t>TR</w:t>
      </w:r>
      <w:r w:rsidRPr="008B4D96">
        <w:rPr>
          <w:rFonts w:ascii="Arial" w:hAnsi="Arial" w:cs="Arial"/>
          <w:sz w:val="22"/>
          <w:szCs w:val="22"/>
        </w:rPr>
        <w:t xml:space="preserve"> and </w:t>
      </w:r>
      <w:r w:rsidRPr="008B4D96">
        <w:rPr>
          <w:rFonts w:ascii="Arial" w:hAnsi="Arial" w:cs="Arial"/>
          <w:i/>
          <w:sz w:val="22"/>
          <w:szCs w:val="22"/>
        </w:rPr>
        <w:t>NTR</w:t>
      </w:r>
      <w:r w:rsidRPr="008B4D96">
        <w:rPr>
          <w:rFonts w:ascii="Arial" w:hAnsi="Arial" w:cs="Arial"/>
          <w:sz w:val="22"/>
          <w:szCs w:val="22"/>
        </w:rPr>
        <w:t xml:space="preserve"> of the whole network after one year of recovery are 357 units and 98%, respectively.  </w:t>
      </w:r>
    </w:p>
    <w:p w14:paraId="47530528" w14:textId="77777777" w:rsidR="00B56A0F" w:rsidRPr="008B4D96" w:rsidRDefault="00B56A0F" w:rsidP="00B56A0F">
      <w:pPr>
        <w:spacing w:before="120" w:line="264" w:lineRule="auto"/>
        <w:jc w:val="both"/>
        <w:rPr>
          <w:rFonts w:ascii="Arial" w:hAnsi="Arial" w:cs="Arial"/>
          <w:noProof/>
          <w:sz w:val="18"/>
          <w:szCs w:val="18"/>
          <w:lang w:eastAsia="en-NZ"/>
        </w:rPr>
      </w:pPr>
      <w:r w:rsidRPr="008B4D96">
        <w:rPr>
          <w:rFonts w:ascii="Arial" w:hAnsi="Arial" w:cs="Arial"/>
          <w:sz w:val="18"/>
          <w:szCs w:val="18"/>
        </w:rPr>
        <w:t>a)</w:t>
      </w:r>
      <w:r w:rsidRPr="008B4D96">
        <w:rPr>
          <w:rFonts w:ascii="Arial" w:hAnsi="Arial" w:cs="Arial"/>
          <w:noProof/>
          <w:sz w:val="18"/>
          <w:szCs w:val="18"/>
          <w:lang w:eastAsia="en-NZ"/>
        </w:rPr>
        <w:drawing>
          <wp:inline distT="0" distB="0" distL="0" distR="0" wp14:anchorId="4601AA38" wp14:editId="48EC0AD3">
            <wp:extent cx="2731477" cy="1301131"/>
            <wp:effectExtent l="0" t="0" r="0" b="0"/>
            <wp:docPr id="1790809378" name="Picture 1790809378" descr="A diagram of recovery time and recovery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09378" name="Picture 1790809378" descr="A diagram of recovery time and recovery tim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020" cy="1351883"/>
                    </a:xfrm>
                    <a:prstGeom prst="rect">
                      <a:avLst/>
                    </a:prstGeom>
                    <a:noFill/>
                  </pic:spPr>
                </pic:pic>
              </a:graphicData>
            </a:graphic>
          </wp:inline>
        </w:drawing>
      </w:r>
      <w:r w:rsidRPr="008B4D96">
        <w:rPr>
          <w:rFonts w:ascii="Arial" w:hAnsi="Arial" w:cs="Arial"/>
          <w:noProof/>
          <w:sz w:val="18"/>
          <w:szCs w:val="18"/>
          <w:lang w:eastAsia="en-NZ"/>
        </w:rPr>
        <w:t>b)</w:t>
      </w:r>
      <w:r w:rsidRPr="008B4D96">
        <w:rPr>
          <w:rFonts w:ascii="Arial" w:hAnsi="Arial" w:cs="Arial"/>
          <w:noProof/>
          <w:sz w:val="18"/>
          <w:szCs w:val="18"/>
          <w:lang w:eastAsia="en-NZ"/>
        </w:rPr>
        <w:drawing>
          <wp:inline distT="0" distB="0" distL="0" distR="0" wp14:anchorId="22680A62" wp14:editId="0C632141">
            <wp:extent cx="2772508" cy="1324482"/>
            <wp:effectExtent l="0" t="0" r="0" b="9525"/>
            <wp:docPr id="5" name="Picture 5" descr="A graph of recovery time and resili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recovery time and resilien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8965" cy="1361007"/>
                    </a:xfrm>
                    <a:prstGeom prst="rect">
                      <a:avLst/>
                    </a:prstGeom>
                    <a:noFill/>
                  </pic:spPr>
                </pic:pic>
              </a:graphicData>
            </a:graphic>
          </wp:inline>
        </w:drawing>
      </w:r>
      <w:r w:rsidRPr="008B4D96">
        <w:rPr>
          <w:rFonts w:ascii="Arial" w:hAnsi="Arial" w:cs="Arial"/>
          <w:noProof/>
          <w:sz w:val="18"/>
          <w:szCs w:val="18"/>
          <w:lang w:eastAsia="en-NZ"/>
        </w:rPr>
        <w:t xml:space="preserve"> </w:t>
      </w:r>
    </w:p>
    <w:p w14:paraId="56F9BCA0" w14:textId="77777777" w:rsidR="00B56A0F" w:rsidRPr="008B4D96" w:rsidRDefault="00B56A0F" w:rsidP="00B56A0F">
      <w:pPr>
        <w:spacing w:before="120" w:line="264" w:lineRule="auto"/>
        <w:jc w:val="both"/>
        <w:rPr>
          <w:rFonts w:ascii="Arial" w:hAnsi="Arial" w:cs="Arial"/>
          <w:noProof/>
          <w:sz w:val="18"/>
          <w:szCs w:val="18"/>
          <w:lang w:eastAsia="en-NZ"/>
        </w:rPr>
      </w:pPr>
      <w:r w:rsidRPr="008B4D96">
        <w:rPr>
          <w:rFonts w:ascii="Arial" w:hAnsi="Arial" w:cs="Arial"/>
          <w:sz w:val="18"/>
          <w:szCs w:val="18"/>
        </w:rPr>
        <w:t>c)</w:t>
      </w:r>
      <w:r w:rsidRPr="008B4D96">
        <w:rPr>
          <w:rFonts w:ascii="Arial" w:hAnsi="Arial" w:cs="Arial"/>
          <w:noProof/>
          <w:sz w:val="18"/>
          <w:szCs w:val="18"/>
          <w:lang w:eastAsia="en-NZ"/>
        </w:rPr>
        <w:drawing>
          <wp:inline distT="0" distB="0" distL="0" distR="0" wp14:anchorId="51FF714F" wp14:editId="4FAAD477">
            <wp:extent cx="2651760" cy="1355969"/>
            <wp:effectExtent l="0" t="0" r="0" b="0"/>
            <wp:docPr id="6" name="Picture 6" descr="A graph showing a recovery time and recovery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showing a recovery time and recovery tim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9417" cy="1370112"/>
                    </a:xfrm>
                    <a:prstGeom prst="rect">
                      <a:avLst/>
                    </a:prstGeom>
                    <a:noFill/>
                  </pic:spPr>
                </pic:pic>
              </a:graphicData>
            </a:graphic>
          </wp:inline>
        </w:drawing>
      </w:r>
      <w:r w:rsidRPr="008B4D96">
        <w:rPr>
          <w:rFonts w:ascii="Arial" w:hAnsi="Arial" w:cs="Arial"/>
          <w:noProof/>
          <w:sz w:val="18"/>
          <w:szCs w:val="18"/>
          <w:lang w:eastAsia="en-NZ"/>
        </w:rPr>
        <w:t xml:space="preserve"> d)</w:t>
      </w:r>
      <w:r w:rsidRPr="008B4D96">
        <w:rPr>
          <w:rFonts w:ascii="Arial" w:hAnsi="Arial" w:cs="Arial"/>
          <w:noProof/>
          <w:sz w:val="18"/>
          <w:szCs w:val="18"/>
          <w:lang w:eastAsia="en-NZ"/>
        </w:rPr>
        <w:drawing>
          <wp:inline distT="0" distB="0" distL="0" distR="0" wp14:anchorId="67A5C13B" wp14:editId="5CF2D2C4">
            <wp:extent cx="2815675" cy="1365738"/>
            <wp:effectExtent l="0" t="0" r="3810" b="6350"/>
            <wp:docPr id="9" name="Picture 9" descr="A graph showing recovery time and resili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recovery time and resilien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8927" cy="1381867"/>
                    </a:xfrm>
                    <a:prstGeom prst="rect">
                      <a:avLst/>
                    </a:prstGeom>
                    <a:noFill/>
                  </pic:spPr>
                </pic:pic>
              </a:graphicData>
            </a:graphic>
          </wp:inline>
        </w:drawing>
      </w:r>
      <w:r w:rsidRPr="008B4D96">
        <w:rPr>
          <w:rFonts w:ascii="Arial" w:hAnsi="Arial" w:cs="Arial"/>
          <w:noProof/>
          <w:sz w:val="18"/>
          <w:szCs w:val="18"/>
          <w:lang w:eastAsia="en-NZ"/>
        </w:rPr>
        <w:t xml:space="preserve"> </w:t>
      </w:r>
    </w:p>
    <w:p w14:paraId="45C631F2" w14:textId="77777777" w:rsidR="00B56A0F" w:rsidRPr="008B4D96" w:rsidRDefault="00B56A0F" w:rsidP="00B56A0F">
      <w:pPr>
        <w:pStyle w:val="Caption"/>
        <w:spacing w:before="120" w:after="0" w:line="264" w:lineRule="auto"/>
        <w:jc w:val="center"/>
        <w:rPr>
          <w:rFonts w:ascii="Arial" w:hAnsi="Arial" w:cs="Arial"/>
          <w:i w:val="0"/>
          <w:color w:val="auto"/>
          <w:sz w:val="20"/>
          <w:szCs w:val="20"/>
        </w:rPr>
      </w:pPr>
      <w:bookmarkStart w:id="16" w:name="_Ref55339188"/>
      <w:r w:rsidRPr="008B4D96">
        <w:rPr>
          <w:rFonts w:ascii="Arial" w:hAnsi="Arial" w:cs="Arial"/>
          <w:i w:val="0"/>
          <w:color w:val="auto"/>
          <w:sz w:val="20"/>
          <w:szCs w:val="20"/>
        </w:rPr>
        <w:t xml:space="preserve">Figure </w:t>
      </w:r>
      <w:r w:rsidRPr="008B4D96">
        <w:rPr>
          <w:rFonts w:ascii="Arial" w:hAnsi="Arial" w:cs="Arial"/>
          <w:i w:val="0"/>
          <w:color w:val="auto"/>
          <w:sz w:val="20"/>
          <w:szCs w:val="20"/>
        </w:rPr>
        <w:fldChar w:fldCharType="begin"/>
      </w:r>
      <w:r w:rsidRPr="008B4D96">
        <w:rPr>
          <w:rFonts w:ascii="Arial" w:hAnsi="Arial" w:cs="Arial"/>
          <w:i w:val="0"/>
          <w:color w:val="auto"/>
          <w:sz w:val="20"/>
          <w:szCs w:val="20"/>
        </w:rPr>
        <w:instrText xml:space="preserve"> SEQ Figure \* ARABIC </w:instrText>
      </w:r>
      <w:r w:rsidRPr="008B4D96">
        <w:rPr>
          <w:rFonts w:ascii="Arial" w:hAnsi="Arial" w:cs="Arial"/>
          <w:i w:val="0"/>
          <w:color w:val="auto"/>
          <w:sz w:val="20"/>
          <w:szCs w:val="20"/>
        </w:rPr>
        <w:fldChar w:fldCharType="separate"/>
      </w:r>
      <w:r w:rsidRPr="008B4D96">
        <w:rPr>
          <w:rFonts w:ascii="Arial" w:hAnsi="Arial" w:cs="Arial"/>
          <w:i w:val="0"/>
          <w:noProof/>
          <w:color w:val="auto"/>
          <w:sz w:val="20"/>
          <w:szCs w:val="20"/>
        </w:rPr>
        <w:t>3</w:t>
      </w:r>
      <w:r w:rsidRPr="008B4D96">
        <w:rPr>
          <w:rFonts w:ascii="Arial" w:hAnsi="Arial" w:cs="Arial"/>
          <w:i w:val="0"/>
          <w:color w:val="auto"/>
          <w:sz w:val="20"/>
          <w:szCs w:val="20"/>
        </w:rPr>
        <w:fldChar w:fldCharType="end"/>
      </w:r>
      <w:bookmarkEnd w:id="16"/>
      <w:r w:rsidRPr="008B4D96">
        <w:rPr>
          <w:rFonts w:ascii="Arial" w:hAnsi="Arial" w:cs="Arial"/>
          <w:i w:val="0"/>
          <w:color w:val="auto"/>
          <w:sz w:val="20"/>
          <w:szCs w:val="20"/>
        </w:rPr>
        <w:t xml:space="preserve">: Robustness, Reliability and Resilience of Trips a) on the whole network b) from Grey District c) from Buller District d) from Westland District </w:t>
      </w:r>
    </w:p>
    <w:p w14:paraId="5F435D1A" w14:textId="77777777" w:rsidR="00E34AEB" w:rsidRDefault="00E34AEB" w:rsidP="00E34AEB">
      <w:pPr>
        <w:spacing w:before="120" w:line="264" w:lineRule="auto"/>
        <w:jc w:val="both"/>
        <w:rPr>
          <w:rFonts w:ascii="Arial" w:hAnsi="Arial" w:cs="Arial"/>
          <w:sz w:val="22"/>
          <w:szCs w:val="22"/>
        </w:rPr>
      </w:pPr>
      <w:r w:rsidRPr="008B4D96">
        <w:rPr>
          <w:rFonts w:ascii="Arial" w:hAnsi="Arial" w:cs="Arial"/>
          <w:sz w:val="22"/>
          <w:szCs w:val="22"/>
        </w:rPr>
        <w:t xml:space="preserve">Referring to </w:t>
      </w:r>
      <w:r w:rsidRPr="008B4D96">
        <w:rPr>
          <w:rFonts w:ascii="Arial" w:hAnsi="Arial" w:cs="Arial"/>
          <w:sz w:val="22"/>
          <w:szCs w:val="22"/>
        </w:rPr>
        <w:fldChar w:fldCharType="begin"/>
      </w:r>
      <w:r w:rsidRPr="008B4D96">
        <w:rPr>
          <w:rFonts w:ascii="Arial" w:hAnsi="Arial" w:cs="Arial"/>
          <w:sz w:val="22"/>
          <w:szCs w:val="22"/>
        </w:rPr>
        <w:instrText xml:space="preserve"> REF _Ref55339188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3</w:t>
      </w:r>
      <w:r w:rsidRPr="008B4D96">
        <w:rPr>
          <w:rFonts w:ascii="Arial" w:hAnsi="Arial" w:cs="Arial"/>
          <w:sz w:val="22"/>
          <w:szCs w:val="22"/>
        </w:rPr>
        <w:fldChar w:fldCharType="end"/>
      </w:r>
      <w:r w:rsidRPr="008B4D96">
        <w:rPr>
          <w:rFonts w:ascii="Arial" w:hAnsi="Arial" w:cs="Arial"/>
          <w:sz w:val="22"/>
          <w:szCs w:val="22"/>
        </w:rPr>
        <w:t xml:space="preserve">b, 5c, and 5d, the impact of eliminated trips is significant in the three most impacted districts immediately after the earthquake, where the reliability drops to around 50% in all cases. Most of the remaining trips, predominantly intra-district trips, would occur with no increased travel time and, therefore, the reliability would decrease primarily due to eliminated trips. Reliability for Grey and Westland districts increases after a week, due to increased accessibility, mostly within districts, with no further change for a month. However, the reliability for Buller remains relatively unchanged. With the reopening of SH65 and SH7 (Lewis Pass) after six months, the robustness increases for all three districts – significantly in the case of Buller and Westland. While this provides more accessibility for </w:t>
      </w:r>
      <w:proofErr w:type="gramStart"/>
      <w:r w:rsidRPr="008B4D96">
        <w:rPr>
          <w:rFonts w:ascii="Arial" w:hAnsi="Arial" w:cs="Arial"/>
          <w:sz w:val="22"/>
          <w:szCs w:val="22"/>
        </w:rPr>
        <w:t>a number of</w:t>
      </w:r>
      <w:proofErr w:type="gramEnd"/>
      <w:r w:rsidRPr="008B4D96">
        <w:rPr>
          <w:rFonts w:ascii="Arial" w:hAnsi="Arial" w:cs="Arial"/>
          <w:sz w:val="22"/>
          <w:szCs w:val="22"/>
        </w:rPr>
        <w:t xml:space="preserve"> TZs, a proportion of the regenerated trips will be required to take a longer alternative route, resulting in increased travel time and, therefore, reduced redundancy. This is evident in </w:t>
      </w:r>
      <w:r w:rsidRPr="008B4D96">
        <w:rPr>
          <w:rFonts w:ascii="Arial" w:hAnsi="Arial" w:cs="Arial"/>
          <w:sz w:val="22"/>
          <w:szCs w:val="22"/>
        </w:rPr>
        <w:fldChar w:fldCharType="begin"/>
      </w:r>
      <w:r w:rsidRPr="008B4D96">
        <w:rPr>
          <w:rFonts w:ascii="Arial" w:hAnsi="Arial" w:cs="Arial"/>
          <w:sz w:val="22"/>
          <w:szCs w:val="22"/>
        </w:rPr>
        <w:instrText xml:space="preserve"> REF _Ref55339188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3</w:t>
      </w:r>
      <w:r w:rsidRPr="008B4D96">
        <w:rPr>
          <w:rFonts w:ascii="Arial" w:hAnsi="Arial" w:cs="Arial"/>
          <w:sz w:val="22"/>
          <w:szCs w:val="22"/>
        </w:rPr>
        <w:fldChar w:fldCharType="end"/>
      </w:r>
      <w:r w:rsidRPr="008B4D96">
        <w:rPr>
          <w:rFonts w:ascii="Arial" w:hAnsi="Arial" w:cs="Arial"/>
          <w:sz w:val="22"/>
          <w:szCs w:val="22"/>
        </w:rPr>
        <w:t>, particularly for Westland, where the proportion of the impact on reliability due to increased travel time increases, relative to that from eliminated trips. This is particularly pronounced in Westland as trips outside of the West Coast Region are required to first head north on SH6 and then across on SH7 (Lewis Pass) due to the continued closure of SH6 south of Franz Josef and SH73 (Arthur’s Pass). After one year, the reliability improves further for Buller</w:t>
      </w:r>
      <w:proofErr w:type="gramStart"/>
      <w:r w:rsidRPr="008B4D96">
        <w:rPr>
          <w:rFonts w:ascii="Arial" w:hAnsi="Arial" w:cs="Arial"/>
          <w:sz w:val="22"/>
          <w:szCs w:val="22"/>
        </w:rPr>
        <w:t>, in particular, with</w:t>
      </w:r>
      <w:proofErr w:type="gramEnd"/>
      <w:r w:rsidRPr="008B4D96">
        <w:rPr>
          <w:rFonts w:ascii="Arial" w:hAnsi="Arial" w:cs="Arial"/>
          <w:sz w:val="22"/>
          <w:szCs w:val="22"/>
        </w:rPr>
        <w:t xml:space="preserve"> the opening of SH 67 linking Westport with Karamea and a section of SH63 East of Murchison.</w:t>
      </w:r>
    </w:p>
    <w:p w14:paraId="3241AE09" w14:textId="77777777" w:rsidR="001E3C48" w:rsidRPr="008B4D96" w:rsidRDefault="001E3C48" w:rsidP="00E34AEB">
      <w:pPr>
        <w:spacing w:before="120" w:line="264" w:lineRule="auto"/>
        <w:jc w:val="both"/>
        <w:rPr>
          <w:rFonts w:ascii="Arial" w:hAnsi="Arial" w:cs="Arial"/>
          <w:sz w:val="22"/>
          <w:szCs w:val="22"/>
        </w:rPr>
      </w:pPr>
    </w:p>
    <w:p w14:paraId="224CFCF5" w14:textId="2E693278" w:rsidR="008B4D96" w:rsidRPr="008B4D96" w:rsidRDefault="008B4D96" w:rsidP="008B4D96">
      <w:pPr>
        <w:pStyle w:val="Caption"/>
        <w:spacing w:before="120" w:after="0" w:line="264" w:lineRule="auto"/>
        <w:jc w:val="center"/>
        <w:rPr>
          <w:rFonts w:ascii="Arial" w:hAnsi="Arial" w:cs="Arial"/>
          <w:i w:val="0"/>
          <w:color w:val="auto"/>
          <w:sz w:val="20"/>
          <w:szCs w:val="20"/>
        </w:rPr>
      </w:pPr>
      <w:r w:rsidRPr="008B4D96">
        <w:rPr>
          <w:rFonts w:ascii="Arial" w:hAnsi="Arial" w:cs="Arial"/>
          <w:i w:val="0"/>
          <w:color w:val="auto"/>
          <w:sz w:val="20"/>
          <w:szCs w:val="20"/>
        </w:rPr>
        <w:lastRenderedPageBreak/>
        <w:t xml:space="preserve">Table </w:t>
      </w:r>
      <w:r w:rsidRPr="008B4D96">
        <w:rPr>
          <w:rFonts w:ascii="Arial" w:hAnsi="Arial" w:cs="Arial"/>
          <w:i w:val="0"/>
          <w:color w:val="auto"/>
          <w:sz w:val="20"/>
          <w:szCs w:val="20"/>
        </w:rPr>
        <w:fldChar w:fldCharType="begin"/>
      </w:r>
      <w:r w:rsidRPr="008B4D96">
        <w:rPr>
          <w:rFonts w:ascii="Arial" w:hAnsi="Arial" w:cs="Arial"/>
          <w:i w:val="0"/>
          <w:color w:val="auto"/>
          <w:sz w:val="20"/>
          <w:szCs w:val="20"/>
        </w:rPr>
        <w:instrText xml:space="preserve"> SEQ Table \* ARABIC </w:instrText>
      </w:r>
      <w:r w:rsidRPr="008B4D96">
        <w:rPr>
          <w:rFonts w:ascii="Arial" w:hAnsi="Arial" w:cs="Arial"/>
          <w:i w:val="0"/>
          <w:color w:val="auto"/>
          <w:sz w:val="20"/>
          <w:szCs w:val="20"/>
        </w:rPr>
        <w:fldChar w:fldCharType="separate"/>
      </w:r>
      <w:r w:rsidRPr="008B4D96">
        <w:rPr>
          <w:rFonts w:ascii="Arial" w:hAnsi="Arial" w:cs="Arial"/>
          <w:i w:val="0"/>
          <w:noProof/>
          <w:color w:val="auto"/>
          <w:sz w:val="20"/>
          <w:szCs w:val="20"/>
        </w:rPr>
        <w:t>2</w:t>
      </w:r>
      <w:r w:rsidRPr="008B4D96">
        <w:rPr>
          <w:rFonts w:ascii="Arial" w:hAnsi="Arial" w:cs="Arial"/>
          <w:i w:val="0"/>
          <w:color w:val="auto"/>
          <w:sz w:val="20"/>
          <w:szCs w:val="20"/>
        </w:rPr>
        <w:fldChar w:fldCharType="end"/>
      </w:r>
      <w:bookmarkEnd w:id="0"/>
      <w:r w:rsidRPr="008B4D96">
        <w:rPr>
          <w:rFonts w:ascii="Arial" w:hAnsi="Arial" w:cs="Arial"/>
          <w:i w:val="0"/>
          <w:color w:val="auto"/>
          <w:sz w:val="20"/>
          <w:szCs w:val="20"/>
        </w:rPr>
        <w:t xml:space="preserve">: </w:t>
      </w:r>
      <w:r w:rsidRPr="008B4D96">
        <w:rPr>
          <w:rFonts w:ascii="Arial" w:hAnsi="Arial" w:cs="Arial"/>
          <w:color w:val="auto"/>
          <w:sz w:val="20"/>
          <w:szCs w:val="20"/>
        </w:rPr>
        <w:t>NTR</w:t>
      </w:r>
      <w:r w:rsidRPr="008B4D96">
        <w:rPr>
          <w:rFonts w:ascii="Arial" w:hAnsi="Arial" w:cs="Arial"/>
          <w:i w:val="0"/>
          <w:color w:val="auto"/>
          <w:sz w:val="20"/>
          <w:szCs w:val="20"/>
        </w:rPr>
        <w:t xml:space="preserve"> and </w:t>
      </w:r>
      <w:r w:rsidRPr="008B4D96">
        <w:rPr>
          <w:rFonts w:ascii="Arial" w:hAnsi="Arial" w:cs="Arial"/>
          <w:color w:val="auto"/>
          <w:sz w:val="20"/>
          <w:szCs w:val="20"/>
        </w:rPr>
        <w:t>EIT</w:t>
      </w:r>
      <w:r w:rsidRPr="008B4D96">
        <w:rPr>
          <w:rFonts w:ascii="Arial" w:hAnsi="Arial" w:cs="Arial"/>
          <w:i w:val="0"/>
          <w:color w:val="auto"/>
          <w:sz w:val="20"/>
          <w:szCs w:val="20"/>
        </w:rPr>
        <w:t xml:space="preserve"> of Three Most Impacted Districts Following AF8</w:t>
      </w:r>
    </w:p>
    <w:tbl>
      <w:tblPr>
        <w:tblStyle w:val="TableTheme"/>
        <w:tblW w:w="8012" w:type="dxa"/>
        <w:jc w:val="center"/>
        <w:tblLook w:val="04A0" w:firstRow="1" w:lastRow="0" w:firstColumn="1" w:lastColumn="0" w:noHBand="0" w:noVBand="1"/>
      </w:tblPr>
      <w:tblGrid>
        <w:gridCol w:w="1461"/>
        <w:gridCol w:w="961"/>
        <w:gridCol w:w="628"/>
        <w:gridCol w:w="558"/>
        <w:gridCol w:w="960"/>
        <w:gridCol w:w="628"/>
        <w:gridCol w:w="661"/>
        <w:gridCol w:w="960"/>
        <w:gridCol w:w="628"/>
        <w:gridCol w:w="567"/>
      </w:tblGrid>
      <w:tr w:rsidR="008B4D96" w:rsidRPr="008B4D96" w14:paraId="10058A1E" w14:textId="77777777" w:rsidTr="00E34AE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61" w:type="dxa"/>
            <w:vMerge w:val="restart"/>
            <w:noWrap/>
            <w:hideMark/>
          </w:tcPr>
          <w:p w14:paraId="7E9112F3" w14:textId="77777777" w:rsidR="008B4D96" w:rsidRPr="008B4D96" w:rsidRDefault="008B4D96" w:rsidP="006F2B56">
            <w:pPr>
              <w:spacing w:before="120" w:line="264" w:lineRule="auto"/>
              <w:rPr>
                <w:rFonts w:ascii="Arial" w:hAnsi="Arial" w:cs="Arial"/>
                <w:b/>
                <w:sz w:val="20"/>
                <w:szCs w:val="20"/>
                <w:lang w:eastAsia="en-NZ"/>
              </w:rPr>
            </w:pPr>
            <w:r w:rsidRPr="008B4D96">
              <w:rPr>
                <w:rFonts w:ascii="Arial" w:hAnsi="Arial" w:cs="Arial"/>
                <w:b/>
                <w:sz w:val="20"/>
                <w:szCs w:val="20"/>
                <w:lang w:eastAsia="en-NZ"/>
              </w:rPr>
              <w:t>Districts</w:t>
            </w:r>
          </w:p>
        </w:tc>
        <w:tc>
          <w:tcPr>
            <w:tcW w:w="2147" w:type="dxa"/>
            <w:gridSpan w:val="3"/>
            <w:tcBorders>
              <w:bottom w:val="nil"/>
              <w:right w:val="single" w:sz="4" w:space="0" w:color="auto"/>
            </w:tcBorders>
            <w:noWrap/>
            <w:hideMark/>
          </w:tcPr>
          <w:p w14:paraId="1E90ED37" w14:textId="77777777" w:rsidR="008B4D96" w:rsidRPr="008B4D96" w:rsidRDefault="008B4D96" w:rsidP="006F2B56">
            <w:pPr>
              <w:spacing w:before="120" w:line="264" w:lineRule="auto"/>
              <w:cnfStyle w:val="100000000000" w:firstRow="1"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Grey</w:t>
            </w:r>
          </w:p>
        </w:tc>
        <w:tc>
          <w:tcPr>
            <w:tcW w:w="2249" w:type="dxa"/>
            <w:gridSpan w:val="3"/>
            <w:tcBorders>
              <w:left w:val="single" w:sz="4" w:space="0" w:color="auto"/>
              <w:bottom w:val="nil"/>
              <w:right w:val="single" w:sz="4" w:space="0" w:color="auto"/>
            </w:tcBorders>
            <w:noWrap/>
            <w:hideMark/>
          </w:tcPr>
          <w:p w14:paraId="38E9110D" w14:textId="77777777" w:rsidR="008B4D96" w:rsidRPr="008B4D96" w:rsidRDefault="008B4D96" w:rsidP="006F2B56">
            <w:pPr>
              <w:spacing w:before="120" w:line="264" w:lineRule="auto"/>
              <w:cnfStyle w:val="100000000000" w:firstRow="1"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Buller</w:t>
            </w:r>
          </w:p>
        </w:tc>
        <w:tc>
          <w:tcPr>
            <w:tcW w:w="2155" w:type="dxa"/>
            <w:gridSpan w:val="3"/>
            <w:tcBorders>
              <w:left w:val="single" w:sz="4" w:space="0" w:color="auto"/>
              <w:bottom w:val="nil"/>
            </w:tcBorders>
            <w:noWrap/>
            <w:hideMark/>
          </w:tcPr>
          <w:p w14:paraId="603FF0CB" w14:textId="77777777" w:rsidR="008B4D96" w:rsidRPr="008B4D96" w:rsidRDefault="008B4D96" w:rsidP="006F2B56">
            <w:pPr>
              <w:spacing w:before="120" w:line="264" w:lineRule="auto"/>
              <w:cnfStyle w:val="100000000000" w:firstRow="1"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Westland</w:t>
            </w:r>
          </w:p>
        </w:tc>
      </w:tr>
      <w:tr w:rsidR="008B4D96" w:rsidRPr="008B4D96" w14:paraId="4DCEE92D"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vMerge/>
            <w:tcBorders>
              <w:bottom w:val="single" w:sz="4" w:space="0" w:color="auto"/>
            </w:tcBorders>
            <w:noWrap/>
            <w:hideMark/>
          </w:tcPr>
          <w:p w14:paraId="3F9069BB" w14:textId="77777777" w:rsidR="008B4D96" w:rsidRPr="008B4D96" w:rsidRDefault="008B4D96" w:rsidP="006F2B56">
            <w:pPr>
              <w:spacing w:before="120" w:line="264" w:lineRule="auto"/>
              <w:rPr>
                <w:rFonts w:ascii="Arial" w:hAnsi="Arial" w:cs="Arial"/>
                <w:b/>
                <w:sz w:val="20"/>
                <w:szCs w:val="20"/>
                <w:lang w:eastAsia="en-NZ"/>
              </w:rPr>
            </w:pPr>
          </w:p>
        </w:tc>
        <w:tc>
          <w:tcPr>
            <w:tcW w:w="961" w:type="dxa"/>
            <w:tcBorders>
              <w:top w:val="nil"/>
              <w:bottom w:val="single" w:sz="4" w:space="0" w:color="auto"/>
            </w:tcBorders>
            <w:noWrap/>
            <w:hideMark/>
          </w:tcPr>
          <w:p w14:paraId="2234F3B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BAU Trips (#)</w:t>
            </w:r>
          </w:p>
        </w:tc>
        <w:tc>
          <w:tcPr>
            <w:tcW w:w="628" w:type="dxa"/>
            <w:tcBorders>
              <w:top w:val="nil"/>
              <w:bottom w:val="single" w:sz="4" w:space="0" w:color="auto"/>
            </w:tcBorders>
            <w:noWrap/>
            <w:hideMark/>
          </w:tcPr>
          <w:p w14:paraId="64758F1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NTR</w:t>
            </w:r>
          </w:p>
        </w:tc>
        <w:tc>
          <w:tcPr>
            <w:tcW w:w="558" w:type="dxa"/>
            <w:tcBorders>
              <w:top w:val="nil"/>
              <w:bottom w:val="single" w:sz="4" w:space="0" w:color="auto"/>
              <w:right w:val="single" w:sz="4" w:space="0" w:color="auto"/>
            </w:tcBorders>
            <w:noWrap/>
            <w:hideMark/>
          </w:tcPr>
          <w:p w14:paraId="0CFF2B4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EIT</w:t>
            </w:r>
          </w:p>
        </w:tc>
        <w:tc>
          <w:tcPr>
            <w:tcW w:w="960" w:type="dxa"/>
            <w:tcBorders>
              <w:top w:val="nil"/>
              <w:left w:val="single" w:sz="4" w:space="0" w:color="auto"/>
              <w:bottom w:val="single" w:sz="4" w:space="0" w:color="auto"/>
            </w:tcBorders>
            <w:noWrap/>
            <w:hideMark/>
          </w:tcPr>
          <w:p w14:paraId="342B953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BAU Trips (#)</w:t>
            </w:r>
          </w:p>
        </w:tc>
        <w:tc>
          <w:tcPr>
            <w:tcW w:w="628" w:type="dxa"/>
            <w:tcBorders>
              <w:top w:val="nil"/>
              <w:bottom w:val="single" w:sz="4" w:space="0" w:color="auto"/>
            </w:tcBorders>
            <w:noWrap/>
            <w:hideMark/>
          </w:tcPr>
          <w:p w14:paraId="07090E3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NTR</w:t>
            </w:r>
          </w:p>
        </w:tc>
        <w:tc>
          <w:tcPr>
            <w:tcW w:w="661" w:type="dxa"/>
            <w:tcBorders>
              <w:top w:val="nil"/>
              <w:bottom w:val="single" w:sz="4" w:space="0" w:color="auto"/>
              <w:right w:val="single" w:sz="4" w:space="0" w:color="auto"/>
            </w:tcBorders>
            <w:noWrap/>
            <w:hideMark/>
          </w:tcPr>
          <w:p w14:paraId="017331A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EIT</w:t>
            </w:r>
          </w:p>
        </w:tc>
        <w:tc>
          <w:tcPr>
            <w:tcW w:w="960" w:type="dxa"/>
            <w:tcBorders>
              <w:top w:val="nil"/>
              <w:left w:val="single" w:sz="4" w:space="0" w:color="auto"/>
              <w:bottom w:val="single" w:sz="4" w:space="0" w:color="auto"/>
            </w:tcBorders>
            <w:noWrap/>
            <w:hideMark/>
          </w:tcPr>
          <w:p w14:paraId="3B443C5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eastAsia="en-NZ"/>
              </w:rPr>
            </w:pPr>
            <w:r w:rsidRPr="008B4D96">
              <w:rPr>
                <w:rFonts w:ascii="Arial" w:hAnsi="Arial" w:cs="Arial"/>
                <w:b/>
                <w:color w:val="000000"/>
                <w:sz w:val="20"/>
                <w:szCs w:val="20"/>
                <w:lang w:eastAsia="en-NZ"/>
              </w:rPr>
              <w:t>BAU Trips (#)</w:t>
            </w:r>
          </w:p>
        </w:tc>
        <w:tc>
          <w:tcPr>
            <w:tcW w:w="628" w:type="dxa"/>
            <w:tcBorders>
              <w:top w:val="nil"/>
              <w:bottom w:val="single" w:sz="4" w:space="0" w:color="auto"/>
            </w:tcBorders>
            <w:noWrap/>
            <w:hideMark/>
          </w:tcPr>
          <w:p w14:paraId="43CCA92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NTR</w:t>
            </w:r>
          </w:p>
        </w:tc>
        <w:tc>
          <w:tcPr>
            <w:tcW w:w="567" w:type="dxa"/>
            <w:tcBorders>
              <w:top w:val="nil"/>
              <w:bottom w:val="single" w:sz="4" w:space="0" w:color="auto"/>
            </w:tcBorders>
            <w:noWrap/>
            <w:hideMark/>
          </w:tcPr>
          <w:p w14:paraId="1D83368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i/>
                <w:color w:val="000000"/>
                <w:sz w:val="20"/>
                <w:szCs w:val="20"/>
                <w:lang w:eastAsia="en-NZ"/>
              </w:rPr>
            </w:pPr>
            <w:r w:rsidRPr="008B4D96">
              <w:rPr>
                <w:rFonts w:ascii="Arial" w:hAnsi="Arial" w:cs="Arial"/>
                <w:b/>
                <w:i/>
                <w:color w:val="000000"/>
                <w:sz w:val="20"/>
                <w:szCs w:val="20"/>
                <w:lang w:eastAsia="en-NZ"/>
              </w:rPr>
              <w:t>EIT</w:t>
            </w:r>
          </w:p>
        </w:tc>
      </w:tr>
      <w:tr w:rsidR="008B4D96" w:rsidRPr="008B4D96" w14:paraId="7EC74BD3"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tcBorders>
              <w:top w:val="single" w:sz="4" w:space="0" w:color="auto"/>
            </w:tcBorders>
            <w:noWrap/>
            <w:hideMark/>
          </w:tcPr>
          <w:p w14:paraId="15D435EC"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Grey</w:t>
            </w:r>
          </w:p>
        </w:tc>
        <w:tc>
          <w:tcPr>
            <w:tcW w:w="961" w:type="dxa"/>
            <w:tcBorders>
              <w:top w:val="single" w:sz="4" w:space="0" w:color="auto"/>
            </w:tcBorders>
            <w:shd w:val="clear" w:color="auto" w:fill="D9D9D9" w:themeFill="background1" w:themeFillShade="D9"/>
            <w:noWrap/>
            <w:hideMark/>
          </w:tcPr>
          <w:p w14:paraId="092558A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11,211</w:t>
            </w:r>
          </w:p>
        </w:tc>
        <w:tc>
          <w:tcPr>
            <w:tcW w:w="628" w:type="dxa"/>
            <w:tcBorders>
              <w:top w:val="single" w:sz="4" w:space="0" w:color="auto"/>
            </w:tcBorders>
            <w:shd w:val="clear" w:color="auto" w:fill="D9D9D9" w:themeFill="background1" w:themeFillShade="D9"/>
            <w:noWrap/>
            <w:hideMark/>
          </w:tcPr>
          <w:p w14:paraId="78C6E82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98%</w:t>
            </w:r>
          </w:p>
        </w:tc>
        <w:tc>
          <w:tcPr>
            <w:tcW w:w="558" w:type="dxa"/>
            <w:tcBorders>
              <w:top w:val="single" w:sz="4" w:space="0" w:color="auto"/>
              <w:right w:val="single" w:sz="4" w:space="0" w:color="auto"/>
            </w:tcBorders>
            <w:shd w:val="clear" w:color="auto" w:fill="D9D9D9" w:themeFill="background1" w:themeFillShade="D9"/>
            <w:noWrap/>
            <w:hideMark/>
          </w:tcPr>
          <w:p w14:paraId="01C589E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174</w:t>
            </w:r>
          </w:p>
        </w:tc>
        <w:tc>
          <w:tcPr>
            <w:tcW w:w="960" w:type="dxa"/>
            <w:tcBorders>
              <w:top w:val="single" w:sz="4" w:space="0" w:color="auto"/>
              <w:left w:val="single" w:sz="4" w:space="0" w:color="auto"/>
            </w:tcBorders>
            <w:noWrap/>
            <w:hideMark/>
          </w:tcPr>
          <w:p w14:paraId="1246F82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216</w:t>
            </w:r>
          </w:p>
        </w:tc>
        <w:tc>
          <w:tcPr>
            <w:tcW w:w="628" w:type="dxa"/>
            <w:tcBorders>
              <w:top w:val="single" w:sz="4" w:space="0" w:color="auto"/>
            </w:tcBorders>
            <w:noWrap/>
            <w:hideMark/>
          </w:tcPr>
          <w:p w14:paraId="47AB606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39%</w:t>
            </w:r>
          </w:p>
        </w:tc>
        <w:tc>
          <w:tcPr>
            <w:tcW w:w="661" w:type="dxa"/>
            <w:tcBorders>
              <w:top w:val="single" w:sz="4" w:space="0" w:color="auto"/>
              <w:right w:val="single" w:sz="4" w:space="0" w:color="auto"/>
            </w:tcBorders>
            <w:noWrap/>
            <w:hideMark/>
          </w:tcPr>
          <w:p w14:paraId="149DB3D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132</w:t>
            </w:r>
          </w:p>
        </w:tc>
        <w:tc>
          <w:tcPr>
            <w:tcW w:w="960" w:type="dxa"/>
            <w:tcBorders>
              <w:top w:val="single" w:sz="4" w:space="0" w:color="auto"/>
              <w:left w:val="single" w:sz="4" w:space="0" w:color="auto"/>
            </w:tcBorders>
            <w:noWrap/>
            <w:hideMark/>
          </w:tcPr>
          <w:p w14:paraId="0109454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692</w:t>
            </w:r>
          </w:p>
        </w:tc>
        <w:tc>
          <w:tcPr>
            <w:tcW w:w="628" w:type="dxa"/>
            <w:tcBorders>
              <w:top w:val="single" w:sz="4" w:space="0" w:color="auto"/>
            </w:tcBorders>
            <w:noWrap/>
            <w:hideMark/>
          </w:tcPr>
          <w:p w14:paraId="5BB4810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91%</w:t>
            </w:r>
          </w:p>
        </w:tc>
        <w:tc>
          <w:tcPr>
            <w:tcW w:w="567" w:type="dxa"/>
            <w:tcBorders>
              <w:top w:val="single" w:sz="4" w:space="0" w:color="auto"/>
            </w:tcBorders>
            <w:noWrap/>
            <w:hideMark/>
          </w:tcPr>
          <w:p w14:paraId="36C6AC2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61</w:t>
            </w:r>
          </w:p>
        </w:tc>
      </w:tr>
      <w:tr w:rsidR="008B4D96" w:rsidRPr="008B4D96" w14:paraId="51AA6BE9"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3EB4E0ED"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Buller</w:t>
            </w:r>
          </w:p>
        </w:tc>
        <w:tc>
          <w:tcPr>
            <w:tcW w:w="961" w:type="dxa"/>
            <w:noWrap/>
            <w:hideMark/>
          </w:tcPr>
          <w:p w14:paraId="3C25C6E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213</w:t>
            </w:r>
          </w:p>
        </w:tc>
        <w:tc>
          <w:tcPr>
            <w:tcW w:w="628" w:type="dxa"/>
            <w:noWrap/>
            <w:hideMark/>
          </w:tcPr>
          <w:p w14:paraId="104D625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35%</w:t>
            </w:r>
          </w:p>
        </w:tc>
        <w:tc>
          <w:tcPr>
            <w:tcW w:w="558" w:type="dxa"/>
            <w:tcBorders>
              <w:right w:val="single" w:sz="4" w:space="0" w:color="auto"/>
            </w:tcBorders>
            <w:noWrap/>
            <w:hideMark/>
          </w:tcPr>
          <w:p w14:paraId="03C2813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138</w:t>
            </w:r>
          </w:p>
        </w:tc>
        <w:tc>
          <w:tcPr>
            <w:tcW w:w="960" w:type="dxa"/>
            <w:tcBorders>
              <w:left w:val="single" w:sz="4" w:space="0" w:color="auto"/>
            </w:tcBorders>
            <w:shd w:val="clear" w:color="auto" w:fill="D9D9D9" w:themeFill="background1" w:themeFillShade="D9"/>
            <w:noWrap/>
            <w:hideMark/>
          </w:tcPr>
          <w:p w14:paraId="57E3099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4,267</w:t>
            </w:r>
          </w:p>
        </w:tc>
        <w:tc>
          <w:tcPr>
            <w:tcW w:w="628" w:type="dxa"/>
            <w:shd w:val="clear" w:color="auto" w:fill="D9D9D9" w:themeFill="background1" w:themeFillShade="D9"/>
            <w:noWrap/>
            <w:hideMark/>
          </w:tcPr>
          <w:p w14:paraId="3BF4E3E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86%</w:t>
            </w:r>
          </w:p>
        </w:tc>
        <w:tc>
          <w:tcPr>
            <w:tcW w:w="661" w:type="dxa"/>
            <w:tcBorders>
              <w:right w:val="single" w:sz="4" w:space="0" w:color="auto"/>
            </w:tcBorders>
            <w:shd w:val="clear" w:color="auto" w:fill="D9D9D9" w:themeFill="background1" w:themeFillShade="D9"/>
            <w:noWrap/>
            <w:hideMark/>
          </w:tcPr>
          <w:p w14:paraId="3CD868F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611</w:t>
            </w:r>
          </w:p>
        </w:tc>
        <w:tc>
          <w:tcPr>
            <w:tcW w:w="960" w:type="dxa"/>
            <w:tcBorders>
              <w:left w:val="single" w:sz="4" w:space="0" w:color="auto"/>
            </w:tcBorders>
            <w:noWrap/>
            <w:hideMark/>
          </w:tcPr>
          <w:p w14:paraId="553FA73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294</w:t>
            </w:r>
          </w:p>
        </w:tc>
        <w:tc>
          <w:tcPr>
            <w:tcW w:w="628" w:type="dxa"/>
            <w:noWrap/>
            <w:hideMark/>
          </w:tcPr>
          <w:p w14:paraId="05FEE0D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38%</w:t>
            </w:r>
          </w:p>
        </w:tc>
        <w:tc>
          <w:tcPr>
            <w:tcW w:w="567" w:type="dxa"/>
            <w:noWrap/>
            <w:hideMark/>
          </w:tcPr>
          <w:p w14:paraId="1E05701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181</w:t>
            </w:r>
          </w:p>
        </w:tc>
      </w:tr>
      <w:tr w:rsidR="008B4D96" w:rsidRPr="008B4D96" w14:paraId="738688E6"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11FABB04"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Westland</w:t>
            </w:r>
          </w:p>
        </w:tc>
        <w:tc>
          <w:tcPr>
            <w:tcW w:w="961" w:type="dxa"/>
            <w:noWrap/>
            <w:hideMark/>
          </w:tcPr>
          <w:p w14:paraId="5AE5351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668</w:t>
            </w:r>
          </w:p>
        </w:tc>
        <w:tc>
          <w:tcPr>
            <w:tcW w:w="628" w:type="dxa"/>
            <w:noWrap/>
            <w:hideMark/>
          </w:tcPr>
          <w:p w14:paraId="263356E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92%</w:t>
            </w:r>
          </w:p>
        </w:tc>
        <w:tc>
          <w:tcPr>
            <w:tcW w:w="558" w:type="dxa"/>
            <w:tcBorders>
              <w:right w:val="single" w:sz="4" w:space="0" w:color="auto"/>
            </w:tcBorders>
            <w:noWrap/>
            <w:hideMark/>
          </w:tcPr>
          <w:p w14:paraId="1A99ACB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56</w:t>
            </w:r>
          </w:p>
        </w:tc>
        <w:tc>
          <w:tcPr>
            <w:tcW w:w="960" w:type="dxa"/>
            <w:tcBorders>
              <w:left w:val="single" w:sz="4" w:space="0" w:color="auto"/>
            </w:tcBorders>
            <w:noWrap/>
            <w:hideMark/>
          </w:tcPr>
          <w:p w14:paraId="1482D4C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319</w:t>
            </w:r>
          </w:p>
        </w:tc>
        <w:tc>
          <w:tcPr>
            <w:tcW w:w="628" w:type="dxa"/>
            <w:noWrap/>
            <w:hideMark/>
          </w:tcPr>
          <w:p w14:paraId="7A2A6F6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42%</w:t>
            </w:r>
          </w:p>
        </w:tc>
        <w:tc>
          <w:tcPr>
            <w:tcW w:w="661" w:type="dxa"/>
            <w:tcBorders>
              <w:right w:val="single" w:sz="4" w:space="0" w:color="auto"/>
            </w:tcBorders>
            <w:noWrap/>
            <w:hideMark/>
          </w:tcPr>
          <w:p w14:paraId="49016FD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185</w:t>
            </w:r>
          </w:p>
        </w:tc>
        <w:tc>
          <w:tcPr>
            <w:tcW w:w="960" w:type="dxa"/>
            <w:tcBorders>
              <w:left w:val="single" w:sz="4" w:space="0" w:color="auto"/>
            </w:tcBorders>
            <w:shd w:val="clear" w:color="auto" w:fill="D9D9D9" w:themeFill="background1" w:themeFillShade="D9"/>
            <w:noWrap/>
            <w:hideMark/>
          </w:tcPr>
          <w:p w14:paraId="572CF48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1,785</w:t>
            </w:r>
          </w:p>
        </w:tc>
        <w:tc>
          <w:tcPr>
            <w:tcW w:w="628" w:type="dxa"/>
            <w:shd w:val="clear" w:color="auto" w:fill="D9D9D9" w:themeFill="background1" w:themeFillShade="D9"/>
            <w:noWrap/>
            <w:hideMark/>
          </w:tcPr>
          <w:p w14:paraId="72ACF1C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97%</w:t>
            </w:r>
          </w:p>
        </w:tc>
        <w:tc>
          <w:tcPr>
            <w:tcW w:w="567" w:type="dxa"/>
            <w:shd w:val="clear" w:color="auto" w:fill="D9D9D9" w:themeFill="background1" w:themeFillShade="D9"/>
            <w:noWrap/>
            <w:hideMark/>
          </w:tcPr>
          <w:p w14:paraId="6FC4FF6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48</w:t>
            </w:r>
          </w:p>
        </w:tc>
      </w:tr>
      <w:tr w:rsidR="008B4D96" w:rsidRPr="008B4D96" w14:paraId="200C31AD"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0B3EDD37"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Christchurch</w:t>
            </w:r>
          </w:p>
        </w:tc>
        <w:tc>
          <w:tcPr>
            <w:tcW w:w="961" w:type="dxa"/>
            <w:noWrap/>
            <w:hideMark/>
          </w:tcPr>
          <w:p w14:paraId="05B92BA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296</w:t>
            </w:r>
          </w:p>
        </w:tc>
        <w:tc>
          <w:tcPr>
            <w:tcW w:w="628" w:type="dxa"/>
            <w:noWrap/>
            <w:hideMark/>
          </w:tcPr>
          <w:p w14:paraId="2BCB45C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53%</w:t>
            </w:r>
          </w:p>
        </w:tc>
        <w:tc>
          <w:tcPr>
            <w:tcW w:w="558" w:type="dxa"/>
            <w:tcBorders>
              <w:right w:val="single" w:sz="4" w:space="0" w:color="auto"/>
            </w:tcBorders>
            <w:noWrap/>
            <w:hideMark/>
          </w:tcPr>
          <w:p w14:paraId="3040ED6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139</w:t>
            </w:r>
          </w:p>
        </w:tc>
        <w:tc>
          <w:tcPr>
            <w:tcW w:w="960" w:type="dxa"/>
            <w:tcBorders>
              <w:left w:val="single" w:sz="4" w:space="0" w:color="auto"/>
            </w:tcBorders>
            <w:noWrap/>
            <w:hideMark/>
          </w:tcPr>
          <w:p w14:paraId="45DFBFB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308</w:t>
            </w:r>
          </w:p>
        </w:tc>
        <w:tc>
          <w:tcPr>
            <w:tcW w:w="628" w:type="dxa"/>
            <w:noWrap/>
            <w:hideMark/>
          </w:tcPr>
          <w:p w14:paraId="33CB882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56%</w:t>
            </w:r>
          </w:p>
        </w:tc>
        <w:tc>
          <w:tcPr>
            <w:tcW w:w="661" w:type="dxa"/>
            <w:tcBorders>
              <w:right w:val="single" w:sz="4" w:space="0" w:color="auto"/>
            </w:tcBorders>
            <w:noWrap/>
            <w:hideMark/>
          </w:tcPr>
          <w:p w14:paraId="22333FD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136</w:t>
            </w:r>
          </w:p>
        </w:tc>
        <w:tc>
          <w:tcPr>
            <w:tcW w:w="960" w:type="dxa"/>
            <w:tcBorders>
              <w:left w:val="single" w:sz="4" w:space="0" w:color="auto"/>
            </w:tcBorders>
            <w:noWrap/>
            <w:hideMark/>
          </w:tcPr>
          <w:p w14:paraId="23252F1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201</w:t>
            </w:r>
          </w:p>
        </w:tc>
        <w:tc>
          <w:tcPr>
            <w:tcW w:w="628" w:type="dxa"/>
            <w:noWrap/>
            <w:hideMark/>
          </w:tcPr>
          <w:p w14:paraId="648C553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47%</w:t>
            </w:r>
          </w:p>
        </w:tc>
        <w:tc>
          <w:tcPr>
            <w:tcW w:w="567" w:type="dxa"/>
            <w:noWrap/>
            <w:hideMark/>
          </w:tcPr>
          <w:p w14:paraId="76AE840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107</w:t>
            </w:r>
          </w:p>
        </w:tc>
      </w:tr>
      <w:tr w:rsidR="008B4D96" w:rsidRPr="008B4D96" w14:paraId="1042850F"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0EDA7C9D"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Queenstown</w:t>
            </w:r>
          </w:p>
        </w:tc>
        <w:tc>
          <w:tcPr>
            <w:tcW w:w="961" w:type="dxa"/>
            <w:noWrap/>
            <w:hideMark/>
          </w:tcPr>
          <w:p w14:paraId="6EEB407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103</w:t>
            </w:r>
          </w:p>
        </w:tc>
        <w:tc>
          <w:tcPr>
            <w:tcW w:w="628" w:type="dxa"/>
            <w:noWrap/>
            <w:hideMark/>
          </w:tcPr>
          <w:p w14:paraId="52140BB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51%</w:t>
            </w:r>
          </w:p>
        </w:tc>
        <w:tc>
          <w:tcPr>
            <w:tcW w:w="558" w:type="dxa"/>
            <w:tcBorders>
              <w:right w:val="single" w:sz="4" w:space="0" w:color="auto"/>
            </w:tcBorders>
            <w:noWrap/>
            <w:hideMark/>
          </w:tcPr>
          <w:p w14:paraId="66131FA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51</w:t>
            </w:r>
          </w:p>
        </w:tc>
        <w:tc>
          <w:tcPr>
            <w:tcW w:w="960" w:type="dxa"/>
            <w:tcBorders>
              <w:left w:val="single" w:sz="4" w:space="0" w:color="auto"/>
            </w:tcBorders>
            <w:noWrap/>
            <w:hideMark/>
          </w:tcPr>
          <w:p w14:paraId="06B2739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70</w:t>
            </w:r>
          </w:p>
        </w:tc>
        <w:tc>
          <w:tcPr>
            <w:tcW w:w="628" w:type="dxa"/>
            <w:noWrap/>
            <w:hideMark/>
          </w:tcPr>
          <w:p w14:paraId="0709D9A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40%</w:t>
            </w:r>
          </w:p>
        </w:tc>
        <w:tc>
          <w:tcPr>
            <w:tcW w:w="661" w:type="dxa"/>
            <w:tcBorders>
              <w:right w:val="single" w:sz="4" w:space="0" w:color="auto"/>
            </w:tcBorders>
            <w:noWrap/>
            <w:hideMark/>
          </w:tcPr>
          <w:p w14:paraId="1FEF951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42</w:t>
            </w:r>
          </w:p>
        </w:tc>
        <w:tc>
          <w:tcPr>
            <w:tcW w:w="960" w:type="dxa"/>
            <w:tcBorders>
              <w:left w:val="single" w:sz="4" w:space="0" w:color="auto"/>
            </w:tcBorders>
            <w:noWrap/>
            <w:hideMark/>
          </w:tcPr>
          <w:p w14:paraId="453665E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44</w:t>
            </w:r>
          </w:p>
        </w:tc>
        <w:tc>
          <w:tcPr>
            <w:tcW w:w="628" w:type="dxa"/>
            <w:noWrap/>
            <w:hideMark/>
          </w:tcPr>
          <w:p w14:paraId="52EFEF4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w:t>
            </w:r>
          </w:p>
        </w:tc>
        <w:tc>
          <w:tcPr>
            <w:tcW w:w="567" w:type="dxa"/>
            <w:noWrap/>
            <w:hideMark/>
          </w:tcPr>
          <w:p w14:paraId="59BBAF5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43</w:t>
            </w:r>
          </w:p>
        </w:tc>
      </w:tr>
      <w:tr w:rsidR="008B4D96" w:rsidRPr="008B4D96" w14:paraId="2482F8B2"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62F74BDE"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Marlborough</w:t>
            </w:r>
          </w:p>
        </w:tc>
        <w:tc>
          <w:tcPr>
            <w:tcW w:w="961" w:type="dxa"/>
            <w:noWrap/>
            <w:hideMark/>
          </w:tcPr>
          <w:p w14:paraId="44265F1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77</w:t>
            </w:r>
          </w:p>
        </w:tc>
        <w:tc>
          <w:tcPr>
            <w:tcW w:w="628" w:type="dxa"/>
            <w:noWrap/>
            <w:hideMark/>
          </w:tcPr>
          <w:p w14:paraId="0F19B35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61%</w:t>
            </w:r>
          </w:p>
        </w:tc>
        <w:tc>
          <w:tcPr>
            <w:tcW w:w="558" w:type="dxa"/>
            <w:tcBorders>
              <w:right w:val="single" w:sz="4" w:space="0" w:color="auto"/>
            </w:tcBorders>
            <w:noWrap/>
            <w:hideMark/>
          </w:tcPr>
          <w:p w14:paraId="6802ECB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30</w:t>
            </w:r>
          </w:p>
        </w:tc>
        <w:tc>
          <w:tcPr>
            <w:tcW w:w="960" w:type="dxa"/>
            <w:tcBorders>
              <w:left w:val="single" w:sz="4" w:space="0" w:color="auto"/>
            </w:tcBorders>
            <w:noWrap/>
            <w:hideMark/>
          </w:tcPr>
          <w:p w14:paraId="53404B4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145</w:t>
            </w:r>
          </w:p>
        </w:tc>
        <w:tc>
          <w:tcPr>
            <w:tcW w:w="628" w:type="dxa"/>
            <w:noWrap/>
            <w:hideMark/>
          </w:tcPr>
          <w:p w14:paraId="6495977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51%</w:t>
            </w:r>
          </w:p>
        </w:tc>
        <w:tc>
          <w:tcPr>
            <w:tcW w:w="661" w:type="dxa"/>
            <w:tcBorders>
              <w:right w:val="single" w:sz="4" w:space="0" w:color="auto"/>
            </w:tcBorders>
            <w:noWrap/>
            <w:hideMark/>
          </w:tcPr>
          <w:p w14:paraId="59E1CAC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71</w:t>
            </w:r>
          </w:p>
        </w:tc>
        <w:tc>
          <w:tcPr>
            <w:tcW w:w="960" w:type="dxa"/>
            <w:tcBorders>
              <w:left w:val="single" w:sz="4" w:space="0" w:color="auto"/>
            </w:tcBorders>
            <w:noWrap/>
            <w:hideMark/>
          </w:tcPr>
          <w:p w14:paraId="462C7CB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72</w:t>
            </w:r>
          </w:p>
        </w:tc>
        <w:tc>
          <w:tcPr>
            <w:tcW w:w="628" w:type="dxa"/>
            <w:noWrap/>
            <w:hideMark/>
          </w:tcPr>
          <w:p w14:paraId="33B89B0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62%</w:t>
            </w:r>
          </w:p>
        </w:tc>
        <w:tc>
          <w:tcPr>
            <w:tcW w:w="567" w:type="dxa"/>
            <w:noWrap/>
            <w:hideMark/>
          </w:tcPr>
          <w:p w14:paraId="4C20E1C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27</w:t>
            </w:r>
          </w:p>
        </w:tc>
      </w:tr>
      <w:tr w:rsidR="008B4D96" w:rsidRPr="008B4D96" w14:paraId="7D84C6E4"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4F8B973C"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Hurunui</w:t>
            </w:r>
          </w:p>
        </w:tc>
        <w:tc>
          <w:tcPr>
            <w:tcW w:w="961" w:type="dxa"/>
            <w:noWrap/>
            <w:hideMark/>
          </w:tcPr>
          <w:p w14:paraId="3935B91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35</w:t>
            </w:r>
          </w:p>
        </w:tc>
        <w:tc>
          <w:tcPr>
            <w:tcW w:w="628" w:type="dxa"/>
            <w:noWrap/>
            <w:hideMark/>
          </w:tcPr>
          <w:p w14:paraId="5D0A1DC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69%</w:t>
            </w:r>
          </w:p>
        </w:tc>
        <w:tc>
          <w:tcPr>
            <w:tcW w:w="558" w:type="dxa"/>
            <w:tcBorders>
              <w:right w:val="single" w:sz="4" w:space="0" w:color="auto"/>
            </w:tcBorders>
            <w:noWrap/>
            <w:hideMark/>
          </w:tcPr>
          <w:p w14:paraId="6824B87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11</w:t>
            </w:r>
          </w:p>
        </w:tc>
        <w:tc>
          <w:tcPr>
            <w:tcW w:w="960" w:type="dxa"/>
            <w:tcBorders>
              <w:left w:val="single" w:sz="4" w:space="0" w:color="auto"/>
            </w:tcBorders>
            <w:noWrap/>
            <w:hideMark/>
          </w:tcPr>
          <w:p w14:paraId="63C5023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w:t>
            </w:r>
          </w:p>
        </w:tc>
        <w:tc>
          <w:tcPr>
            <w:tcW w:w="628" w:type="dxa"/>
            <w:noWrap/>
            <w:hideMark/>
          </w:tcPr>
          <w:p w14:paraId="17F3148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69%</w:t>
            </w:r>
          </w:p>
        </w:tc>
        <w:tc>
          <w:tcPr>
            <w:tcW w:w="661" w:type="dxa"/>
            <w:tcBorders>
              <w:right w:val="single" w:sz="4" w:space="0" w:color="auto"/>
            </w:tcBorders>
            <w:noWrap/>
            <w:hideMark/>
          </w:tcPr>
          <w:p w14:paraId="636683D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960" w:type="dxa"/>
            <w:tcBorders>
              <w:left w:val="single" w:sz="4" w:space="0" w:color="auto"/>
            </w:tcBorders>
            <w:noWrap/>
            <w:hideMark/>
          </w:tcPr>
          <w:p w14:paraId="6EDD777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16</w:t>
            </w:r>
          </w:p>
        </w:tc>
        <w:tc>
          <w:tcPr>
            <w:tcW w:w="628" w:type="dxa"/>
            <w:noWrap/>
            <w:hideMark/>
          </w:tcPr>
          <w:p w14:paraId="413C392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65%</w:t>
            </w:r>
          </w:p>
        </w:tc>
        <w:tc>
          <w:tcPr>
            <w:tcW w:w="567" w:type="dxa"/>
            <w:noWrap/>
            <w:hideMark/>
          </w:tcPr>
          <w:p w14:paraId="3E69D7B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w:t>
            </w:r>
          </w:p>
        </w:tc>
      </w:tr>
      <w:tr w:rsidR="008B4D96" w:rsidRPr="008B4D96" w14:paraId="060F7BF2"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69CF0300"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Nelson</w:t>
            </w:r>
          </w:p>
        </w:tc>
        <w:tc>
          <w:tcPr>
            <w:tcW w:w="961" w:type="dxa"/>
            <w:noWrap/>
            <w:hideMark/>
          </w:tcPr>
          <w:p w14:paraId="45B2FFA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29</w:t>
            </w:r>
          </w:p>
        </w:tc>
        <w:tc>
          <w:tcPr>
            <w:tcW w:w="628" w:type="dxa"/>
            <w:noWrap/>
            <w:hideMark/>
          </w:tcPr>
          <w:p w14:paraId="7F07602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67%</w:t>
            </w:r>
          </w:p>
        </w:tc>
        <w:tc>
          <w:tcPr>
            <w:tcW w:w="558" w:type="dxa"/>
            <w:tcBorders>
              <w:right w:val="single" w:sz="4" w:space="0" w:color="auto"/>
            </w:tcBorders>
            <w:noWrap/>
            <w:hideMark/>
          </w:tcPr>
          <w:p w14:paraId="5901470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10</w:t>
            </w:r>
          </w:p>
        </w:tc>
        <w:tc>
          <w:tcPr>
            <w:tcW w:w="960" w:type="dxa"/>
            <w:tcBorders>
              <w:left w:val="single" w:sz="4" w:space="0" w:color="auto"/>
            </w:tcBorders>
            <w:noWrap/>
            <w:hideMark/>
          </w:tcPr>
          <w:p w14:paraId="210EF00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46</w:t>
            </w:r>
          </w:p>
        </w:tc>
        <w:tc>
          <w:tcPr>
            <w:tcW w:w="628" w:type="dxa"/>
            <w:noWrap/>
            <w:hideMark/>
          </w:tcPr>
          <w:p w14:paraId="551AE22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36%</w:t>
            </w:r>
          </w:p>
        </w:tc>
        <w:tc>
          <w:tcPr>
            <w:tcW w:w="661" w:type="dxa"/>
            <w:tcBorders>
              <w:right w:val="single" w:sz="4" w:space="0" w:color="auto"/>
            </w:tcBorders>
            <w:noWrap/>
            <w:hideMark/>
          </w:tcPr>
          <w:p w14:paraId="0362F96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30</w:t>
            </w:r>
          </w:p>
        </w:tc>
        <w:tc>
          <w:tcPr>
            <w:tcW w:w="960" w:type="dxa"/>
            <w:tcBorders>
              <w:left w:val="single" w:sz="4" w:space="0" w:color="auto"/>
            </w:tcBorders>
            <w:noWrap/>
            <w:hideMark/>
          </w:tcPr>
          <w:p w14:paraId="07072C0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32</w:t>
            </w:r>
          </w:p>
        </w:tc>
        <w:tc>
          <w:tcPr>
            <w:tcW w:w="628" w:type="dxa"/>
            <w:noWrap/>
            <w:hideMark/>
          </w:tcPr>
          <w:p w14:paraId="3930DE3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58%</w:t>
            </w:r>
          </w:p>
        </w:tc>
        <w:tc>
          <w:tcPr>
            <w:tcW w:w="567" w:type="dxa"/>
            <w:noWrap/>
            <w:hideMark/>
          </w:tcPr>
          <w:p w14:paraId="22C8A28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w:t>
            </w:r>
          </w:p>
        </w:tc>
      </w:tr>
      <w:tr w:rsidR="008B4D96" w:rsidRPr="008B4D96" w14:paraId="3D0C3B67"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1B12AC29"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Selwyn</w:t>
            </w:r>
          </w:p>
        </w:tc>
        <w:tc>
          <w:tcPr>
            <w:tcW w:w="961" w:type="dxa"/>
            <w:noWrap/>
            <w:hideMark/>
          </w:tcPr>
          <w:p w14:paraId="3663720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22</w:t>
            </w:r>
          </w:p>
        </w:tc>
        <w:tc>
          <w:tcPr>
            <w:tcW w:w="628" w:type="dxa"/>
            <w:noWrap/>
            <w:hideMark/>
          </w:tcPr>
          <w:p w14:paraId="201ADEF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41%</w:t>
            </w:r>
          </w:p>
        </w:tc>
        <w:tc>
          <w:tcPr>
            <w:tcW w:w="558" w:type="dxa"/>
            <w:tcBorders>
              <w:right w:val="single" w:sz="4" w:space="0" w:color="auto"/>
            </w:tcBorders>
            <w:noWrap/>
            <w:hideMark/>
          </w:tcPr>
          <w:p w14:paraId="41E8BB2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w:t>
            </w:r>
          </w:p>
        </w:tc>
        <w:tc>
          <w:tcPr>
            <w:tcW w:w="960" w:type="dxa"/>
            <w:tcBorders>
              <w:left w:val="single" w:sz="4" w:space="0" w:color="auto"/>
            </w:tcBorders>
            <w:noWrap/>
            <w:hideMark/>
          </w:tcPr>
          <w:p w14:paraId="186129C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23</w:t>
            </w:r>
          </w:p>
        </w:tc>
        <w:tc>
          <w:tcPr>
            <w:tcW w:w="628" w:type="dxa"/>
            <w:noWrap/>
            <w:hideMark/>
          </w:tcPr>
          <w:p w14:paraId="628B8F6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44%</w:t>
            </w:r>
          </w:p>
        </w:tc>
        <w:tc>
          <w:tcPr>
            <w:tcW w:w="661" w:type="dxa"/>
            <w:tcBorders>
              <w:right w:val="single" w:sz="4" w:space="0" w:color="auto"/>
            </w:tcBorders>
            <w:noWrap/>
            <w:hideMark/>
          </w:tcPr>
          <w:p w14:paraId="1F0853E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13</w:t>
            </w:r>
          </w:p>
        </w:tc>
        <w:tc>
          <w:tcPr>
            <w:tcW w:w="960" w:type="dxa"/>
            <w:tcBorders>
              <w:left w:val="single" w:sz="4" w:space="0" w:color="auto"/>
            </w:tcBorders>
            <w:noWrap/>
            <w:hideMark/>
          </w:tcPr>
          <w:p w14:paraId="1D87B2B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21</w:t>
            </w:r>
          </w:p>
        </w:tc>
        <w:tc>
          <w:tcPr>
            <w:tcW w:w="628" w:type="dxa"/>
            <w:noWrap/>
            <w:hideMark/>
          </w:tcPr>
          <w:p w14:paraId="79DEE7B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34%</w:t>
            </w:r>
          </w:p>
        </w:tc>
        <w:tc>
          <w:tcPr>
            <w:tcW w:w="567" w:type="dxa"/>
            <w:noWrap/>
            <w:hideMark/>
          </w:tcPr>
          <w:p w14:paraId="776D741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14</w:t>
            </w:r>
          </w:p>
        </w:tc>
      </w:tr>
      <w:tr w:rsidR="008B4D96" w:rsidRPr="008B4D96" w14:paraId="55A84DE3"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194FA12F"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Tasman</w:t>
            </w:r>
          </w:p>
        </w:tc>
        <w:tc>
          <w:tcPr>
            <w:tcW w:w="961" w:type="dxa"/>
            <w:noWrap/>
            <w:hideMark/>
          </w:tcPr>
          <w:p w14:paraId="1EE7357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12</w:t>
            </w:r>
          </w:p>
        </w:tc>
        <w:tc>
          <w:tcPr>
            <w:tcW w:w="628" w:type="dxa"/>
            <w:noWrap/>
            <w:hideMark/>
          </w:tcPr>
          <w:p w14:paraId="26FB8C5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65%</w:t>
            </w:r>
          </w:p>
        </w:tc>
        <w:tc>
          <w:tcPr>
            <w:tcW w:w="558" w:type="dxa"/>
            <w:tcBorders>
              <w:right w:val="single" w:sz="4" w:space="0" w:color="auto"/>
            </w:tcBorders>
            <w:noWrap/>
            <w:hideMark/>
          </w:tcPr>
          <w:p w14:paraId="1B44E67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w:t>
            </w:r>
          </w:p>
        </w:tc>
        <w:tc>
          <w:tcPr>
            <w:tcW w:w="960" w:type="dxa"/>
            <w:tcBorders>
              <w:left w:val="single" w:sz="4" w:space="0" w:color="auto"/>
            </w:tcBorders>
            <w:noWrap/>
            <w:hideMark/>
          </w:tcPr>
          <w:p w14:paraId="3D492CE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24</w:t>
            </w:r>
          </w:p>
        </w:tc>
        <w:tc>
          <w:tcPr>
            <w:tcW w:w="628" w:type="dxa"/>
            <w:noWrap/>
            <w:hideMark/>
          </w:tcPr>
          <w:p w14:paraId="3B4D82E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39%</w:t>
            </w:r>
          </w:p>
        </w:tc>
        <w:tc>
          <w:tcPr>
            <w:tcW w:w="661" w:type="dxa"/>
            <w:tcBorders>
              <w:right w:val="single" w:sz="4" w:space="0" w:color="auto"/>
            </w:tcBorders>
            <w:noWrap/>
            <w:hideMark/>
          </w:tcPr>
          <w:p w14:paraId="27A4771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15</w:t>
            </w:r>
          </w:p>
        </w:tc>
        <w:tc>
          <w:tcPr>
            <w:tcW w:w="960" w:type="dxa"/>
            <w:tcBorders>
              <w:left w:val="single" w:sz="4" w:space="0" w:color="auto"/>
            </w:tcBorders>
            <w:noWrap/>
            <w:hideMark/>
          </w:tcPr>
          <w:p w14:paraId="6B7A9C8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19</w:t>
            </w:r>
          </w:p>
        </w:tc>
        <w:tc>
          <w:tcPr>
            <w:tcW w:w="628" w:type="dxa"/>
            <w:noWrap/>
            <w:hideMark/>
          </w:tcPr>
          <w:p w14:paraId="59D2DC3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63%</w:t>
            </w:r>
          </w:p>
        </w:tc>
        <w:tc>
          <w:tcPr>
            <w:tcW w:w="567" w:type="dxa"/>
            <w:noWrap/>
            <w:hideMark/>
          </w:tcPr>
          <w:p w14:paraId="09567A8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r>
      <w:tr w:rsidR="008B4D96" w:rsidRPr="008B4D96" w14:paraId="4C5A6527"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34C0CF10"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Waimakariri</w:t>
            </w:r>
          </w:p>
        </w:tc>
        <w:tc>
          <w:tcPr>
            <w:tcW w:w="961" w:type="dxa"/>
            <w:noWrap/>
            <w:hideMark/>
          </w:tcPr>
          <w:p w14:paraId="63D46B3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c>
          <w:tcPr>
            <w:tcW w:w="628" w:type="dxa"/>
            <w:noWrap/>
            <w:hideMark/>
          </w:tcPr>
          <w:p w14:paraId="6722AF2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55%</w:t>
            </w:r>
          </w:p>
        </w:tc>
        <w:tc>
          <w:tcPr>
            <w:tcW w:w="558" w:type="dxa"/>
            <w:tcBorders>
              <w:right w:val="single" w:sz="4" w:space="0" w:color="auto"/>
            </w:tcBorders>
            <w:noWrap/>
            <w:hideMark/>
          </w:tcPr>
          <w:p w14:paraId="38A5E9D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w:t>
            </w:r>
          </w:p>
        </w:tc>
        <w:tc>
          <w:tcPr>
            <w:tcW w:w="960" w:type="dxa"/>
            <w:tcBorders>
              <w:left w:val="single" w:sz="4" w:space="0" w:color="auto"/>
            </w:tcBorders>
            <w:noWrap/>
            <w:hideMark/>
          </w:tcPr>
          <w:p w14:paraId="5007ECC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15</w:t>
            </w:r>
          </w:p>
        </w:tc>
        <w:tc>
          <w:tcPr>
            <w:tcW w:w="628" w:type="dxa"/>
            <w:noWrap/>
            <w:hideMark/>
          </w:tcPr>
          <w:p w14:paraId="5B13D08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54%</w:t>
            </w:r>
          </w:p>
        </w:tc>
        <w:tc>
          <w:tcPr>
            <w:tcW w:w="661" w:type="dxa"/>
            <w:tcBorders>
              <w:right w:val="single" w:sz="4" w:space="0" w:color="auto"/>
            </w:tcBorders>
            <w:noWrap/>
            <w:hideMark/>
          </w:tcPr>
          <w:p w14:paraId="2232DDE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c>
          <w:tcPr>
            <w:tcW w:w="960" w:type="dxa"/>
            <w:tcBorders>
              <w:left w:val="single" w:sz="4" w:space="0" w:color="auto"/>
            </w:tcBorders>
            <w:noWrap/>
            <w:hideMark/>
          </w:tcPr>
          <w:p w14:paraId="14769B4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15</w:t>
            </w:r>
          </w:p>
        </w:tc>
        <w:tc>
          <w:tcPr>
            <w:tcW w:w="628" w:type="dxa"/>
            <w:noWrap/>
            <w:hideMark/>
          </w:tcPr>
          <w:p w14:paraId="252F3EB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52%</w:t>
            </w:r>
          </w:p>
        </w:tc>
        <w:tc>
          <w:tcPr>
            <w:tcW w:w="567" w:type="dxa"/>
            <w:noWrap/>
            <w:hideMark/>
          </w:tcPr>
          <w:p w14:paraId="2085E97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r>
      <w:tr w:rsidR="008B4D96" w:rsidRPr="008B4D96" w14:paraId="30D99F5A"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42E76ABA"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Mackenzie</w:t>
            </w:r>
          </w:p>
        </w:tc>
        <w:tc>
          <w:tcPr>
            <w:tcW w:w="961" w:type="dxa"/>
            <w:noWrap/>
            <w:hideMark/>
          </w:tcPr>
          <w:p w14:paraId="42F6281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786C5E2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36%</w:t>
            </w:r>
          </w:p>
        </w:tc>
        <w:tc>
          <w:tcPr>
            <w:tcW w:w="558" w:type="dxa"/>
            <w:tcBorders>
              <w:right w:val="single" w:sz="4" w:space="0" w:color="auto"/>
            </w:tcBorders>
            <w:noWrap/>
            <w:hideMark/>
          </w:tcPr>
          <w:p w14:paraId="7065FF8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960" w:type="dxa"/>
            <w:tcBorders>
              <w:left w:val="single" w:sz="4" w:space="0" w:color="auto"/>
            </w:tcBorders>
            <w:noWrap/>
            <w:hideMark/>
          </w:tcPr>
          <w:p w14:paraId="1408986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28CBE12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52%</w:t>
            </w:r>
          </w:p>
        </w:tc>
        <w:tc>
          <w:tcPr>
            <w:tcW w:w="661" w:type="dxa"/>
            <w:tcBorders>
              <w:right w:val="single" w:sz="4" w:space="0" w:color="auto"/>
            </w:tcBorders>
            <w:noWrap/>
            <w:hideMark/>
          </w:tcPr>
          <w:p w14:paraId="3089ED1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960" w:type="dxa"/>
            <w:tcBorders>
              <w:left w:val="single" w:sz="4" w:space="0" w:color="auto"/>
            </w:tcBorders>
            <w:noWrap/>
            <w:hideMark/>
          </w:tcPr>
          <w:p w14:paraId="365A37B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8</w:t>
            </w:r>
          </w:p>
        </w:tc>
        <w:tc>
          <w:tcPr>
            <w:tcW w:w="628" w:type="dxa"/>
            <w:noWrap/>
            <w:hideMark/>
          </w:tcPr>
          <w:p w14:paraId="3E19556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46%</w:t>
            </w:r>
          </w:p>
        </w:tc>
        <w:tc>
          <w:tcPr>
            <w:tcW w:w="567" w:type="dxa"/>
            <w:noWrap/>
            <w:hideMark/>
          </w:tcPr>
          <w:p w14:paraId="6CEF3BE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w:t>
            </w:r>
          </w:p>
        </w:tc>
      </w:tr>
      <w:tr w:rsidR="008B4D96" w:rsidRPr="008B4D96" w14:paraId="72D36F91"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27C30D8C"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Timaru</w:t>
            </w:r>
          </w:p>
        </w:tc>
        <w:tc>
          <w:tcPr>
            <w:tcW w:w="961" w:type="dxa"/>
            <w:noWrap/>
            <w:hideMark/>
          </w:tcPr>
          <w:p w14:paraId="00EB832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c>
          <w:tcPr>
            <w:tcW w:w="628" w:type="dxa"/>
            <w:noWrap/>
            <w:hideMark/>
          </w:tcPr>
          <w:p w14:paraId="66128FE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71%</w:t>
            </w:r>
          </w:p>
        </w:tc>
        <w:tc>
          <w:tcPr>
            <w:tcW w:w="558" w:type="dxa"/>
            <w:tcBorders>
              <w:right w:val="single" w:sz="4" w:space="0" w:color="auto"/>
            </w:tcBorders>
            <w:noWrap/>
            <w:hideMark/>
          </w:tcPr>
          <w:p w14:paraId="7128A2D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960" w:type="dxa"/>
            <w:tcBorders>
              <w:left w:val="single" w:sz="4" w:space="0" w:color="auto"/>
            </w:tcBorders>
            <w:noWrap/>
            <w:hideMark/>
          </w:tcPr>
          <w:p w14:paraId="3EFBB6F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w:t>
            </w:r>
          </w:p>
        </w:tc>
        <w:tc>
          <w:tcPr>
            <w:tcW w:w="628" w:type="dxa"/>
            <w:noWrap/>
            <w:hideMark/>
          </w:tcPr>
          <w:p w14:paraId="59A7300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65%</w:t>
            </w:r>
          </w:p>
        </w:tc>
        <w:tc>
          <w:tcPr>
            <w:tcW w:w="661" w:type="dxa"/>
            <w:tcBorders>
              <w:right w:val="single" w:sz="4" w:space="0" w:color="auto"/>
            </w:tcBorders>
            <w:noWrap/>
            <w:hideMark/>
          </w:tcPr>
          <w:p w14:paraId="7DEA072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960" w:type="dxa"/>
            <w:tcBorders>
              <w:left w:val="single" w:sz="4" w:space="0" w:color="auto"/>
            </w:tcBorders>
            <w:noWrap/>
            <w:hideMark/>
          </w:tcPr>
          <w:p w14:paraId="162267F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40FB837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67" w:type="dxa"/>
            <w:noWrap/>
            <w:hideMark/>
          </w:tcPr>
          <w:p w14:paraId="0BEF351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r>
      <w:tr w:rsidR="008B4D96" w:rsidRPr="008B4D96" w14:paraId="230E8D1A"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346BF5D4"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Kaikoura</w:t>
            </w:r>
          </w:p>
        </w:tc>
        <w:tc>
          <w:tcPr>
            <w:tcW w:w="961" w:type="dxa"/>
            <w:noWrap/>
            <w:hideMark/>
          </w:tcPr>
          <w:p w14:paraId="2CC28C1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w:t>
            </w:r>
          </w:p>
        </w:tc>
        <w:tc>
          <w:tcPr>
            <w:tcW w:w="628" w:type="dxa"/>
            <w:noWrap/>
            <w:hideMark/>
          </w:tcPr>
          <w:p w14:paraId="3E84885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67%</w:t>
            </w:r>
          </w:p>
        </w:tc>
        <w:tc>
          <w:tcPr>
            <w:tcW w:w="558" w:type="dxa"/>
            <w:tcBorders>
              <w:right w:val="single" w:sz="4" w:space="0" w:color="auto"/>
            </w:tcBorders>
            <w:noWrap/>
            <w:hideMark/>
          </w:tcPr>
          <w:p w14:paraId="7D708BA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960" w:type="dxa"/>
            <w:tcBorders>
              <w:left w:val="single" w:sz="4" w:space="0" w:color="auto"/>
            </w:tcBorders>
            <w:noWrap/>
            <w:hideMark/>
          </w:tcPr>
          <w:p w14:paraId="61ABBD5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148BD41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61" w:type="dxa"/>
            <w:tcBorders>
              <w:right w:val="single" w:sz="4" w:space="0" w:color="auto"/>
            </w:tcBorders>
            <w:noWrap/>
            <w:hideMark/>
          </w:tcPr>
          <w:p w14:paraId="5353C77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50176BD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2D918BA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67%</w:t>
            </w:r>
          </w:p>
        </w:tc>
        <w:tc>
          <w:tcPr>
            <w:tcW w:w="567" w:type="dxa"/>
            <w:noWrap/>
            <w:hideMark/>
          </w:tcPr>
          <w:p w14:paraId="43A81A8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r>
      <w:tr w:rsidR="008B4D96" w:rsidRPr="008B4D96" w14:paraId="78E4C695"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0047F30B"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Southland</w:t>
            </w:r>
          </w:p>
        </w:tc>
        <w:tc>
          <w:tcPr>
            <w:tcW w:w="961" w:type="dxa"/>
            <w:noWrap/>
            <w:hideMark/>
          </w:tcPr>
          <w:p w14:paraId="6343A33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34DA6ED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25%</w:t>
            </w:r>
          </w:p>
        </w:tc>
        <w:tc>
          <w:tcPr>
            <w:tcW w:w="558" w:type="dxa"/>
            <w:tcBorders>
              <w:right w:val="single" w:sz="4" w:space="0" w:color="auto"/>
            </w:tcBorders>
            <w:noWrap/>
            <w:hideMark/>
          </w:tcPr>
          <w:p w14:paraId="3ADB3D3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960" w:type="dxa"/>
            <w:tcBorders>
              <w:left w:val="single" w:sz="4" w:space="0" w:color="auto"/>
            </w:tcBorders>
            <w:noWrap/>
            <w:hideMark/>
          </w:tcPr>
          <w:p w14:paraId="07C864A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2DC98C2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61" w:type="dxa"/>
            <w:tcBorders>
              <w:right w:val="single" w:sz="4" w:space="0" w:color="auto"/>
            </w:tcBorders>
            <w:noWrap/>
            <w:hideMark/>
          </w:tcPr>
          <w:p w14:paraId="2812337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5D4E509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10</w:t>
            </w:r>
          </w:p>
        </w:tc>
        <w:tc>
          <w:tcPr>
            <w:tcW w:w="628" w:type="dxa"/>
            <w:noWrap/>
            <w:hideMark/>
          </w:tcPr>
          <w:p w14:paraId="2077DA8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11%</w:t>
            </w:r>
          </w:p>
        </w:tc>
        <w:tc>
          <w:tcPr>
            <w:tcW w:w="567" w:type="dxa"/>
            <w:noWrap/>
            <w:hideMark/>
          </w:tcPr>
          <w:p w14:paraId="31071CB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w:t>
            </w:r>
          </w:p>
        </w:tc>
      </w:tr>
      <w:tr w:rsidR="008B4D96" w:rsidRPr="008B4D96" w14:paraId="3884433B"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7BA32DDF"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Ashburton</w:t>
            </w:r>
          </w:p>
        </w:tc>
        <w:tc>
          <w:tcPr>
            <w:tcW w:w="961" w:type="dxa"/>
            <w:noWrap/>
            <w:hideMark/>
          </w:tcPr>
          <w:p w14:paraId="3E23CC0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7E56364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58" w:type="dxa"/>
            <w:tcBorders>
              <w:right w:val="single" w:sz="4" w:space="0" w:color="auto"/>
            </w:tcBorders>
            <w:noWrap/>
            <w:hideMark/>
          </w:tcPr>
          <w:p w14:paraId="4C6D1B8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10C707C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12</w:t>
            </w:r>
          </w:p>
        </w:tc>
        <w:tc>
          <w:tcPr>
            <w:tcW w:w="628" w:type="dxa"/>
            <w:noWrap/>
            <w:hideMark/>
          </w:tcPr>
          <w:p w14:paraId="3E832EE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21%</w:t>
            </w:r>
          </w:p>
        </w:tc>
        <w:tc>
          <w:tcPr>
            <w:tcW w:w="661" w:type="dxa"/>
            <w:tcBorders>
              <w:right w:val="single" w:sz="4" w:space="0" w:color="auto"/>
            </w:tcBorders>
            <w:noWrap/>
            <w:hideMark/>
          </w:tcPr>
          <w:p w14:paraId="49ABD95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w:t>
            </w:r>
          </w:p>
        </w:tc>
        <w:tc>
          <w:tcPr>
            <w:tcW w:w="960" w:type="dxa"/>
            <w:tcBorders>
              <w:left w:val="single" w:sz="4" w:space="0" w:color="auto"/>
            </w:tcBorders>
            <w:noWrap/>
            <w:hideMark/>
          </w:tcPr>
          <w:p w14:paraId="60BDD4F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6DA0EDC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22%</w:t>
            </w:r>
          </w:p>
        </w:tc>
        <w:tc>
          <w:tcPr>
            <w:tcW w:w="567" w:type="dxa"/>
            <w:noWrap/>
            <w:hideMark/>
          </w:tcPr>
          <w:p w14:paraId="51D020B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r>
      <w:tr w:rsidR="008B4D96" w:rsidRPr="008B4D96" w14:paraId="5879F49D"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45140919"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Otago</w:t>
            </w:r>
          </w:p>
        </w:tc>
        <w:tc>
          <w:tcPr>
            <w:tcW w:w="961" w:type="dxa"/>
            <w:noWrap/>
            <w:hideMark/>
          </w:tcPr>
          <w:p w14:paraId="2CADD5A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23EB46A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58" w:type="dxa"/>
            <w:tcBorders>
              <w:right w:val="single" w:sz="4" w:space="0" w:color="auto"/>
            </w:tcBorders>
            <w:noWrap/>
            <w:hideMark/>
          </w:tcPr>
          <w:p w14:paraId="1401873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19AC7AE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w:t>
            </w:r>
          </w:p>
        </w:tc>
        <w:tc>
          <w:tcPr>
            <w:tcW w:w="628" w:type="dxa"/>
            <w:noWrap/>
            <w:hideMark/>
          </w:tcPr>
          <w:p w14:paraId="08F3E5C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19%</w:t>
            </w:r>
          </w:p>
        </w:tc>
        <w:tc>
          <w:tcPr>
            <w:tcW w:w="661" w:type="dxa"/>
            <w:tcBorders>
              <w:right w:val="single" w:sz="4" w:space="0" w:color="auto"/>
            </w:tcBorders>
            <w:noWrap/>
            <w:hideMark/>
          </w:tcPr>
          <w:p w14:paraId="0FC2F8C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w:t>
            </w:r>
          </w:p>
        </w:tc>
        <w:tc>
          <w:tcPr>
            <w:tcW w:w="960" w:type="dxa"/>
            <w:tcBorders>
              <w:left w:val="single" w:sz="4" w:space="0" w:color="auto"/>
            </w:tcBorders>
            <w:noWrap/>
            <w:hideMark/>
          </w:tcPr>
          <w:p w14:paraId="45CEE34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2CF2E83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67" w:type="dxa"/>
            <w:noWrap/>
            <w:hideMark/>
          </w:tcPr>
          <w:p w14:paraId="7DC3B81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r>
      <w:tr w:rsidR="008B4D96" w:rsidRPr="008B4D96" w14:paraId="3ADF9D31"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59AA15F5"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Dunedin</w:t>
            </w:r>
          </w:p>
        </w:tc>
        <w:tc>
          <w:tcPr>
            <w:tcW w:w="961" w:type="dxa"/>
            <w:noWrap/>
            <w:hideMark/>
          </w:tcPr>
          <w:p w14:paraId="6D19398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7BC20FD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58" w:type="dxa"/>
            <w:tcBorders>
              <w:right w:val="single" w:sz="4" w:space="0" w:color="auto"/>
            </w:tcBorders>
            <w:noWrap/>
            <w:hideMark/>
          </w:tcPr>
          <w:p w14:paraId="5EE5C24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2F5B19A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w:t>
            </w:r>
          </w:p>
        </w:tc>
        <w:tc>
          <w:tcPr>
            <w:tcW w:w="628" w:type="dxa"/>
            <w:noWrap/>
            <w:hideMark/>
          </w:tcPr>
          <w:p w14:paraId="54F3D8C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12%</w:t>
            </w:r>
          </w:p>
        </w:tc>
        <w:tc>
          <w:tcPr>
            <w:tcW w:w="661" w:type="dxa"/>
            <w:tcBorders>
              <w:right w:val="single" w:sz="4" w:space="0" w:color="auto"/>
            </w:tcBorders>
            <w:noWrap/>
            <w:hideMark/>
          </w:tcPr>
          <w:p w14:paraId="29D15F6F"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w:t>
            </w:r>
          </w:p>
        </w:tc>
        <w:tc>
          <w:tcPr>
            <w:tcW w:w="960" w:type="dxa"/>
            <w:tcBorders>
              <w:left w:val="single" w:sz="4" w:space="0" w:color="auto"/>
            </w:tcBorders>
            <w:noWrap/>
            <w:hideMark/>
          </w:tcPr>
          <w:p w14:paraId="6046DDD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628" w:type="dxa"/>
            <w:noWrap/>
            <w:hideMark/>
          </w:tcPr>
          <w:p w14:paraId="19B8997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47%</w:t>
            </w:r>
          </w:p>
        </w:tc>
        <w:tc>
          <w:tcPr>
            <w:tcW w:w="567" w:type="dxa"/>
            <w:noWrap/>
            <w:hideMark/>
          </w:tcPr>
          <w:p w14:paraId="59E4D58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r>
      <w:tr w:rsidR="008B4D96" w:rsidRPr="008B4D96" w14:paraId="2038675D"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noWrap/>
            <w:hideMark/>
          </w:tcPr>
          <w:p w14:paraId="2F9E26C9"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Invercargill</w:t>
            </w:r>
          </w:p>
        </w:tc>
        <w:tc>
          <w:tcPr>
            <w:tcW w:w="961" w:type="dxa"/>
            <w:noWrap/>
            <w:hideMark/>
          </w:tcPr>
          <w:p w14:paraId="6142B98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57D40E9D"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58" w:type="dxa"/>
            <w:tcBorders>
              <w:right w:val="single" w:sz="4" w:space="0" w:color="auto"/>
            </w:tcBorders>
            <w:noWrap/>
            <w:hideMark/>
          </w:tcPr>
          <w:p w14:paraId="7D417B1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tcBorders>
            <w:noWrap/>
            <w:hideMark/>
          </w:tcPr>
          <w:p w14:paraId="541B39CE"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2</w:t>
            </w:r>
          </w:p>
        </w:tc>
        <w:tc>
          <w:tcPr>
            <w:tcW w:w="628" w:type="dxa"/>
            <w:noWrap/>
            <w:hideMark/>
          </w:tcPr>
          <w:p w14:paraId="33856CC7"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34%</w:t>
            </w:r>
          </w:p>
        </w:tc>
        <w:tc>
          <w:tcPr>
            <w:tcW w:w="661" w:type="dxa"/>
            <w:tcBorders>
              <w:right w:val="single" w:sz="4" w:space="0" w:color="auto"/>
            </w:tcBorders>
            <w:noWrap/>
            <w:hideMark/>
          </w:tcPr>
          <w:p w14:paraId="20AAD91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c>
          <w:tcPr>
            <w:tcW w:w="960" w:type="dxa"/>
            <w:tcBorders>
              <w:left w:val="single" w:sz="4" w:space="0" w:color="auto"/>
            </w:tcBorders>
            <w:noWrap/>
            <w:hideMark/>
          </w:tcPr>
          <w:p w14:paraId="55566C0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noWrap/>
            <w:hideMark/>
          </w:tcPr>
          <w:p w14:paraId="6F7AC58B"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67" w:type="dxa"/>
            <w:noWrap/>
            <w:hideMark/>
          </w:tcPr>
          <w:p w14:paraId="53F95B82"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r>
      <w:tr w:rsidR="008B4D96" w:rsidRPr="008B4D96" w14:paraId="20B476C5"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tcBorders>
              <w:bottom w:val="single" w:sz="4" w:space="0" w:color="auto"/>
            </w:tcBorders>
            <w:noWrap/>
            <w:hideMark/>
          </w:tcPr>
          <w:p w14:paraId="2EE22C29"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Waitaki</w:t>
            </w:r>
          </w:p>
        </w:tc>
        <w:tc>
          <w:tcPr>
            <w:tcW w:w="961" w:type="dxa"/>
            <w:tcBorders>
              <w:bottom w:val="single" w:sz="4" w:space="0" w:color="auto"/>
            </w:tcBorders>
            <w:noWrap/>
            <w:hideMark/>
          </w:tcPr>
          <w:p w14:paraId="35C4DE6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tcBorders>
              <w:bottom w:val="single" w:sz="4" w:space="0" w:color="auto"/>
            </w:tcBorders>
            <w:noWrap/>
            <w:hideMark/>
          </w:tcPr>
          <w:p w14:paraId="5C9540D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558" w:type="dxa"/>
            <w:tcBorders>
              <w:bottom w:val="single" w:sz="4" w:space="0" w:color="auto"/>
              <w:right w:val="single" w:sz="4" w:space="0" w:color="auto"/>
            </w:tcBorders>
            <w:noWrap/>
            <w:hideMark/>
          </w:tcPr>
          <w:p w14:paraId="64E5DBD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bottom w:val="single" w:sz="4" w:space="0" w:color="auto"/>
            </w:tcBorders>
            <w:noWrap/>
            <w:hideMark/>
          </w:tcPr>
          <w:p w14:paraId="612E94A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28" w:type="dxa"/>
            <w:tcBorders>
              <w:bottom w:val="single" w:sz="4" w:space="0" w:color="auto"/>
            </w:tcBorders>
            <w:noWrap/>
            <w:hideMark/>
          </w:tcPr>
          <w:p w14:paraId="5308A4B3"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661" w:type="dxa"/>
            <w:tcBorders>
              <w:bottom w:val="single" w:sz="4" w:space="0" w:color="auto"/>
              <w:right w:val="single" w:sz="4" w:space="0" w:color="auto"/>
            </w:tcBorders>
            <w:noWrap/>
            <w:hideMark/>
          </w:tcPr>
          <w:p w14:paraId="0DA35A6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w:t>
            </w:r>
          </w:p>
        </w:tc>
        <w:tc>
          <w:tcPr>
            <w:tcW w:w="960" w:type="dxa"/>
            <w:tcBorders>
              <w:left w:val="single" w:sz="4" w:space="0" w:color="auto"/>
              <w:bottom w:val="single" w:sz="4" w:space="0" w:color="auto"/>
            </w:tcBorders>
            <w:noWrap/>
            <w:hideMark/>
          </w:tcPr>
          <w:p w14:paraId="4ED08A38"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w:t>
            </w:r>
          </w:p>
        </w:tc>
        <w:tc>
          <w:tcPr>
            <w:tcW w:w="628" w:type="dxa"/>
            <w:tcBorders>
              <w:bottom w:val="single" w:sz="4" w:space="0" w:color="auto"/>
            </w:tcBorders>
            <w:noWrap/>
            <w:hideMark/>
          </w:tcPr>
          <w:p w14:paraId="31536DE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70%</w:t>
            </w:r>
          </w:p>
        </w:tc>
        <w:tc>
          <w:tcPr>
            <w:tcW w:w="567" w:type="dxa"/>
            <w:tcBorders>
              <w:bottom w:val="single" w:sz="4" w:space="0" w:color="auto"/>
            </w:tcBorders>
            <w:noWrap/>
            <w:hideMark/>
          </w:tcPr>
          <w:p w14:paraId="68ABC514"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w:t>
            </w:r>
          </w:p>
        </w:tc>
      </w:tr>
      <w:tr w:rsidR="008B4D96" w:rsidRPr="008B4D96" w14:paraId="2DDA48BE" w14:textId="77777777" w:rsidTr="00E34AEB">
        <w:trPr>
          <w:trHeight w:val="300"/>
          <w:jc w:val="center"/>
        </w:trPr>
        <w:tc>
          <w:tcPr>
            <w:cnfStyle w:val="001000000000" w:firstRow="0" w:lastRow="0" w:firstColumn="1" w:lastColumn="0" w:oddVBand="0" w:evenVBand="0" w:oddHBand="0" w:evenHBand="0" w:firstRowFirstColumn="0" w:firstRowLastColumn="0" w:lastRowFirstColumn="0" w:lastRowLastColumn="0"/>
            <w:tcW w:w="1461" w:type="dxa"/>
            <w:tcBorders>
              <w:top w:val="single" w:sz="4" w:space="0" w:color="auto"/>
            </w:tcBorders>
            <w:noWrap/>
            <w:hideMark/>
          </w:tcPr>
          <w:p w14:paraId="463D29A0" w14:textId="77777777" w:rsidR="008B4D96" w:rsidRPr="008B4D96" w:rsidRDefault="008B4D96" w:rsidP="006F2B56">
            <w:pPr>
              <w:spacing w:before="120" w:line="264" w:lineRule="auto"/>
              <w:rPr>
                <w:rFonts w:ascii="Arial" w:hAnsi="Arial" w:cs="Arial"/>
                <w:b/>
                <w:color w:val="000000"/>
                <w:sz w:val="20"/>
                <w:szCs w:val="20"/>
                <w:lang w:eastAsia="en-NZ"/>
              </w:rPr>
            </w:pPr>
            <w:r w:rsidRPr="008B4D96">
              <w:rPr>
                <w:rFonts w:ascii="Arial" w:hAnsi="Arial" w:cs="Arial"/>
                <w:b/>
                <w:color w:val="000000"/>
                <w:sz w:val="20"/>
                <w:szCs w:val="20"/>
                <w:lang w:eastAsia="en-NZ"/>
              </w:rPr>
              <w:t>Overall</w:t>
            </w:r>
          </w:p>
        </w:tc>
        <w:tc>
          <w:tcPr>
            <w:tcW w:w="961" w:type="dxa"/>
            <w:tcBorders>
              <w:top w:val="single" w:sz="4" w:space="0" w:color="auto"/>
            </w:tcBorders>
            <w:noWrap/>
            <w:hideMark/>
          </w:tcPr>
          <w:p w14:paraId="3372B299"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12,689</w:t>
            </w:r>
          </w:p>
        </w:tc>
        <w:tc>
          <w:tcPr>
            <w:tcW w:w="628" w:type="dxa"/>
            <w:tcBorders>
              <w:top w:val="single" w:sz="4" w:space="0" w:color="auto"/>
            </w:tcBorders>
            <w:noWrap/>
            <w:hideMark/>
          </w:tcPr>
          <w:p w14:paraId="523A586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95%</w:t>
            </w:r>
          </w:p>
        </w:tc>
        <w:tc>
          <w:tcPr>
            <w:tcW w:w="558" w:type="dxa"/>
            <w:tcBorders>
              <w:top w:val="single" w:sz="4" w:space="0" w:color="auto"/>
              <w:right w:val="single" w:sz="4" w:space="0" w:color="auto"/>
            </w:tcBorders>
            <w:noWrap/>
            <w:hideMark/>
          </w:tcPr>
          <w:p w14:paraId="235DF91A"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635</w:t>
            </w:r>
          </w:p>
        </w:tc>
        <w:tc>
          <w:tcPr>
            <w:tcW w:w="960" w:type="dxa"/>
            <w:tcBorders>
              <w:top w:val="single" w:sz="4" w:space="0" w:color="auto"/>
              <w:left w:val="single" w:sz="4" w:space="0" w:color="auto"/>
            </w:tcBorders>
            <w:noWrap/>
            <w:hideMark/>
          </w:tcPr>
          <w:p w14:paraId="672A2F30"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5,469</w:t>
            </w:r>
          </w:p>
        </w:tc>
        <w:tc>
          <w:tcPr>
            <w:tcW w:w="628" w:type="dxa"/>
            <w:tcBorders>
              <w:top w:val="single" w:sz="4" w:space="0" w:color="auto"/>
            </w:tcBorders>
            <w:noWrap/>
            <w:hideMark/>
          </w:tcPr>
          <w:p w14:paraId="58612EF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77%</w:t>
            </w:r>
          </w:p>
        </w:tc>
        <w:tc>
          <w:tcPr>
            <w:tcW w:w="661" w:type="dxa"/>
            <w:tcBorders>
              <w:top w:val="single" w:sz="4" w:space="0" w:color="auto"/>
              <w:right w:val="single" w:sz="4" w:space="0" w:color="auto"/>
            </w:tcBorders>
            <w:noWrap/>
            <w:hideMark/>
          </w:tcPr>
          <w:p w14:paraId="23545EA1"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1265</w:t>
            </w:r>
          </w:p>
        </w:tc>
        <w:tc>
          <w:tcPr>
            <w:tcW w:w="960" w:type="dxa"/>
            <w:tcBorders>
              <w:top w:val="single" w:sz="4" w:space="0" w:color="auto"/>
              <w:left w:val="single" w:sz="4" w:space="0" w:color="auto"/>
            </w:tcBorders>
            <w:noWrap/>
            <w:hideMark/>
          </w:tcPr>
          <w:p w14:paraId="76BEFB3C"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3,219</w:t>
            </w:r>
          </w:p>
        </w:tc>
        <w:tc>
          <w:tcPr>
            <w:tcW w:w="628" w:type="dxa"/>
            <w:tcBorders>
              <w:top w:val="single" w:sz="4" w:space="0" w:color="auto"/>
            </w:tcBorders>
            <w:noWrap/>
            <w:hideMark/>
          </w:tcPr>
          <w:p w14:paraId="17B92835"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83%</w:t>
            </w:r>
          </w:p>
        </w:tc>
        <w:tc>
          <w:tcPr>
            <w:tcW w:w="567" w:type="dxa"/>
            <w:tcBorders>
              <w:top w:val="single" w:sz="4" w:space="0" w:color="auto"/>
            </w:tcBorders>
            <w:noWrap/>
            <w:hideMark/>
          </w:tcPr>
          <w:p w14:paraId="35483306" w14:textId="77777777" w:rsidR="008B4D96" w:rsidRPr="008B4D96" w:rsidRDefault="008B4D96" w:rsidP="006F2B56">
            <w:pPr>
              <w:spacing w:before="12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NZ"/>
              </w:rPr>
            </w:pPr>
            <w:r w:rsidRPr="008B4D96">
              <w:rPr>
                <w:rFonts w:ascii="Arial" w:hAnsi="Arial" w:cs="Arial"/>
                <w:color w:val="000000"/>
                <w:sz w:val="20"/>
                <w:szCs w:val="20"/>
                <w:lang w:eastAsia="en-NZ"/>
              </w:rPr>
              <w:t>534</w:t>
            </w:r>
          </w:p>
        </w:tc>
      </w:tr>
    </w:tbl>
    <w:p w14:paraId="5DF0A0F8" w14:textId="77777777" w:rsidR="00E34AEB" w:rsidRDefault="00E34AEB" w:rsidP="00E34AEB">
      <w:pPr>
        <w:spacing w:before="120" w:line="264" w:lineRule="auto"/>
        <w:jc w:val="both"/>
        <w:rPr>
          <w:rFonts w:ascii="Arial" w:hAnsi="Arial" w:cs="Arial"/>
          <w:sz w:val="22"/>
          <w:szCs w:val="22"/>
        </w:rPr>
      </w:pPr>
    </w:p>
    <w:p w14:paraId="2A257984" w14:textId="735C3C0F" w:rsidR="008B4D96" w:rsidRPr="008B4D96" w:rsidRDefault="00E34AEB" w:rsidP="008B4D96">
      <w:pPr>
        <w:spacing w:before="120" w:line="264" w:lineRule="auto"/>
        <w:jc w:val="both"/>
        <w:rPr>
          <w:rFonts w:ascii="Arial" w:hAnsi="Arial" w:cs="Arial"/>
          <w:sz w:val="22"/>
          <w:szCs w:val="22"/>
        </w:rPr>
      </w:pPr>
      <w:r w:rsidRPr="008B4D96">
        <w:rPr>
          <w:rFonts w:ascii="Arial" w:hAnsi="Arial" w:cs="Arial"/>
          <w:sz w:val="22"/>
          <w:szCs w:val="22"/>
        </w:rPr>
        <w:t xml:space="preserve">Referring to </w:t>
      </w:r>
      <w:r w:rsidRPr="008B4D96">
        <w:rPr>
          <w:rFonts w:ascii="Arial" w:hAnsi="Arial" w:cs="Arial"/>
          <w:sz w:val="22"/>
          <w:szCs w:val="22"/>
        </w:rPr>
        <w:fldChar w:fldCharType="begin"/>
      </w:r>
      <w:r w:rsidRPr="008B4D96">
        <w:rPr>
          <w:rFonts w:ascii="Arial" w:hAnsi="Arial" w:cs="Arial"/>
          <w:sz w:val="22"/>
          <w:szCs w:val="22"/>
        </w:rPr>
        <w:instrText xml:space="preserve"> REF _Ref36804647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Table 2</w:t>
      </w:r>
      <w:r w:rsidRPr="008B4D96">
        <w:rPr>
          <w:rFonts w:ascii="Arial" w:hAnsi="Arial" w:cs="Arial"/>
          <w:sz w:val="22"/>
          <w:szCs w:val="22"/>
        </w:rPr>
        <w:fldChar w:fldCharType="end"/>
      </w:r>
      <w:r w:rsidRPr="008B4D96">
        <w:rPr>
          <w:rFonts w:ascii="Arial" w:hAnsi="Arial" w:cs="Arial"/>
          <w:sz w:val="22"/>
          <w:szCs w:val="22"/>
        </w:rPr>
        <w:t xml:space="preserve">, NTR was estimated for trips from the three most impacted districts to all other districts over the one-year recovery period. </w:t>
      </w:r>
      <w:proofErr w:type="gramStart"/>
      <w:r w:rsidRPr="008B4D96">
        <w:rPr>
          <w:rFonts w:ascii="Arial" w:hAnsi="Arial" w:cs="Arial"/>
          <w:sz w:val="22"/>
          <w:szCs w:val="22"/>
        </w:rPr>
        <w:t>It can be seen that most</w:t>
      </w:r>
      <w:proofErr w:type="gramEnd"/>
      <w:r w:rsidRPr="008B4D96">
        <w:rPr>
          <w:rFonts w:ascii="Arial" w:hAnsi="Arial" w:cs="Arial"/>
          <w:sz w:val="22"/>
          <w:szCs w:val="22"/>
        </w:rPr>
        <w:t xml:space="preserve"> of the intra-district trips for these three districts (highlighted ones) would occur without increased travel time, resulting in high NTR. EIT was calculated to determine the most impacted OD pairs over the </w:t>
      </w:r>
      <w:proofErr w:type="gramStart"/>
      <w:r w:rsidRPr="008B4D96">
        <w:rPr>
          <w:rFonts w:ascii="Arial" w:hAnsi="Arial" w:cs="Arial"/>
          <w:sz w:val="22"/>
          <w:szCs w:val="22"/>
        </w:rPr>
        <w:t>one year</w:t>
      </w:r>
      <w:proofErr w:type="gramEnd"/>
      <w:r w:rsidRPr="008B4D96">
        <w:rPr>
          <w:rFonts w:ascii="Arial" w:hAnsi="Arial" w:cs="Arial"/>
          <w:sz w:val="22"/>
          <w:szCs w:val="22"/>
        </w:rPr>
        <w:t xml:space="preserve"> recovery period. Note that EIT is only estimated from the three most impacted districts to all other districts. In total, 635, 1265 and 534 equivalent daily trips from Grey, Buller, and Westland are impacted by the earthquake, returning 5%, 23%, and 16% of BAU trips, respectively. </w:t>
      </w:r>
    </w:p>
    <w:p w14:paraId="7AB38448" w14:textId="77777777" w:rsidR="008B4D96" w:rsidRPr="008B4D96" w:rsidRDefault="008B4D96" w:rsidP="008B4D96">
      <w:pPr>
        <w:pStyle w:val="Heading1"/>
        <w:numPr>
          <w:ilvl w:val="1"/>
          <w:numId w:val="2"/>
        </w:numPr>
        <w:spacing w:before="120" w:line="264" w:lineRule="auto"/>
        <w:ind w:left="426"/>
        <w:jc w:val="both"/>
        <w:rPr>
          <w:rFonts w:ascii="Arial" w:eastAsia="CMS Y 10" w:hAnsi="Arial" w:cs="Arial"/>
          <w:b/>
          <w:bCs/>
          <w:color w:val="auto"/>
          <w:sz w:val="28"/>
          <w:szCs w:val="28"/>
        </w:rPr>
      </w:pPr>
      <w:r w:rsidRPr="008B4D96">
        <w:rPr>
          <w:rFonts w:ascii="Arial" w:eastAsia="CMS Y 10" w:hAnsi="Arial" w:cs="Arial"/>
          <w:b/>
          <w:bCs/>
          <w:color w:val="auto"/>
          <w:sz w:val="28"/>
          <w:szCs w:val="28"/>
        </w:rPr>
        <w:t>Auckland Motorway Network – SH16 WB</w:t>
      </w:r>
    </w:p>
    <w:p w14:paraId="53E6BB5C"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The Auckland Anniversary flood and cyclone Gabrielle earlier last year put the network's resilience to the test. The </w:t>
      </w:r>
      <w:proofErr w:type="gramStart"/>
      <w:r w:rsidRPr="008B4D96">
        <w:rPr>
          <w:rFonts w:ascii="Arial" w:hAnsi="Arial" w:cs="Arial"/>
          <w:sz w:val="22"/>
          <w:szCs w:val="22"/>
        </w:rPr>
        <w:t>general consensus</w:t>
      </w:r>
      <w:proofErr w:type="gramEnd"/>
      <w:r w:rsidRPr="008B4D96">
        <w:rPr>
          <w:rFonts w:ascii="Arial" w:hAnsi="Arial" w:cs="Arial"/>
          <w:sz w:val="22"/>
          <w:szCs w:val="22"/>
        </w:rPr>
        <w:t xml:space="preserve"> is that flooding will occur more frequently, and the impact will be more severe. The main aim of this project is to investigate the operational resilience of the network following incidents to support the Network Operations team to make a better decision to prioritise their resources in case of several disruptions on the network. The final product was a dashboard with a high-level quick assessment of the network resilience (section level between interchanges) to provide a quick reliable resilience score as well as Equivalent Impacted Trips (EIT) for the selected </w:t>
      </w:r>
      <w:r w:rsidRPr="008B4D96">
        <w:rPr>
          <w:rFonts w:ascii="Arial" w:hAnsi="Arial" w:cs="Arial"/>
          <w:sz w:val="22"/>
          <w:szCs w:val="22"/>
        </w:rPr>
        <w:lastRenderedPageBreak/>
        <w:t xml:space="preserve">closure on the network. It will help to reduce the recovery time by responding to incidents promptly and therefore, reducing the delay on the network, resulting in saving the cost of congestion. </w:t>
      </w:r>
    </w:p>
    <w:p w14:paraId="55AEA657"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As a proof of concept, the SH16 WB direction was selected to test the proposed resilience method in a dynamic network. The high-level queue model method was applied to estimate the additional delay and therefore the increased travel time due to the partial closure of the corridor. It was assumed all trips would occur due to short-term partial closure, so the robustness of the network was considered as 1. The BAU travel time was estimated using the flow-speed method. The resilience score and EIT were estimated for each segment between the onramps and offramps as the volume will remain consistent. The 5-minute time interval volume data was applied to estimate the delay on the network due to closure. In each scenario, depending on the day of the week, start time of closure, duration of closure and number of open lanes, the resilience score, equivalent impacted trips, and total delay are estimated. </w:t>
      </w:r>
      <w:r w:rsidRPr="008B4D96">
        <w:rPr>
          <w:rFonts w:ascii="Arial" w:hAnsi="Arial" w:cs="Arial"/>
          <w:sz w:val="22"/>
          <w:szCs w:val="22"/>
        </w:rPr>
        <w:fldChar w:fldCharType="begin"/>
      </w:r>
      <w:r w:rsidRPr="008B4D96">
        <w:rPr>
          <w:rFonts w:ascii="Arial" w:hAnsi="Arial" w:cs="Arial"/>
          <w:sz w:val="22"/>
          <w:szCs w:val="22"/>
        </w:rPr>
        <w:instrText xml:space="preserve"> REF _Ref164192624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4</w:t>
      </w:r>
      <w:r w:rsidRPr="008B4D96">
        <w:rPr>
          <w:rFonts w:ascii="Arial" w:hAnsi="Arial" w:cs="Arial"/>
          <w:sz w:val="22"/>
          <w:szCs w:val="22"/>
        </w:rPr>
        <w:fldChar w:fldCharType="end"/>
      </w:r>
      <w:r w:rsidRPr="008B4D96">
        <w:rPr>
          <w:rFonts w:ascii="Arial" w:hAnsi="Arial" w:cs="Arial"/>
          <w:sz w:val="22"/>
          <w:szCs w:val="22"/>
        </w:rPr>
        <w:t xml:space="preserve"> shows the Auckland Motorway Resilience Dashboard. When a closure is selected, the five worst sections of the network are shown in the map based on the highest impacted trips. The sections can be selected and added to the results panel to compare the results.    </w:t>
      </w:r>
    </w:p>
    <w:p w14:paraId="2830435B" w14:textId="77777777" w:rsidR="008B4D96" w:rsidRPr="008B4D96" w:rsidRDefault="008B4D96" w:rsidP="00E34AEB">
      <w:pPr>
        <w:spacing w:before="120" w:line="264" w:lineRule="auto"/>
        <w:jc w:val="center"/>
        <w:rPr>
          <w:rFonts w:ascii="Arial" w:hAnsi="Arial" w:cs="Arial"/>
          <w:sz w:val="22"/>
          <w:szCs w:val="22"/>
        </w:rPr>
      </w:pPr>
      <w:r w:rsidRPr="008B4D96">
        <w:rPr>
          <w:rFonts w:ascii="Arial" w:hAnsi="Arial" w:cs="Arial"/>
          <w:noProof/>
          <w:sz w:val="22"/>
          <w:szCs w:val="22"/>
        </w:rPr>
        <w:drawing>
          <wp:inline distT="0" distB="0" distL="0" distR="0" wp14:anchorId="684AB17E" wp14:editId="45739920">
            <wp:extent cx="5636591" cy="3269895"/>
            <wp:effectExtent l="0" t="0" r="2540" b="6985"/>
            <wp:docPr id="13782591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59104" name="Picture 1" descr="A screenshot of a computer&#10;&#10;Description automatically generated"/>
                    <pic:cNvPicPr/>
                  </pic:nvPicPr>
                  <pic:blipFill>
                    <a:blip r:embed="rId17"/>
                    <a:stretch>
                      <a:fillRect/>
                    </a:stretch>
                  </pic:blipFill>
                  <pic:spPr>
                    <a:xfrm>
                      <a:off x="0" y="0"/>
                      <a:ext cx="5649107" cy="3277156"/>
                    </a:xfrm>
                    <a:prstGeom prst="rect">
                      <a:avLst/>
                    </a:prstGeom>
                  </pic:spPr>
                </pic:pic>
              </a:graphicData>
            </a:graphic>
          </wp:inline>
        </w:drawing>
      </w:r>
    </w:p>
    <w:p w14:paraId="5E94B52D" w14:textId="77777777" w:rsidR="008B4D96" w:rsidRPr="008B4D96" w:rsidRDefault="008B4D96" w:rsidP="008B4D96">
      <w:pPr>
        <w:pStyle w:val="Caption"/>
        <w:spacing w:before="120" w:after="0" w:line="264" w:lineRule="auto"/>
        <w:jc w:val="center"/>
        <w:rPr>
          <w:rFonts w:ascii="Arial" w:hAnsi="Arial" w:cs="Arial"/>
          <w:i w:val="0"/>
          <w:color w:val="auto"/>
          <w:sz w:val="20"/>
          <w:szCs w:val="20"/>
        </w:rPr>
      </w:pPr>
      <w:bookmarkStart w:id="17" w:name="_Ref164192624"/>
      <w:r w:rsidRPr="008B4D96">
        <w:rPr>
          <w:rFonts w:ascii="Arial" w:hAnsi="Arial" w:cs="Arial"/>
          <w:i w:val="0"/>
          <w:color w:val="auto"/>
          <w:sz w:val="20"/>
          <w:szCs w:val="20"/>
        </w:rPr>
        <w:t xml:space="preserve">Figure </w:t>
      </w:r>
      <w:r w:rsidRPr="008B4D96">
        <w:rPr>
          <w:rFonts w:ascii="Arial" w:hAnsi="Arial" w:cs="Arial"/>
          <w:i w:val="0"/>
          <w:color w:val="auto"/>
          <w:sz w:val="20"/>
          <w:szCs w:val="20"/>
        </w:rPr>
        <w:fldChar w:fldCharType="begin"/>
      </w:r>
      <w:r w:rsidRPr="008B4D96">
        <w:rPr>
          <w:rFonts w:ascii="Arial" w:hAnsi="Arial" w:cs="Arial"/>
          <w:i w:val="0"/>
          <w:color w:val="auto"/>
          <w:sz w:val="20"/>
          <w:szCs w:val="20"/>
        </w:rPr>
        <w:instrText xml:space="preserve"> SEQ Figure \* ARABIC </w:instrText>
      </w:r>
      <w:r w:rsidRPr="008B4D96">
        <w:rPr>
          <w:rFonts w:ascii="Arial" w:hAnsi="Arial" w:cs="Arial"/>
          <w:i w:val="0"/>
          <w:color w:val="auto"/>
          <w:sz w:val="20"/>
          <w:szCs w:val="20"/>
        </w:rPr>
        <w:fldChar w:fldCharType="separate"/>
      </w:r>
      <w:r w:rsidRPr="008B4D96">
        <w:rPr>
          <w:rFonts w:ascii="Arial" w:hAnsi="Arial" w:cs="Arial"/>
          <w:i w:val="0"/>
          <w:noProof/>
          <w:color w:val="auto"/>
          <w:sz w:val="20"/>
          <w:szCs w:val="20"/>
        </w:rPr>
        <w:t>4</w:t>
      </w:r>
      <w:r w:rsidRPr="008B4D96">
        <w:rPr>
          <w:rFonts w:ascii="Arial" w:hAnsi="Arial" w:cs="Arial"/>
          <w:i w:val="0"/>
          <w:color w:val="auto"/>
          <w:sz w:val="20"/>
          <w:szCs w:val="20"/>
        </w:rPr>
        <w:fldChar w:fldCharType="end"/>
      </w:r>
      <w:bookmarkEnd w:id="17"/>
      <w:r w:rsidRPr="008B4D96">
        <w:rPr>
          <w:rFonts w:ascii="Arial" w:hAnsi="Arial" w:cs="Arial"/>
          <w:i w:val="0"/>
          <w:color w:val="auto"/>
          <w:sz w:val="20"/>
          <w:szCs w:val="20"/>
        </w:rPr>
        <w:t xml:space="preserve">: Auckland Motorway Resilience Dashboard – SH16 WB Direction  </w:t>
      </w:r>
    </w:p>
    <w:p w14:paraId="09F76541"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To validate the resilience assessment outputs, an incident in the SH16 WB direction was selected. The incident occurred on SH16 WB between WVT and Rosebank offramp on 2</w:t>
      </w:r>
      <w:r w:rsidRPr="008B4D96">
        <w:rPr>
          <w:rFonts w:ascii="Arial" w:hAnsi="Arial" w:cs="Arial"/>
          <w:sz w:val="22"/>
          <w:szCs w:val="22"/>
          <w:vertAlign w:val="superscript"/>
        </w:rPr>
        <w:t>nd</w:t>
      </w:r>
      <w:r w:rsidRPr="008B4D96">
        <w:rPr>
          <w:rFonts w:ascii="Arial" w:hAnsi="Arial" w:cs="Arial"/>
          <w:sz w:val="22"/>
          <w:szCs w:val="22"/>
        </w:rPr>
        <w:t xml:space="preserve"> May 2023 around 7 pm and cleared out by around 9:30-9:45 pm. The incident had a significant impact on the network performance. The information recorded on the ASM platform indicated that only one lane was available. However, it was not clear how long one lane was open or any further details of the incident. Travel time and traffic volume were extracted for the incident day and compared to BAU data. </w:t>
      </w:r>
      <w:r w:rsidRPr="008B4D96">
        <w:rPr>
          <w:rFonts w:ascii="Arial" w:hAnsi="Arial" w:cs="Arial"/>
          <w:sz w:val="22"/>
          <w:szCs w:val="22"/>
        </w:rPr>
        <w:fldChar w:fldCharType="begin"/>
      </w:r>
      <w:r w:rsidRPr="008B4D96">
        <w:rPr>
          <w:rFonts w:ascii="Arial" w:hAnsi="Arial" w:cs="Arial"/>
          <w:sz w:val="22"/>
          <w:szCs w:val="22"/>
        </w:rPr>
        <w:instrText xml:space="preserve"> REF _Ref152758755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Figure 5</w:t>
      </w:r>
      <w:r w:rsidRPr="008B4D96">
        <w:rPr>
          <w:rFonts w:ascii="Arial" w:hAnsi="Arial" w:cs="Arial"/>
          <w:sz w:val="22"/>
          <w:szCs w:val="22"/>
        </w:rPr>
        <w:fldChar w:fldCharType="end"/>
      </w:r>
      <w:r w:rsidRPr="008B4D96">
        <w:rPr>
          <w:rFonts w:ascii="Arial" w:hAnsi="Arial" w:cs="Arial"/>
          <w:sz w:val="22"/>
          <w:szCs w:val="22"/>
        </w:rPr>
        <w:t xml:space="preserve"> shows travel time on the incident day and BAU (May 2023 Tuesdays excluding 9</w:t>
      </w:r>
      <w:r w:rsidRPr="008B4D96">
        <w:rPr>
          <w:rFonts w:ascii="Arial" w:hAnsi="Arial" w:cs="Arial"/>
          <w:sz w:val="22"/>
          <w:szCs w:val="22"/>
          <w:vertAlign w:val="superscript"/>
        </w:rPr>
        <w:t>th</w:t>
      </w:r>
      <w:r w:rsidRPr="008B4D96">
        <w:rPr>
          <w:rFonts w:ascii="Arial" w:hAnsi="Arial" w:cs="Arial"/>
          <w:sz w:val="22"/>
          <w:szCs w:val="22"/>
        </w:rPr>
        <w:t xml:space="preserve"> May). </w:t>
      </w:r>
      <w:proofErr w:type="gramStart"/>
      <w:r w:rsidRPr="008B4D96">
        <w:rPr>
          <w:rFonts w:ascii="Arial" w:hAnsi="Arial" w:cs="Arial"/>
          <w:sz w:val="22"/>
          <w:szCs w:val="22"/>
        </w:rPr>
        <w:t>It can be seen that the</w:t>
      </w:r>
      <w:proofErr w:type="gramEnd"/>
      <w:r w:rsidRPr="008B4D96">
        <w:rPr>
          <w:rFonts w:ascii="Arial" w:hAnsi="Arial" w:cs="Arial"/>
          <w:sz w:val="22"/>
          <w:szCs w:val="22"/>
        </w:rPr>
        <w:t xml:space="preserve"> travel time increased by around 7 pm and returned to normal by around 9:45 pm. Therefore, for the validation results, it was assumed the start time of the disruption was 7 pm and a different opening time was tested, Scenario 1: fully open at 9:00 pm, Scenario 2: fully open at 9:15 pm, and Scenario 3: fully open at 9:30 pm. </w:t>
      </w:r>
    </w:p>
    <w:p w14:paraId="72F42349" w14:textId="77777777" w:rsidR="008B4D96" w:rsidRPr="008B4D96" w:rsidRDefault="008B4D96" w:rsidP="008B4D96">
      <w:pPr>
        <w:jc w:val="center"/>
        <w:rPr>
          <w:rFonts w:ascii="Arial" w:hAnsi="Arial" w:cs="Arial"/>
          <w:sz w:val="22"/>
          <w:szCs w:val="22"/>
        </w:rPr>
      </w:pPr>
      <w:r w:rsidRPr="008B4D96">
        <w:rPr>
          <w:rFonts w:ascii="Arial" w:hAnsi="Arial" w:cs="Arial"/>
          <w:noProof/>
          <w:sz w:val="22"/>
          <w:szCs w:val="22"/>
        </w:rPr>
        <w:lastRenderedPageBreak/>
        <w:drawing>
          <wp:inline distT="0" distB="0" distL="0" distR="0" wp14:anchorId="479E9D12" wp14:editId="79FD8B56">
            <wp:extent cx="3204058" cy="1735201"/>
            <wp:effectExtent l="0" t="0" r="0" b="0"/>
            <wp:docPr id="1229828026" name="Picture 2" descr="A graph of a travel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28026" name="Picture 2" descr="A graph of a travel tim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5912" cy="1747037"/>
                    </a:xfrm>
                    <a:prstGeom prst="rect">
                      <a:avLst/>
                    </a:prstGeom>
                    <a:noFill/>
                  </pic:spPr>
                </pic:pic>
              </a:graphicData>
            </a:graphic>
          </wp:inline>
        </w:drawing>
      </w:r>
    </w:p>
    <w:p w14:paraId="1AFA9BF6" w14:textId="77777777" w:rsidR="008B4D96" w:rsidRPr="008B4D96" w:rsidRDefault="008B4D96" w:rsidP="008B4D96">
      <w:pPr>
        <w:pStyle w:val="Caption"/>
        <w:spacing w:before="120" w:after="0" w:line="264" w:lineRule="auto"/>
        <w:jc w:val="center"/>
        <w:rPr>
          <w:rFonts w:ascii="Arial" w:hAnsi="Arial" w:cs="Arial"/>
          <w:i w:val="0"/>
          <w:color w:val="auto"/>
          <w:sz w:val="20"/>
          <w:szCs w:val="20"/>
        </w:rPr>
      </w:pPr>
      <w:bookmarkStart w:id="18" w:name="_Ref152758755"/>
      <w:r w:rsidRPr="008B4D96">
        <w:rPr>
          <w:rFonts w:ascii="Arial" w:hAnsi="Arial" w:cs="Arial"/>
          <w:i w:val="0"/>
          <w:color w:val="auto"/>
          <w:sz w:val="20"/>
          <w:szCs w:val="20"/>
        </w:rPr>
        <w:t xml:space="preserve">Figure </w:t>
      </w:r>
      <w:r w:rsidRPr="008B4D96">
        <w:rPr>
          <w:rFonts w:ascii="Arial" w:hAnsi="Arial" w:cs="Arial"/>
          <w:i w:val="0"/>
          <w:color w:val="auto"/>
          <w:sz w:val="20"/>
          <w:szCs w:val="20"/>
        </w:rPr>
        <w:fldChar w:fldCharType="begin"/>
      </w:r>
      <w:r w:rsidRPr="008B4D96">
        <w:rPr>
          <w:rFonts w:ascii="Arial" w:hAnsi="Arial" w:cs="Arial"/>
          <w:i w:val="0"/>
          <w:color w:val="auto"/>
          <w:sz w:val="20"/>
          <w:szCs w:val="20"/>
        </w:rPr>
        <w:instrText xml:space="preserve"> SEQ Figure \* ARABIC </w:instrText>
      </w:r>
      <w:r w:rsidRPr="008B4D96">
        <w:rPr>
          <w:rFonts w:ascii="Arial" w:hAnsi="Arial" w:cs="Arial"/>
          <w:i w:val="0"/>
          <w:color w:val="auto"/>
          <w:sz w:val="20"/>
          <w:szCs w:val="20"/>
        </w:rPr>
        <w:fldChar w:fldCharType="separate"/>
      </w:r>
      <w:r w:rsidRPr="008B4D96">
        <w:rPr>
          <w:rFonts w:ascii="Arial" w:hAnsi="Arial" w:cs="Arial"/>
          <w:i w:val="0"/>
          <w:noProof/>
          <w:color w:val="auto"/>
          <w:sz w:val="20"/>
          <w:szCs w:val="20"/>
        </w:rPr>
        <w:t>5</w:t>
      </w:r>
      <w:r w:rsidRPr="008B4D96">
        <w:rPr>
          <w:rFonts w:ascii="Arial" w:hAnsi="Arial" w:cs="Arial"/>
          <w:i w:val="0"/>
          <w:color w:val="auto"/>
          <w:sz w:val="20"/>
          <w:szCs w:val="20"/>
        </w:rPr>
        <w:fldChar w:fldCharType="end"/>
      </w:r>
      <w:bookmarkEnd w:id="18"/>
      <w:r w:rsidRPr="008B4D96">
        <w:rPr>
          <w:rFonts w:ascii="Arial" w:hAnsi="Arial" w:cs="Arial"/>
          <w:i w:val="0"/>
          <w:color w:val="auto"/>
          <w:sz w:val="20"/>
          <w:szCs w:val="20"/>
        </w:rPr>
        <w:t xml:space="preserve">: Travel time comparison of the incident day and </w:t>
      </w:r>
      <w:proofErr w:type="gramStart"/>
      <w:r w:rsidRPr="008B4D96">
        <w:rPr>
          <w:rFonts w:ascii="Arial" w:hAnsi="Arial" w:cs="Arial"/>
          <w:i w:val="0"/>
          <w:color w:val="auto"/>
          <w:sz w:val="20"/>
          <w:szCs w:val="20"/>
        </w:rPr>
        <w:t>BAU</w:t>
      </w:r>
      <w:proofErr w:type="gramEnd"/>
    </w:p>
    <w:p w14:paraId="1B3DEA56"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fldChar w:fldCharType="begin"/>
      </w:r>
      <w:r w:rsidRPr="008B4D96">
        <w:rPr>
          <w:rFonts w:ascii="Arial" w:hAnsi="Arial" w:cs="Arial"/>
          <w:sz w:val="22"/>
          <w:szCs w:val="22"/>
        </w:rPr>
        <w:instrText xml:space="preserve"> REF _Ref152758585 \h  \* MERGEFORMAT </w:instrText>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sz w:val="22"/>
          <w:szCs w:val="22"/>
        </w:rPr>
        <w:t>Table 3</w:t>
      </w:r>
      <w:r w:rsidRPr="008B4D96">
        <w:rPr>
          <w:rFonts w:ascii="Arial" w:hAnsi="Arial" w:cs="Arial"/>
          <w:sz w:val="22"/>
          <w:szCs w:val="22"/>
        </w:rPr>
        <w:fldChar w:fldCharType="end"/>
      </w:r>
      <w:r w:rsidRPr="008B4D96">
        <w:rPr>
          <w:rFonts w:ascii="Arial" w:hAnsi="Arial" w:cs="Arial"/>
          <w:sz w:val="22"/>
          <w:szCs w:val="22"/>
        </w:rPr>
        <w:t xml:space="preserve"> shows the resilience score, EIT, and dissipation time for the incident day as well as three scenarios. The proposed method was applied to the incident data and the results were compared to the scenario results. The dissipation time indicates that after opening time, it will take around 20-30 minutes for all queued vehicles to be released. The best result is for Scenario 2 where the dissipation time matches the incident data. However, the results of the other two scenarios are also close to the incident data.  </w:t>
      </w:r>
    </w:p>
    <w:p w14:paraId="3153A109" w14:textId="77777777" w:rsidR="008B4D96" w:rsidRPr="008B4D96" w:rsidRDefault="008B4D96" w:rsidP="008B4D96">
      <w:pPr>
        <w:pStyle w:val="Caption"/>
        <w:spacing w:before="120" w:after="0" w:line="264" w:lineRule="auto"/>
        <w:jc w:val="center"/>
        <w:rPr>
          <w:rFonts w:ascii="Arial" w:hAnsi="Arial" w:cs="Arial"/>
          <w:i w:val="0"/>
          <w:color w:val="auto"/>
          <w:sz w:val="20"/>
          <w:szCs w:val="20"/>
        </w:rPr>
      </w:pPr>
      <w:bookmarkStart w:id="19" w:name="_Ref152758585"/>
      <w:r w:rsidRPr="008B4D96">
        <w:rPr>
          <w:rFonts w:ascii="Arial" w:hAnsi="Arial" w:cs="Arial"/>
          <w:i w:val="0"/>
          <w:color w:val="auto"/>
          <w:sz w:val="20"/>
          <w:szCs w:val="20"/>
        </w:rPr>
        <w:t xml:space="preserve">Table </w:t>
      </w:r>
      <w:r w:rsidRPr="008B4D96">
        <w:rPr>
          <w:rFonts w:ascii="Arial" w:hAnsi="Arial" w:cs="Arial"/>
          <w:i w:val="0"/>
          <w:color w:val="auto"/>
          <w:sz w:val="20"/>
          <w:szCs w:val="20"/>
        </w:rPr>
        <w:fldChar w:fldCharType="begin"/>
      </w:r>
      <w:r w:rsidRPr="008B4D96">
        <w:rPr>
          <w:rFonts w:ascii="Arial" w:hAnsi="Arial" w:cs="Arial"/>
          <w:i w:val="0"/>
          <w:color w:val="auto"/>
          <w:sz w:val="20"/>
          <w:szCs w:val="20"/>
        </w:rPr>
        <w:instrText xml:space="preserve"> SEQ Table \* ARABIC </w:instrText>
      </w:r>
      <w:r w:rsidRPr="008B4D96">
        <w:rPr>
          <w:rFonts w:ascii="Arial" w:hAnsi="Arial" w:cs="Arial"/>
          <w:i w:val="0"/>
          <w:color w:val="auto"/>
          <w:sz w:val="20"/>
          <w:szCs w:val="20"/>
        </w:rPr>
        <w:fldChar w:fldCharType="separate"/>
      </w:r>
      <w:r w:rsidRPr="008B4D96">
        <w:rPr>
          <w:rFonts w:ascii="Arial" w:hAnsi="Arial" w:cs="Arial"/>
          <w:i w:val="0"/>
          <w:noProof/>
          <w:color w:val="auto"/>
          <w:sz w:val="20"/>
          <w:szCs w:val="20"/>
        </w:rPr>
        <w:t>3</w:t>
      </w:r>
      <w:r w:rsidRPr="008B4D96">
        <w:rPr>
          <w:rFonts w:ascii="Arial" w:hAnsi="Arial" w:cs="Arial"/>
          <w:i w:val="0"/>
          <w:color w:val="auto"/>
          <w:sz w:val="20"/>
          <w:szCs w:val="20"/>
        </w:rPr>
        <w:fldChar w:fldCharType="end"/>
      </w:r>
      <w:bookmarkEnd w:id="19"/>
      <w:r w:rsidRPr="008B4D96">
        <w:rPr>
          <w:rFonts w:ascii="Arial" w:hAnsi="Arial" w:cs="Arial"/>
          <w:i w:val="0"/>
          <w:color w:val="auto"/>
          <w:sz w:val="20"/>
          <w:szCs w:val="20"/>
        </w:rPr>
        <w:t>: Resilience score results for incident day and scenario results</w:t>
      </w:r>
    </w:p>
    <w:tbl>
      <w:tblPr>
        <w:tblW w:w="6578" w:type="dxa"/>
        <w:jc w:val="center"/>
        <w:tblLook w:val="04A0" w:firstRow="1" w:lastRow="0" w:firstColumn="1" w:lastColumn="0" w:noHBand="0" w:noVBand="1"/>
      </w:tblPr>
      <w:tblGrid>
        <w:gridCol w:w="2076"/>
        <w:gridCol w:w="983"/>
        <w:gridCol w:w="1173"/>
        <w:gridCol w:w="1173"/>
        <w:gridCol w:w="1173"/>
      </w:tblGrid>
      <w:tr w:rsidR="008B4D96" w:rsidRPr="008B4D96" w14:paraId="3EA9C35C" w14:textId="77777777" w:rsidTr="006F2B56">
        <w:trPr>
          <w:trHeight w:val="360"/>
          <w:jc w:val="center"/>
        </w:trPr>
        <w:tc>
          <w:tcPr>
            <w:tcW w:w="2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55AE28"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 </w:t>
            </w:r>
          </w:p>
        </w:tc>
        <w:tc>
          <w:tcPr>
            <w:tcW w:w="983" w:type="dxa"/>
            <w:tcBorders>
              <w:top w:val="single" w:sz="8" w:space="0" w:color="auto"/>
              <w:left w:val="nil"/>
              <w:bottom w:val="nil"/>
              <w:right w:val="nil"/>
            </w:tcBorders>
            <w:shd w:val="clear" w:color="auto" w:fill="auto"/>
            <w:noWrap/>
            <w:vAlign w:val="center"/>
            <w:hideMark/>
          </w:tcPr>
          <w:p w14:paraId="22073735"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Incident</w:t>
            </w:r>
          </w:p>
        </w:tc>
        <w:tc>
          <w:tcPr>
            <w:tcW w:w="1173" w:type="dxa"/>
            <w:tcBorders>
              <w:top w:val="single" w:sz="8" w:space="0" w:color="auto"/>
              <w:left w:val="nil"/>
              <w:bottom w:val="nil"/>
              <w:right w:val="nil"/>
            </w:tcBorders>
            <w:shd w:val="clear" w:color="auto" w:fill="auto"/>
            <w:noWrap/>
            <w:vAlign w:val="center"/>
            <w:hideMark/>
          </w:tcPr>
          <w:p w14:paraId="09DDBDB4"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Scenario1</w:t>
            </w:r>
          </w:p>
        </w:tc>
        <w:tc>
          <w:tcPr>
            <w:tcW w:w="1173" w:type="dxa"/>
            <w:tcBorders>
              <w:top w:val="single" w:sz="8" w:space="0" w:color="auto"/>
              <w:left w:val="nil"/>
              <w:bottom w:val="nil"/>
              <w:right w:val="nil"/>
            </w:tcBorders>
            <w:shd w:val="clear" w:color="auto" w:fill="auto"/>
            <w:noWrap/>
            <w:vAlign w:val="center"/>
            <w:hideMark/>
          </w:tcPr>
          <w:p w14:paraId="1AC366E1"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Scenario2</w:t>
            </w:r>
          </w:p>
        </w:tc>
        <w:tc>
          <w:tcPr>
            <w:tcW w:w="1173" w:type="dxa"/>
            <w:tcBorders>
              <w:top w:val="single" w:sz="8" w:space="0" w:color="auto"/>
              <w:left w:val="nil"/>
              <w:bottom w:val="nil"/>
              <w:right w:val="single" w:sz="8" w:space="0" w:color="auto"/>
            </w:tcBorders>
            <w:shd w:val="clear" w:color="auto" w:fill="auto"/>
            <w:noWrap/>
            <w:vAlign w:val="center"/>
            <w:hideMark/>
          </w:tcPr>
          <w:p w14:paraId="554E79F6"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Scenario3</w:t>
            </w:r>
          </w:p>
        </w:tc>
      </w:tr>
      <w:tr w:rsidR="008B4D96" w:rsidRPr="008B4D96" w14:paraId="582B430A" w14:textId="77777777" w:rsidTr="006F2B56">
        <w:trPr>
          <w:trHeight w:val="360"/>
          <w:jc w:val="center"/>
        </w:trPr>
        <w:tc>
          <w:tcPr>
            <w:tcW w:w="2076" w:type="dxa"/>
            <w:tcBorders>
              <w:top w:val="nil"/>
              <w:left w:val="single" w:sz="8" w:space="0" w:color="auto"/>
              <w:bottom w:val="nil"/>
              <w:right w:val="single" w:sz="8" w:space="0" w:color="auto"/>
            </w:tcBorders>
            <w:shd w:val="clear" w:color="auto" w:fill="auto"/>
            <w:noWrap/>
            <w:vAlign w:val="center"/>
            <w:hideMark/>
          </w:tcPr>
          <w:p w14:paraId="11B876F8"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Resilience Score</w:t>
            </w:r>
          </w:p>
        </w:tc>
        <w:tc>
          <w:tcPr>
            <w:tcW w:w="983" w:type="dxa"/>
            <w:tcBorders>
              <w:top w:val="single" w:sz="8" w:space="0" w:color="auto"/>
              <w:left w:val="nil"/>
              <w:bottom w:val="nil"/>
              <w:right w:val="nil"/>
            </w:tcBorders>
            <w:shd w:val="clear" w:color="auto" w:fill="auto"/>
            <w:noWrap/>
            <w:vAlign w:val="center"/>
            <w:hideMark/>
          </w:tcPr>
          <w:p w14:paraId="6CB8B3B3"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45%</w:t>
            </w:r>
          </w:p>
        </w:tc>
        <w:tc>
          <w:tcPr>
            <w:tcW w:w="1173" w:type="dxa"/>
            <w:tcBorders>
              <w:top w:val="single" w:sz="8" w:space="0" w:color="auto"/>
              <w:left w:val="nil"/>
              <w:bottom w:val="nil"/>
              <w:right w:val="nil"/>
            </w:tcBorders>
            <w:shd w:val="clear" w:color="auto" w:fill="auto"/>
            <w:noWrap/>
            <w:vAlign w:val="center"/>
            <w:hideMark/>
          </w:tcPr>
          <w:p w14:paraId="04D2CF4B"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46%</w:t>
            </w:r>
          </w:p>
        </w:tc>
        <w:tc>
          <w:tcPr>
            <w:tcW w:w="1173" w:type="dxa"/>
            <w:tcBorders>
              <w:top w:val="single" w:sz="8" w:space="0" w:color="auto"/>
              <w:left w:val="nil"/>
              <w:bottom w:val="nil"/>
              <w:right w:val="nil"/>
            </w:tcBorders>
            <w:shd w:val="clear" w:color="auto" w:fill="auto"/>
            <w:noWrap/>
            <w:vAlign w:val="center"/>
            <w:hideMark/>
          </w:tcPr>
          <w:p w14:paraId="26672E10"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46%</w:t>
            </w:r>
          </w:p>
        </w:tc>
        <w:tc>
          <w:tcPr>
            <w:tcW w:w="1173" w:type="dxa"/>
            <w:tcBorders>
              <w:top w:val="single" w:sz="8" w:space="0" w:color="auto"/>
              <w:left w:val="nil"/>
              <w:bottom w:val="nil"/>
              <w:right w:val="single" w:sz="8" w:space="0" w:color="auto"/>
            </w:tcBorders>
            <w:shd w:val="clear" w:color="auto" w:fill="auto"/>
            <w:noWrap/>
            <w:vAlign w:val="center"/>
            <w:hideMark/>
          </w:tcPr>
          <w:p w14:paraId="5F5EF008"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44%</w:t>
            </w:r>
          </w:p>
        </w:tc>
      </w:tr>
      <w:tr w:rsidR="008B4D96" w:rsidRPr="008B4D96" w14:paraId="0F7413BF" w14:textId="77777777" w:rsidTr="006F2B56">
        <w:trPr>
          <w:trHeight w:val="360"/>
          <w:jc w:val="center"/>
        </w:trPr>
        <w:tc>
          <w:tcPr>
            <w:tcW w:w="2076" w:type="dxa"/>
            <w:tcBorders>
              <w:top w:val="nil"/>
              <w:left w:val="single" w:sz="8" w:space="0" w:color="auto"/>
              <w:bottom w:val="nil"/>
              <w:right w:val="single" w:sz="8" w:space="0" w:color="auto"/>
            </w:tcBorders>
            <w:shd w:val="clear" w:color="auto" w:fill="auto"/>
            <w:noWrap/>
            <w:vAlign w:val="center"/>
            <w:hideMark/>
          </w:tcPr>
          <w:p w14:paraId="0EB7B233"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EIT</w:t>
            </w:r>
          </w:p>
        </w:tc>
        <w:tc>
          <w:tcPr>
            <w:tcW w:w="983" w:type="dxa"/>
            <w:tcBorders>
              <w:top w:val="nil"/>
              <w:left w:val="nil"/>
              <w:bottom w:val="nil"/>
              <w:right w:val="nil"/>
            </w:tcBorders>
            <w:shd w:val="clear" w:color="auto" w:fill="auto"/>
            <w:noWrap/>
            <w:vAlign w:val="center"/>
            <w:hideMark/>
          </w:tcPr>
          <w:p w14:paraId="383C00A8"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3852</w:t>
            </w:r>
          </w:p>
        </w:tc>
        <w:tc>
          <w:tcPr>
            <w:tcW w:w="1173" w:type="dxa"/>
            <w:tcBorders>
              <w:top w:val="nil"/>
              <w:left w:val="nil"/>
              <w:bottom w:val="nil"/>
              <w:right w:val="nil"/>
            </w:tcBorders>
            <w:shd w:val="clear" w:color="auto" w:fill="auto"/>
            <w:noWrap/>
            <w:vAlign w:val="center"/>
            <w:hideMark/>
          </w:tcPr>
          <w:p w14:paraId="70F1F45C"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3345</w:t>
            </w:r>
          </w:p>
        </w:tc>
        <w:tc>
          <w:tcPr>
            <w:tcW w:w="1173" w:type="dxa"/>
            <w:tcBorders>
              <w:top w:val="nil"/>
              <w:left w:val="nil"/>
              <w:bottom w:val="nil"/>
              <w:right w:val="nil"/>
            </w:tcBorders>
            <w:shd w:val="clear" w:color="auto" w:fill="auto"/>
            <w:noWrap/>
            <w:vAlign w:val="center"/>
            <w:hideMark/>
          </w:tcPr>
          <w:p w14:paraId="0D386AA1"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3752</w:t>
            </w:r>
          </w:p>
        </w:tc>
        <w:tc>
          <w:tcPr>
            <w:tcW w:w="1173" w:type="dxa"/>
            <w:tcBorders>
              <w:top w:val="nil"/>
              <w:left w:val="nil"/>
              <w:bottom w:val="nil"/>
              <w:right w:val="single" w:sz="8" w:space="0" w:color="auto"/>
            </w:tcBorders>
            <w:shd w:val="clear" w:color="auto" w:fill="auto"/>
            <w:noWrap/>
            <w:vAlign w:val="center"/>
            <w:hideMark/>
          </w:tcPr>
          <w:p w14:paraId="485F6A0B"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4033</w:t>
            </w:r>
          </w:p>
        </w:tc>
      </w:tr>
      <w:tr w:rsidR="008B4D96" w:rsidRPr="008B4D96" w14:paraId="54327B0F" w14:textId="77777777" w:rsidTr="006F2B56">
        <w:trPr>
          <w:trHeight w:val="360"/>
          <w:jc w:val="center"/>
        </w:trPr>
        <w:tc>
          <w:tcPr>
            <w:tcW w:w="2076" w:type="dxa"/>
            <w:tcBorders>
              <w:top w:val="nil"/>
              <w:left w:val="single" w:sz="8" w:space="0" w:color="auto"/>
              <w:bottom w:val="nil"/>
              <w:right w:val="single" w:sz="8" w:space="0" w:color="auto"/>
            </w:tcBorders>
            <w:shd w:val="clear" w:color="auto" w:fill="auto"/>
            <w:noWrap/>
            <w:vAlign w:val="center"/>
            <w:hideMark/>
          </w:tcPr>
          <w:p w14:paraId="73264181"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 xml:space="preserve">Dissipation Time </w:t>
            </w:r>
          </w:p>
        </w:tc>
        <w:tc>
          <w:tcPr>
            <w:tcW w:w="983" w:type="dxa"/>
            <w:tcBorders>
              <w:top w:val="nil"/>
              <w:left w:val="nil"/>
              <w:bottom w:val="nil"/>
              <w:right w:val="nil"/>
            </w:tcBorders>
            <w:shd w:val="clear" w:color="auto" w:fill="auto"/>
            <w:noWrap/>
            <w:vAlign w:val="center"/>
            <w:hideMark/>
          </w:tcPr>
          <w:p w14:paraId="1DABD7C5"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9:45 pm</w:t>
            </w:r>
          </w:p>
        </w:tc>
        <w:tc>
          <w:tcPr>
            <w:tcW w:w="1173" w:type="dxa"/>
            <w:tcBorders>
              <w:top w:val="nil"/>
              <w:left w:val="nil"/>
              <w:bottom w:val="nil"/>
              <w:right w:val="nil"/>
            </w:tcBorders>
            <w:shd w:val="clear" w:color="auto" w:fill="auto"/>
            <w:noWrap/>
            <w:vAlign w:val="center"/>
            <w:hideMark/>
          </w:tcPr>
          <w:p w14:paraId="6481553D"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9:25 pm</w:t>
            </w:r>
          </w:p>
        </w:tc>
        <w:tc>
          <w:tcPr>
            <w:tcW w:w="1173" w:type="dxa"/>
            <w:tcBorders>
              <w:top w:val="nil"/>
              <w:left w:val="nil"/>
              <w:bottom w:val="nil"/>
              <w:right w:val="nil"/>
            </w:tcBorders>
            <w:shd w:val="clear" w:color="auto" w:fill="auto"/>
            <w:noWrap/>
            <w:vAlign w:val="center"/>
            <w:hideMark/>
          </w:tcPr>
          <w:p w14:paraId="50AFF999"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9:45 pm</w:t>
            </w:r>
          </w:p>
        </w:tc>
        <w:tc>
          <w:tcPr>
            <w:tcW w:w="1173" w:type="dxa"/>
            <w:tcBorders>
              <w:top w:val="nil"/>
              <w:left w:val="nil"/>
              <w:bottom w:val="nil"/>
              <w:right w:val="single" w:sz="8" w:space="0" w:color="auto"/>
            </w:tcBorders>
            <w:shd w:val="clear" w:color="auto" w:fill="auto"/>
            <w:noWrap/>
            <w:vAlign w:val="center"/>
            <w:hideMark/>
          </w:tcPr>
          <w:p w14:paraId="0A0746C4"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9:55 pm</w:t>
            </w:r>
          </w:p>
        </w:tc>
      </w:tr>
      <w:tr w:rsidR="008B4D96" w:rsidRPr="008B4D96" w14:paraId="60A0ADBA" w14:textId="77777777" w:rsidTr="006F2B56">
        <w:trPr>
          <w:trHeight w:val="360"/>
          <w:jc w:val="center"/>
        </w:trPr>
        <w:tc>
          <w:tcPr>
            <w:tcW w:w="2076" w:type="dxa"/>
            <w:tcBorders>
              <w:top w:val="nil"/>
              <w:left w:val="single" w:sz="8" w:space="0" w:color="auto"/>
              <w:bottom w:val="single" w:sz="8" w:space="0" w:color="auto"/>
              <w:right w:val="single" w:sz="8" w:space="0" w:color="auto"/>
            </w:tcBorders>
            <w:shd w:val="clear" w:color="auto" w:fill="auto"/>
            <w:noWrap/>
            <w:vAlign w:val="center"/>
            <w:hideMark/>
          </w:tcPr>
          <w:p w14:paraId="2FA7CE95" w14:textId="77777777" w:rsidR="008B4D96" w:rsidRPr="008B4D96" w:rsidRDefault="008B4D96" w:rsidP="006F2B56">
            <w:pPr>
              <w:jc w:val="center"/>
              <w:rPr>
                <w:rFonts w:ascii="Arial" w:hAnsi="Arial" w:cs="Arial"/>
                <w:b/>
                <w:bCs/>
                <w:color w:val="000000"/>
                <w:sz w:val="20"/>
                <w:szCs w:val="20"/>
                <w:lang w:eastAsia="en-NZ"/>
              </w:rPr>
            </w:pPr>
            <w:r w:rsidRPr="008B4D96">
              <w:rPr>
                <w:rFonts w:ascii="Arial" w:hAnsi="Arial" w:cs="Arial"/>
                <w:b/>
                <w:bCs/>
                <w:color w:val="000000"/>
                <w:sz w:val="20"/>
                <w:szCs w:val="20"/>
                <w:lang w:eastAsia="en-NZ"/>
              </w:rPr>
              <w:t>EIT Variation</w:t>
            </w:r>
          </w:p>
        </w:tc>
        <w:tc>
          <w:tcPr>
            <w:tcW w:w="983" w:type="dxa"/>
            <w:tcBorders>
              <w:top w:val="nil"/>
              <w:left w:val="nil"/>
              <w:bottom w:val="single" w:sz="8" w:space="0" w:color="auto"/>
              <w:right w:val="nil"/>
            </w:tcBorders>
            <w:shd w:val="clear" w:color="auto" w:fill="auto"/>
            <w:noWrap/>
            <w:vAlign w:val="center"/>
            <w:hideMark/>
          </w:tcPr>
          <w:p w14:paraId="53AD05B1"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 </w:t>
            </w:r>
          </w:p>
        </w:tc>
        <w:tc>
          <w:tcPr>
            <w:tcW w:w="1173" w:type="dxa"/>
            <w:tcBorders>
              <w:top w:val="nil"/>
              <w:left w:val="nil"/>
              <w:bottom w:val="single" w:sz="8" w:space="0" w:color="auto"/>
              <w:right w:val="nil"/>
            </w:tcBorders>
            <w:shd w:val="clear" w:color="auto" w:fill="auto"/>
            <w:noWrap/>
            <w:vAlign w:val="center"/>
            <w:hideMark/>
          </w:tcPr>
          <w:p w14:paraId="2FC02FCB"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87%</w:t>
            </w:r>
          </w:p>
        </w:tc>
        <w:tc>
          <w:tcPr>
            <w:tcW w:w="1173" w:type="dxa"/>
            <w:tcBorders>
              <w:top w:val="nil"/>
              <w:left w:val="nil"/>
              <w:bottom w:val="single" w:sz="8" w:space="0" w:color="auto"/>
              <w:right w:val="nil"/>
            </w:tcBorders>
            <w:shd w:val="clear" w:color="auto" w:fill="auto"/>
            <w:noWrap/>
            <w:vAlign w:val="center"/>
            <w:hideMark/>
          </w:tcPr>
          <w:p w14:paraId="7AF64613"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97%</w:t>
            </w:r>
          </w:p>
        </w:tc>
        <w:tc>
          <w:tcPr>
            <w:tcW w:w="1173" w:type="dxa"/>
            <w:tcBorders>
              <w:top w:val="nil"/>
              <w:left w:val="nil"/>
              <w:bottom w:val="single" w:sz="8" w:space="0" w:color="auto"/>
              <w:right w:val="single" w:sz="8" w:space="0" w:color="auto"/>
            </w:tcBorders>
            <w:shd w:val="clear" w:color="auto" w:fill="auto"/>
            <w:noWrap/>
            <w:vAlign w:val="center"/>
            <w:hideMark/>
          </w:tcPr>
          <w:p w14:paraId="54EB441B" w14:textId="77777777" w:rsidR="008B4D96" w:rsidRPr="008B4D96" w:rsidRDefault="008B4D96" w:rsidP="006F2B56">
            <w:pPr>
              <w:jc w:val="center"/>
              <w:rPr>
                <w:rFonts w:ascii="Arial" w:hAnsi="Arial" w:cs="Arial"/>
                <w:color w:val="000000"/>
                <w:sz w:val="20"/>
                <w:szCs w:val="20"/>
                <w:lang w:eastAsia="en-NZ"/>
              </w:rPr>
            </w:pPr>
            <w:r w:rsidRPr="008B4D96">
              <w:rPr>
                <w:rFonts w:ascii="Arial" w:hAnsi="Arial" w:cs="Arial"/>
                <w:color w:val="000000"/>
                <w:sz w:val="20"/>
                <w:szCs w:val="20"/>
                <w:lang w:eastAsia="en-NZ"/>
              </w:rPr>
              <w:t>105%</w:t>
            </w:r>
          </w:p>
        </w:tc>
      </w:tr>
    </w:tbl>
    <w:p w14:paraId="0F35A452" w14:textId="77777777" w:rsidR="008B4D96" w:rsidRPr="008B4D96" w:rsidRDefault="008B4D96" w:rsidP="008B4D96">
      <w:pPr>
        <w:pStyle w:val="Heading1"/>
        <w:numPr>
          <w:ilvl w:val="0"/>
          <w:numId w:val="2"/>
        </w:numPr>
        <w:spacing w:before="120" w:line="264" w:lineRule="auto"/>
        <w:ind w:left="284" w:hanging="284"/>
        <w:jc w:val="both"/>
        <w:rPr>
          <w:rFonts w:ascii="Arial" w:eastAsia="CMS Y 10" w:hAnsi="Arial" w:cs="Arial"/>
          <w:b/>
          <w:bCs/>
          <w:color w:val="auto"/>
          <w:sz w:val="28"/>
          <w:szCs w:val="28"/>
        </w:rPr>
      </w:pPr>
      <w:r w:rsidRPr="008B4D96">
        <w:rPr>
          <w:rFonts w:ascii="Arial" w:eastAsia="CMS Y 10" w:hAnsi="Arial" w:cs="Arial"/>
          <w:b/>
          <w:bCs/>
          <w:color w:val="auto"/>
          <w:sz w:val="28"/>
          <w:szCs w:val="28"/>
        </w:rPr>
        <w:t xml:space="preserve">Application of Proposed Measures </w:t>
      </w:r>
    </w:p>
    <w:p w14:paraId="17ED98E9"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The proposed measures can be applied to support the increase of resilience in transport infrastructure in </w:t>
      </w:r>
      <w:proofErr w:type="gramStart"/>
      <w:r w:rsidRPr="008B4D96">
        <w:rPr>
          <w:rFonts w:ascii="Arial" w:hAnsi="Arial" w:cs="Arial"/>
          <w:sz w:val="22"/>
          <w:szCs w:val="22"/>
        </w:rPr>
        <w:t>a number of</w:t>
      </w:r>
      <w:proofErr w:type="gramEnd"/>
      <w:r w:rsidRPr="008B4D96">
        <w:rPr>
          <w:rFonts w:ascii="Arial" w:hAnsi="Arial" w:cs="Arial"/>
          <w:sz w:val="22"/>
          <w:szCs w:val="22"/>
        </w:rPr>
        <w:t xml:space="preserve"> ways. In terms of recovery planning following a natural hazard event, such as the AF8, or incidents on the motorway, the proposed measures can be used to objectively compare the impact of different emergency response plans on trip resilience. The measures include the impact on resilience due to eliminated trips and, for those trips that can occur, increased travel time. In particular, the impact is assessed over the horizon of the post-disaster recovery phase. Response plans can differ in terms of, for example, the order of reopening of blocked links or the re-distribution of resources to accelerate the reopening of </w:t>
      </w:r>
      <w:proofErr w:type="gramStart"/>
      <w:r w:rsidRPr="008B4D96">
        <w:rPr>
          <w:rFonts w:ascii="Arial" w:hAnsi="Arial" w:cs="Arial"/>
          <w:sz w:val="22"/>
          <w:szCs w:val="22"/>
        </w:rPr>
        <w:t>particular links</w:t>
      </w:r>
      <w:proofErr w:type="gramEnd"/>
      <w:r w:rsidRPr="008B4D96">
        <w:rPr>
          <w:rFonts w:ascii="Arial" w:hAnsi="Arial" w:cs="Arial"/>
          <w:sz w:val="22"/>
          <w:szCs w:val="22"/>
        </w:rPr>
        <w:t>. As an example, two proposed emergency response plans with equal recovery periods can be objectively compared and the plan which results in the greater trip resilience over the recovery period can be selected for implementation. The measures were also designed to enable emergency plans with different recovery periods to be compared. In such a scenario, one plan may seem attractive because it has a shorter recovery period, however, the recovery plan with the longer recovery period may in fact result in less impact on trips.</w:t>
      </w:r>
    </w:p>
    <w:p w14:paraId="110FE230"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It is also possible to use the measures to assist with the prioritisation of proposed resilience mitigation measures in a constrained financial environment, typical of most road agencies. Such mitigation measures could include earthquake strengthening of bridges, slope stabilisation, passive rockfall protection structures or, indeed, the construction of alternative, more resilient, transportation routes. The financial cost-based metrics </w:t>
      </w:r>
      <w:r w:rsidRPr="008B4D96">
        <w:rPr>
          <w:rFonts w:ascii="Arial" w:hAnsi="Arial" w:cs="Arial"/>
          <w:sz w:val="22"/>
          <w:szCs w:val="22"/>
        </w:rPr>
        <w:fldChar w:fldCharType="begin">
          <w:fldData xml:space="preserve">PEVuZE5vdGU+PENpdGU+PEF1dGhvcj5Bcmd5cm91ZGlzPC9BdXRob3I+PFllYXI+MjAyMTwvWWVh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</w:fldData>
        </w:fldChar>
      </w:r>
      <w:r w:rsidRPr="008B4D96">
        <w:rPr>
          <w:rFonts w:ascii="Arial" w:hAnsi="Arial" w:cs="Arial"/>
          <w:sz w:val="22"/>
          <w:szCs w:val="22"/>
        </w:rPr>
        <w:instrText xml:space="preserve"> ADDIN EN.CITE </w:instrText>
      </w:r>
      <w:r w:rsidRPr="008B4D96">
        <w:rPr>
          <w:rFonts w:ascii="Arial" w:hAnsi="Arial" w:cs="Arial"/>
          <w:sz w:val="22"/>
          <w:szCs w:val="22"/>
        </w:rPr>
        <w:fldChar w:fldCharType="begin">
          <w:fldData xml:space="preserve">PEVuZE5vdGU+PENpdGU+PEF1dGhvcj5Bcmd5cm91ZGlzPC9BdXRob3I+PFllYXI+MjAyMTwvWWVh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</w:fldData>
        </w:fldChar>
      </w:r>
      <w:r w:rsidRPr="008B4D96">
        <w:rPr>
          <w:rFonts w:ascii="Arial" w:hAnsi="Arial" w:cs="Arial"/>
          <w:sz w:val="22"/>
          <w:szCs w:val="22"/>
        </w:rPr>
        <w:instrText xml:space="preserve"> ADDIN EN.CITE.DATA </w:instrText>
      </w:r>
      <w:r w:rsidRPr="008B4D96">
        <w:rPr>
          <w:rFonts w:ascii="Arial" w:hAnsi="Arial" w:cs="Arial"/>
          <w:sz w:val="22"/>
          <w:szCs w:val="22"/>
        </w:rPr>
      </w:r>
      <w:r w:rsidRPr="008B4D96">
        <w:rPr>
          <w:rFonts w:ascii="Arial" w:hAnsi="Arial" w:cs="Arial"/>
          <w:sz w:val="22"/>
          <w:szCs w:val="22"/>
        </w:rPr>
        <w:fldChar w:fldCharType="end"/>
      </w:r>
      <w:r w:rsidRPr="008B4D96">
        <w:rPr>
          <w:rFonts w:ascii="Arial" w:hAnsi="Arial" w:cs="Arial"/>
          <w:sz w:val="22"/>
          <w:szCs w:val="22"/>
        </w:rPr>
      </w:r>
      <w:r w:rsidRPr="008B4D96">
        <w:rPr>
          <w:rFonts w:ascii="Arial" w:hAnsi="Arial" w:cs="Arial"/>
          <w:sz w:val="22"/>
          <w:szCs w:val="22"/>
        </w:rPr>
        <w:fldChar w:fldCharType="separate"/>
      </w:r>
      <w:r w:rsidRPr="008B4D96">
        <w:rPr>
          <w:rFonts w:ascii="Arial" w:hAnsi="Arial" w:cs="Arial"/>
          <w:noProof/>
          <w:sz w:val="22"/>
          <w:szCs w:val="22"/>
        </w:rPr>
        <w:t>(Argyroudis et al., 2021, Zhang et al., 2015)</w:t>
      </w:r>
      <w:r w:rsidRPr="008B4D96">
        <w:rPr>
          <w:rFonts w:ascii="Arial" w:hAnsi="Arial" w:cs="Arial"/>
          <w:sz w:val="22"/>
          <w:szCs w:val="22"/>
        </w:rPr>
        <w:fldChar w:fldCharType="end"/>
      </w:r>
      <w:r w:rsidRPr="008B4D96">
        <w:rPr>
          <w:rFonts w:ascii="Arial" w:hAnsi="Arial" w:cs="Arial"/>
          <w:sz w:val="22"/>
          <w:szCs w:val="22"/>
        </w:rPr>
        <w:t xml:space="preserve"> commonly used in such assessments, can be supplemented with pre- and post-mitigation scenarios to quantify the improvement in trip resilience for each proposed mitigation measure.</w:t>
      </w:r>
    </w:p>
    <w:p w14:paraId="2965001D"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Finally, the measures can also be used to determine the relative criticality of </w:t>
      </w:r>
      <w:proofErr w:type="gramStart"/>
      <w:r w:rsidRPr="008B4D96">
        <w:rPr>
          <w:rFonts w:ascii="Arial" w:hAnsi="Arial" w:cs="Arial"/>
          <w:sz w:val="22"/>
          <w:szCs w:val="22"/>
        </w:rPr>
        <w:t>particular road</w:t>
      </w:r>
      <w:proofErr w:type="gramEnd"/>
      <w:r w:rsidRPr="008B4D96">
        <w:rPr>
          <w:rFonts w:ascii="Arial" w:hAnsi="Arial" w:cs="Arial"/>
          <w:sz w:val="22"/>
          <w:szCs w:val="22"/>
        </w:rPr>
        <w:t xml:space="preserve"> links. For example, taking a hazard agnostic approach, the impact on trip resilience of a link being “broken”, </w:t>
      </w:r>
      <w:r w:rsidRPr="008B4D96">
        <w:rPr>
          <w:rFonts w:ascii="Arial" w:hAnsi="Arial" w:cs="Arial"/>
          <w:sz w:val="22"/>
          <w:szCs w:val="22"/>
        </w:rPr>
        <w:lastRenderedPageBreak/>
        <w:t>for whatever reason, can be determined. Such critical links could then be given priority in terms of resilience assessment and, if required, funding.</w:t>
      </w:r>
    </w:p>
    <w:p w14:paraId="22C2269D" w14:textId="77777777" w:rsidR="008B4D96" w:rsidRPr="008B4D96" w:rsidRDefault="008B4D96" w:rsidP="008B4D96">
      <w:pPr>
        <w:pStyle w:val="Heading1"/>
        <w:numPr>
          <w:ilvl w:val="0"/>
          <w:numId w:val="2"/>
        </w:numPr>
        <w:spacing w:before="120" w:line="264" w:lineRule="auto"/>
        <w:ind w:left="284" w:hanging="284"/>
        <w:jc w:val="both"/>
        <w:rPr>
          <w:rFonts w:ascii="Arial" w:eastAsia="CMS Y 10" w:hAnsi="Arial" w:cs="Arial"/>
          <w:b/>
          <w:bCs/>
          <w:color w:val="auto"/>
          <w:sz w:val="28"/>
          <w:szCs w:val="28"/>
        </w:rPr>
      </w:pPr>
      <w:r w:rsidRPr="008B4D96">
        <w:rPr>
          <w:rFonts w:ascii="Arial" w:eastAsia="CMS Y 10" w:hAnsi="Arial" w:cs="Arial"/>
          <w:b/>
          <w:bCs/>
          <w:color w:val="auto"/>
          <w:sz w:val="28"/>
          <w:szCs w:val="28"/>
        </w:rPr>
        <w:t xml:space="preserve">Conclusion </w:t>
      </w:r>
    </w:p>
    <w:p w14:paraId="0D5012DB" w14:textId="77777777" w:rsidR="008B4D96" w:rsidRPr="008B4D96" w:rsidRDefault="008B4D96" w:rsidP="008B4D96">
      <w:pPr>
        <w:spacing w:before="120" w:line="264" w:lineRule="auto"/>
        <w:jc w:val="both"/>
        <w:rPr>
          <w:rFonts w:ascii="Arial" w:hAnsi="Arial" w:cs="Arial"/>
          <w:sz w:val="22"/>
          <w:szCs w:val="22"/>
        </w:rPr>
      </w:pPr>
      <w:r w:rsidRPr="008B4D96">
        <w:rPr>
          <w:rFonts w:ascii="Arial" w:hAnsi="Arial" w:cs="Arial"/>
          <w:sz w:val="22"/>
          <w:szCs w:val="22"/>
        </w:rPr>
        <w:t xml:space="preserve">The resilience of transportation networks, one of the most critical infrastructures in post-disaster situations, will have a significant influence on </w:t>
      </w:r>
      <w:r w:rsidRPr="008B4D96">
        <w:rPr>
          <w:rFonts w:ascii="Arial" w:hAnsi="Arial" w:cs="Arial"/>
          <w:noProof/>
          <w:sz w:val="22"/>
          <w:szCs w:val="22"/>
        </w:rPr>
        <w:t>post-disaster operations, community resilience and business continuity</w:t>
      </w:r>
      <w:r w:rsidRPr="008B4D96">
        <w:rPr>
          <w:rFonts w:ascii="Arial" w:hAnsi="Arial" w:cs="Arial"/>
          <w:sz w:val="22"/>
          <w:szCs w:val="22"/>
        </w:rPr>
        <w:t xml:space="preserve">. A trip resilience measure, which incorporates all three dimensions of resilience, namely </w:t>
      </w:r>
      <w:r w:rsidRPr="008B4D96">
        <w:rPr>
          <w:rFonts w:ascii="Arial" w:hAnsi="Arial" w:cs="Arial"/>
          <w:i/>
          <w:noProof/>
          <w:sz w:val="22"/>
          <w:szCs w:val="22"/>
        </w:rPr>
        <w:t>robustness</w:t>
      </w:r>
      <w:r w:rsidRPr="008B4D96">
        <w:rPr>
          <w:rFonts w:ascii="Arial" w:hAnsi="Arial" w:cs="Arial"/>
          <w:noProof/>
          <w:sz w:val="22"/>
          <w:szCs w:val="22"/>
        </w:rPr>
        <w:t xml:space="preserve">, </w:t>
      </w:r>
      <w:r w:rsidRPr="008B4D96">
        <w:rPr>
          <w:rFonts w:ascii="Arial" w:hAnsi="Arial" w:cs="Arial"/>
          <w:i/>
          <w:noProof/>
          <w:sz w:val="22"/>
          <w:szCs w:val="22"/>
        </w:rPr>
        <w:t>redundancy</w:t>
      </w:r>
      <w:r w:rsidRPr="008B4D96">
        <w:rPr>
          <w:rFonts w:ascii="Arial" w:hAnsi="Arial" w:cs="Arial"/>
          <w:noProof/>
          <w:sz w:val="22"/>
          <w:szCs w:val="22"/>
        </w:rPr>
        <w:t xml:space="preserve">, and </w:t>
      </w:r>
      <w:r w:rsidRPr="008B4D96">
        <w:rPr>
          <w:rFonts w:ascii="Arial" w:hAnsi="Arial" w:cs="Arial"/>
          <w:i/>
          <w:noProof/>
          <w:sz w:val="22"/>
          <w:szCs w:val="22"/>
        </w:rPr>
        <w:t>recovery</w:t>
      </w:r>
      <w:r w:rsidRPr="008B4D96">
        <w:rPr>
          <w:rFonts w:ascii="Arial" w:hAnsi="Arial" w:cs="Arial"/>
          <w:sz w:val="22"/>
          <w:szCs w:val="22"/>
        </w:rPr>
        <w:t>, in a combined measure has not been reported in the literature to the knowledge of the authors.  Such a measure is needed if the complete picture of the post-disaster impact on trips is to be understood. Similarly, such a measure should be understandable to decision-makers and be capable of ranking the impact on different areas post-</w:t>
      </w:r>
      <w:proofErr w:type="gramStart"/>
      <w:r w:rsidRPr="008B4D96">
        <w:rPr>
          <w:rFonts w:ascii="Arial" w:hAnsi="Arial" w:cs="Arial"/>
          <w:sz w:val="22"/>
          <w:szCs w:val="22"/>
        </w:rPr>
        <w:t>disaster, if</w:t>
      </w:r>
      <w:proofErr w:type="gramEnd"/>
      <w:r w:rsidRPr="008B4D96">
        <w:rPr>
          <w:rFonts w:ascii="Arial" w:hAnsi="Arial" w:cs="Arial"/>
          <w:sz w:val="22"/>
          <w:szCs w:val="22"/>
        </w:rPr>
        <w:t xml:space="preserve"> it is to be of practical use to the profession.</w:t>
      </w:r>
    </w:p>
    <w:p w14:paraId="3AA607A4" w14:textId="77777777" w:rsidR="008B4D96" w:rsidRPr="008B4D96" w:rsidRDefault="008B4D96" w:rsidP="008B4D96">
      <w:pPr>
        <w:spacing w:before="120" w:line="264" w:lineRule="auto"/>
        <w:jc w:val="both"/>
        <w:rPr>
          <w:rFonts w:ascii="Arial" w:eastAsia="CMS Y 10" w:hAnsi="Arial" w:cs="Arial"/>
          <w:bCs/>
          <w:sz w:val="22"/>
          <w:szCs w:val="22"/>
        </w:rPr>
      </w:pPr>
      <w:r w:rsidRPr="008B4D96">
        <w:rPr>
          <w:rFonts w:ascii="Arial" w:eastAsia="CMS Y 10" w:hAnsi="Arial" w:cs="Arial"/>
          <w:bCs/>
          <w:sz w:val="22"/>
          <w:szCs w:val="22"/>
        </w:rPr>
        <w:t xml:space="preserve">Two case studies were also conducted, to demonstrate the newly developed trip resilience measures, using a hypothetical Alpine Fault Magnitude 8 (AF8) scenario in the South Island of New Zealand and incidents on the Auckland Motorway network. The importance of including both </w:t>
      </w:r>
      <w:r w:rsidRPr="008B4D96">
        <w:rPr>
          <w:rFonts w:ascii="Arial" w:hAnsi="Arial" w:cs="Arial"/>
          <w:i/>
          <w:sz w:val="22"/>
          <w:szCs w:val="22"/>
        </w:rPr>
        <w:t>robustness</w:t>
      </w:r>
      <w:r w:rsidRPr="008B4D96">
        <w:rPr>
          <w:rFonts w:ascii="Arial" w:hAnsi="Arial" w:cs="Arial"/>
          <w:sz w:val="22"/>
          <w:szCs w:val="22"/>
        </w:rPr>
        <w:t xml:space="preserve"> (represented by the number of eliminated trips) and </w:t>
      </w:r>
      <w:r w:rsidRPr="008B4D96">
        <w:rPr>
          <w:rFonts w:ascii="Arial" w:hAnsi="Arial" w:cs="Arial"/>
          <w:i/>
          <w:sz w:val="22"/>
          <w:szCs w:val="22"/>
        </w:rPr>
        <w:t>redundancy</w:t>
      </w:r>
      <w:r w:rsidRPr="008B4D96">
        <w:rPr>
          <w:rFonts w:ascii="Arial" w:hAnsi="Arial" w:cs="Arial"/>
          <w:sz w:val="22"/>
          <w:szCs w:val="22"/>
        </w:rPr>
        <w:t xml:space="preserve"> (represented by increased travel time), over the horizon of the post-disaster </w:t>
      </w:r>
      <w:r w:rsidRPr="008B4D96">
        <w:rPr>
          <w:rFonts w:ascii="Arial" w:hAnsi="Arial" w:cs="Arial"/>
          <w:i/>
          <w:sz w:val="22"/>
          <w:szCs w:val="22"/>
        </w:rPr>
        <w:t>recovery</w:t>
      </w:r>
      <w:r w:rsidRPr="008B4D96">
        <w:rPr>
          <w:rFonts w:ascii="Arial" w:hAnsi="Arial" w:cs="Arial"/>
          <w:sz w:val="22"/>
          <w:szCs w:val="22"/>
        </w:rPr>
        <w:t xml:space="preserve"> phase was highlighted. Eliminated trips contributed significantly </w:t>
      </w:r>
      <w:proofErr w:type="gramStart"/>
      <w:r w:rsidRPr="008B4D96">
        <w:rPr>
          <w:rFonts w:ascii="Arial" w:hAnsi="Arial" w:cs="Arial"/>
          <w:sz w:val="22"/>
          <w:szCs w:val="22"/>
        </w:rPr>
        <w:t>in</w:t>
      </w:r>
      <w:proofErr w:type="gramEnd"/>
      <w:r w:rsidRPr="008B4D96">
        <w:rPr>
          <w:rFonts w:ascii="Arial" w:hAnsi="Arial" w:cs="Arial"/>
          <w:sz w:val="22"/>
          <w:szCs w:val="22"/>
        </w:rPr>
        <w:t xml:space="preserve"> areas that were cut off and isolated post-disaster, due to a lack of alternative routes, and increased travel time contributed as more roads were reopened but the alternative routes resulted in increased travel distances and, consequently, travel time.</w:t>
      </w:r>
    </w:p>
    <w:p w14:paraId="63F88E01" w14:textId="1400B0AC" w:rsidR="00455D44" w:rsidRPr="008B4D96" w:rsidRDefault="008B4D96" w:rsidP="008B4D96">
      <w:pPr>
        <w:spacing w:before="120" w:line="264" w:lineRule="auto"/>
        <w:jc w:val="both"/>
        <w:rPr>
          <w:rFonts w:ascii="Arial" w:hAnsi="Arial" w:cs="Arial"/>
          <w:sz w:val="22"/>
          <w:szCs w:val="22"/>
        </w:rPr>
      </w:pPr>
      <w:r w:rsidRPr="008B4D96">
        <w:rPr>
          <w:rFonts w:ascii="Arial" w:hAnsi="Arial" w:cs="Arial"/>
          <w:noProof/>
          <w:sz w:val="22"/>
          <w:szCs w:val="22"/>
        </w:rPr>
        <w:t>I</w:t>
      </w:r>
      <w:r w:rsidRPr="008B4D96">
        <w:rPr>
          <w:rFonts w:ascii="Arial" w:hAnsi="Arial" w:cs="Arial"/>
          <w:sz w:val="22"/>
          <w:szCs w:val="22"/>
        </w:rPr>
        <w:t xml:space="preserve">n urban areas, where </w:t>
      </w:r>
      <w:proofErr w:type="gramStart"/>
      <w:r w:rsidRPr="008B4D96">
        <w:rPr>
          <w:rFonts w:ascii="Arial" w:hAnsi="Arial" w:cs="Arial"/>
          <w:sz w:val="22"/>
          <w:szCs w:val="22"/>
        </w:rPr>
        <w:t>a number of</w:t>
      </w:r>
      <w:proofErr w:type="gramEnd"/>
      <w:r w:rsidRPr="008B4D96">
        <w:rPr>
          <w:rFonts w:ascii="Arial" w:hAnsi="Arial" w:cs="Arial"/>
          <w:sz w:val="22"/>
          <w:szCs w:val="22"/>
        </w:rPr>
        <w:t xml:space="preserve"> alternative routes are typically available with similar or equivalent distance travelled, redundancy is expected to be high. In such cases, the increased congestion on these routes may result in longer travel times and, therefore, increased travel costs. The Detour Route Resilience project is currently undertaking to assess the resilience of the detour route in case of full closure on the Auckland motorway which will provide a full picture of the resilience of the motorway along with the current resilience dashboard. </w:t>
      </w:r>
      <w:r w:rsidR="00455D44">
        <w:rPr>
          <w:rFonts w:ascii="Arial" w:hAnsi="Arial" w:cs="Arial"/>
          <w:sz w:val="22"/>
          <w:szCs w:val="22"/>
        </w:rPr>
        <w:t>I</w:t>
      </w:r>
      <w:r w:rsidR="00455D44" w:rsidRPr="00455D44">
        <w:rPr>
          <w:rFonts w:ascii="Arial" w:hAnsi="Arial" w:cs="Arial"/>
          <w:sz w:val="22"/>
          <w:szCs w:val="22"/>
        </w:rPr>
        <w:t>ntegrating other resilience dimensions and applying measures in different contexts</w:t>
      </w:r>
      <w:r w:rsidR="00455D44">
        <w:rPr>
          <w:rFonts w:ascii="Arial" w:hAnsi="Arial" w:cs="Arial"/>
          <w:sz w:val="22"/>
          <w:szCs w:val="22"/>
        </w:rPr>
        <w:t xml:space="preserve"> can be investigated in future </w:t>
      </w:r>
      <w:proofErr w:type="gramStart"/>
      <w:r w:rsidR="00455D44">
        <w:rPr>
          <w:rFonts w:ascii="Arial" w:hAnsi="Arial" w:cs="Arial"/>
          <w:sz w:val="22"/>
          <w:szCs w:val="22"/>
        </w:rPr>
        <w:t>researches</w:t>
      </w:r>
      <w:proofErr w:type="gramEnd"/>
      <w:r w:rsidR="00455D44">
        <w:rPr>
          <w:rFonts w:ascii="Arial" w:hAnsi="Arial" w:cs="Arial"/>
          <w:sz w:val="22"/>
          <w:szCs w:val="22"/>
        </w:rPr>
        <w:t xml:space="preserve">. </w:t>
      </w:r>
    </w:p>
    <w:p w14:paraId="5EAC0F91" w14:textId="77777777" w:rsidR="008B4D96" w:rsidRPr="008B4D96" w:rsidRDefault="008B4D96" w:rsidP="008B4D96">
      <w:pPr>
        <w:pStyle w:val="Heading1"/>
        <w:spacing w:before="120" w:line="264" w:lineRule="auto"/>
        <w:jc w:val="both"/>
        <w:rPr>
          <w:rFonts w:ascii="Arial" w:eastAsia="CMS Y 10" w:hAnsi="Arial" w:cs="Arial"/>
          <w:b/>
          <w:bCs/>
          <w:color w:val="auto"/>
          <w:sz w:val="28"/>
          <w:szCs w:val="28"/>
        </w:rPr>
      </w:pPr>
      <w:bookmarkStart w:id="20" w:name="_Toc495616746"/>
      <w:r w:rsidRPr="008B4D96">
        <w:rPr>
          <w:rFonts w:ascii="Arial" w:eastAsia="CMS Y 10" w:hAnsi="Arial" w:cs="Arial"/>
          <w:b/>
          <w:bCs/>
          <w:color w:val="auto"/>
          <w:sz w:val="28"/>
          <w:szCs w:val="28"/>
        </w:rPr>
        <w:t>References:</w:t>
      </w:r>
      <w:bookmarkEnd w:id="20"/>
      <w:r w:rsidRPr="008B4D96">
        <w:rPr>
          <w:rFonts w:ascii="Arial" w:eastAsia="CMS Y 10" w:hAnsi="Arial" w:cs="Arial"/>
          <w:b/>
          <w:bCs/>
          <w:color w:val="auto"/>
          <w:sz w:val="28"/>
          <w:szCs w:val="28"/>
        </w:rPr>
        <w:t xml:space="preserve">  </w:t>
      </w:r>
    </w:p>
    <w:p w14:paraId="09DE1B60"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fldChar w:fldCharType="begin"/>
      </w:r>
      <w:r w:rsidRPr="008B4D96">
        <w:rPr>
          <w:rFonts w:ascii="Arial" w:hAnsi="Arial" w:cs="Arial"/>
          <w:sz w:val="22"/>
        </w:rPr>
        <w:instrText xml:space="preserve"> ADDIN EN.REFLIST </w:instrText>
      </w:r>
      <w:r w:rsidRPr="008B4D96">
        <w:rPr>
          <w:rFonts w:ascii="Arial" w:hAnsi="Arial" w:cs="Arial"/>
          <w:sz w:val="22"/>
        </w:rPr>
        <w:fldChar w:fldCharType="separate"/>
      </w:r>
      <w:r w:rsidRPr="008B4D96">
        <w:rPr>
          <w:rFonts w:ascii="Arial" w:hAnsi="Arial" w:cs="Arial"/>
          <w:sz w:val="22"/>
        </w:rPr>
        <w:t xml:space="preserve">AF8. 2020. </w:t>
      </w:r>
      <w:r w:rsidRPr="008B4D96">
        <w:rPr>
          <w:rFonts w:ascii="Arial" w:hAnsi="Arial" w:cs="Arial"/>
          <w:i/>
          <w:sz w:val="22"/>
        </w:rPr>
        <w:t xml:space="preserve">AF8: Alpine Fault Magnitude 8 </w:t>
      </w:r>
      <w:r w:rsidRPr="008B4D96">
        <w:rPr>
          <w:rFonts w:ascii="Arial" w:hAnsi="Arial" w:cs="Arial"/>
          <w:sz w:val="22"/>
        </w:rPr>
        <w:t xml:space="preserve">[Online]. Available: </w:t>
      </w:r>
      <w:hyperlink r:id="rId19" w:history="1">
        <w:r w:rsidRPr="008B4D96">
          <w:rPr>
            <w:rStyle w:val="Hyperlink"/>
            <w:rFonts w:ascii="Arial" w:hAnsi="Arial" w:cs="Arial"/>
            <w:sz w:val="22"/>
          </w:rPr>
          <w:t>https://af8.org.nz/</w:t>
        </w:r>
      </w:hyperlink>
      <w:r w:rsidRPr="008B4D96">
        <w:rPr>
          <w:rFonts w:ascii="Arial" w:hAnsi="Arial" w:cs="Arial"/>
          <w:sz w:val="22"/>
        </w:rPr>
        <w:t xml:space="preserve"> [Accessed 2020].</w:t>
      </w:r>
    </w:p>
    <w:p w14:paraId="28CCE25B"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Aghababaei, M. T., Costello, S. B. &amp; Ranjitkar, P. 2020. Transportation impact assessment following a potential Alpine fault earthquake in New Zealand. </w:t>
      </w:r>
      <w:r w:rsidRPr="008B4D96">
        <w:rPr>
          <w:rFonts w:ascii="Arial" w:hAnsi="Arial" w:cs="Arial"/>
          <w:i/>
          <w:sz w:val="22"/>
        </w:rPr>
        <w:t>Transportation Research Part D,</w:t>
      </w:r>
      <w:r w:rsidRPr="008B4D96">
        <w:rPr>
          <w:rFonts w:ascii="Arial" w:hAnsi="Arial" w:cs="Arial"/>
          <w:sz w:val="22"/>
        </w:rPr>
        <w:t xml:space="preserve"> 87.</w:t>
      </w:r>
    </w:p>
    <w:p w14:paraId="5714848A"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Argyroudis, S. A., Mitoulis, S. A., Hofer, L., Zanini, M. A., Tubaldi, E. &amp; Frangopol, D. M. 2020. Resilience assessment framework for critical infrastructure in a multi-hazard environment: Case study on transport assets. </w:t>
      </w:r>
      <w:r w:rsidRPr="008B4D96">
        <w:rPr>
          <w:rFonts w:ascii="Arial" w:hAnsi="Arial" w:cs="Arial"/>
          <w:i/>
          <w:sz w:val="22"/>
        </w:rPr>
        <w:t>Science of The Total Environment,</w:t>
      </w:r>
      <w:r w:rsidRPr="008B4D96">
        <w:rPr>
          <w:rFonts w:ascii="Arial" w:hAnsi="Arial" w:cs="Arial"/>
          <w:sz w:val="22"/>
        </w:rPr>
        <w:t xml:space="preserve"> 714</w:t>
      </w:r>
      <w:r w:rsidRPr="008B4D96">
        <w:rPr>
          <w:rFonts w:ascii="Arial" w:hAnsi="Arial" w:cs="Arial"/>
          <w:b/>
          <w:sz w:val="22"/>
        </w:rPr>
        <w:t>,</w:t>
      </w:r>
      <w:r w:rsidRPr="008B4D96">
        <w:rPr>
          <w:rFonts w:ascii="Arial" w:hAnsi="Arial" w:cs="Arial"/>
          <w:sz w:val="22"/>
        </w:rPr>
        <w:t xml:space="preserve"> 136854.</w:t>
      </w:r>
    </w:p>
    <w:p w14:paraId="492D86E9"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Argyroudis, S. A., Nasiopoulos, G., Mantadakis, N. &amp; Mitoulis, S. A. 2021. Cost-based resilience assessment of bridges subjected to earthquakes. </w:t>
      </w:r>
      <w:r w:rsidRPr="008B4D96">
        <w:rPr>
          <w:rFonts w:ascii="Arial" w:hAnsi="Arial" w:cs="Arial"/>
          <w:i/>
          <w:sz w:val="22"/>
        </w:rPr>
        <w:t>International Journal of Disaster Resilience in the Built Environment,</w:t>
      </w:r>
      <w:r w:rsidRPr="008B4D96">
        <w:rPr>
          <w:rFonts w:ascii="Arial" w:hAnsi="Arial" w:cs="Arial"/>
          <w:sz w:val="22"/>
        </w:rPr>
        <w:t xml:space="preserve"> Vol 12 No. 2</w:t>
      </w:r>
      <w:r w:rsidRPr="008B4D96">
        <w:rPr>
          <w:rFonts w:ascii="Arial" w:hAnsi="Arial" w:cs="Arial"/>
          <w:b/>
          <w:sz w:val="22"/>
        </w:rPr>
        <w:t>,</w:t>
      </w:r>
      <w:r w:rsidRPr="008B4D96">
        <w:rPr>
          <w:rFonts w:ascii="Arial" w:hAnsi="Arial" w:cs="Arial"/>
          <w:sz w:val="22"/>
        </w:rPr>
        <w:t xml:space="preserve"> 209-222.</w:t>
      </w:r>
    </w:p>
    <w:p w14:paraId="729D7E3F"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Balijepalli, C. &amp; Oppong, O. 2014. Measuring vulnerability of road network considering the extent of serviceability of critical road links in urban areas. </w:t>
      </w:r>
      <w:r w:rsidRPr="008B4D96">
        <w:rPr>
          <w:rFonts w:ascii="Arial" w:hAnsi="Arial" w:cs="Arial"/>
          <w:i/>
          <w:sz w:val="22"/>
        </w:rPr>
        <w:t>Journal of Transport Geography,</w:t>
      </w:r>
      <w:r w:rsidRPr="008B4D96">
        <w:rPr>
          <w:rFonts w:ascii="Arial" w:hAnsi="Arial" w:cs="Arial"/>
          <w:sz w:val="22"/>
        </w:rPr>
        <w:t xml:space="preserve"> 39</w:t>
      </w:r>
      <w:r w:rsidRPr="008B4D96">
        <w:rPr>
          <w:rFonts w:ascii="Arial" w:hAnsi="Arial" w:cs="Arial"/>
          <w:b/>
          <w:sz w:val="22"/>
        </w:rPr>
        <w:t>,</w:t>
      </w:r>
      <w:r w:rsidRPr="008B4D96">
        <w:rPr>
          <w:rFonts w:ascii="Arial" w:hAnsi="Arial" w:cs="Arial"/>
          <w:sz w:val="22"/>
        </w:rPr>
        <w:t xml:space="preserve"> 145-155.</w:t>
      </w:r>
    </w:p>
    <w:p w14:paraId="1F011C6B"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Benn, J., Todd, D. &amp; Owens, I. 2002. West Coast Regional Council: Natural Hazards Review. DTec Consulting Ltd.</w:t>
      </w:r>
    </w:p>
    <w:p w14:paraId="08ABED2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Berryman, K., Helm, P., Davies, B., Smith, R., Kingsbury, P., Markham, S., Manley, C., Adye, M., O’Meara, G., Chittock, D. &amp; Sullivan, F. 2014. Managing natural hazard risk in New Zealand – towards more resilient communities. LGNZ.</w:t>
      </w:r>
    </w:p>
    <w:p w14:paraId="46B567BA"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Brabhaharan, P., Wiles, L. M. &amp; Frietag, S. 2006. Natural Hazard Road Risk Management Part lll: Performance Criteria. Land Transport New Zealand Research Report 296.</w:t>
      </w:r>
    </w:p>
    <w:p w14:paraId="385928C2"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Bradley, B. A., Bae, S. E., Polak, V., Lee, R. L., Thomson, E. M. &amp; Tarbali, K. 2017. Ground motion simulations of great earthquakes on the Alpine Fault: effect of hypocentre location and comparison with empirical modelling. </w:t>
      </w:r>
      <w:r w:rsidRPr="008B4D96">
        <w:rPr>
          <w:rFonts w:ascii="Arial" w:hAnsi="Arial" w:cs="Arial"/>
          <w:i/>
          <w:sz w:val="22"/>
        </w:rPr>
        <w:t>New Zealand Journal of Geology and Geophysics,</w:t>
      </w:r>
      <w:r w:rsidRPr="008B4D96">
        <w:rPr>
          <w:rFonts w:ascii="Arial" w:hAnsi="Arial" w:cs="Arial"/>
          <w:sz w:val="22"/>
        </w:rPr>
        <w:t xml:space="preserve"> 60</w:t>
      </w:r>
      <w:r w:rsidRPr="008B4D96">
        <w:rPr>
          <w:rFonts w:ascii="Arial" w:hAnsi="Arial" w:cs="Arial"/>
          <w:b/>
          <w:sz w:val="22"/>
        </w:rPr>
        <w:t>,</w:t>
      </w:r>
      <w:r w:rsidRPr="008B4D96">
        <w:rPr>
          <w:rFonts w:ascii="Arial" w:hAnsi="Arial" w:cs="Arial"/>
          <w:sz w:val="22"/>
        </w:rPr>
        <w:t xml:space="preserve"> 188-198.</w:t>
      </w:r>
    </w:p>
    <w:p w14:paraId="4F7D5A51"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lastRenderedPageBreak/>
        <w:t xml:space="preserve">Bruneau, M., Chang, S. E., Eguchi, R. T., Lee, G. C., O’Rourke, T. D., Reinhorn, A. M., Shinozuka, M., Tierney, K., Wallace, W. A. &amp; Winterfeldt, D. v. 2003. A Framework to Quantitatively Assess and Enhance the Seismic Resilience of Communities. </w:t>
      </w:r>
      <w:r w:rsidRPr="008B4D96">
        <w:rPr>
          <w:rFonts w:ascii="Arial" w:hAnsi="Arial" w:cs="Arial"/>
          <w:i/>
          <w:sz w:val="22"/>
        </w:rPr>
        <w:t>Earthquake Spectra,</w:t>
      </w:r>
      <w:r w:rsidRPr="008B4D96">
        <w:rPr>
          <w:rFonts w:ascii="Arial" w:hAnsi="Arial" w:cs="Arial"/>
          <w:sz w:val="22"/>
        </w:rPr>
        <w:t xml:space="preserve"> 19</w:t>
      </w:r>
      <w:r w:rsidRPr="008B4D96">
        <w:rPr>
          <w:rFonts w:ascii="Arial" w:hAnsi="Arial" w:cs="Arial"/>
          <w:b/>
          <w:sz w:val="22"/>
        </w:rPr>
        <w:t>,</w:t>
      </w:r>
      <w:r w:rsidRPr="008B4D96">
        <w:rPr>
          <w:rFonts w:ascii="Arial" w:hAnsi="Arial" w:cs="Arial"/>
          <w:sz w:val="22"/>
        </w:rPr>
        <w:t xml:space="preserve"> 733-752.</w:t>
      </w:r>
    </w:p>
    <w:p w14:paraId="16FEA5FA"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Chen, B. Y., Lam, W. H. K., Sumalee, A., Li, Q. &amp; Li, Z. C. 2012. Vulnerability analysis for large-scale and congested road networks with demand uncertainty. </w:t>
      </w:r>
      <w:r w:rsidRPr="008B4D96">
        <w:rPr>
          <w:rFonts w:ascii="Arial" w:hAnsi="Arial" w:cs="Arial"/>
          <w:i/>
          <w:sz w:val="22"/>
        </w:rPr>
        <w:t>Transportation Research Part A 46</w:t>
      </w:r>
      <w:r w:rsidRPr="008B4D96">
        <w:rPr>
          <w:rFonts w:ascii="Arial" w:hAnsi="Arial" w:cs="Arial"/>
          <w:b/>
          <w:sz w:val="22"/>
        </w:rPr>
        <w:t>,</w:t>
      </w:r>
      <w:r w:rsidRPr="008B4D96">
        <w:rPr>
          <w:rFonts w:ascii="Arial" w:hAnsi="Arial" w:cs="Arial"/>
          <w:sz w:val="22"/>
        </w:rPr>
        <w:t xml:space="preserve"> 501-516.</w:t>
      </w:r>
    </w:p>
    <w:p w14:paraId="42322569"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Chen, L. &amp; Miller-Hooks, E. 2012. Resilience: An Indicator of Recovery Capability in Intermodal Freight Transport. </w:t>
      </w:r>
      <w:r w:rsidRPr="008B4D96">
        <w:rPr>
          <w:rFonts w:ascii="Arial" w:hAnsi="Arial" w:cs="Arial"/>
          <w:i/>
          <w:sz w:val="22"/>
        </w:rPr>
        <w:t>Transportation Science,</w:t>
      </w:r>
      <w:r w:rsidRPr="008B4D96">
        <w:rPr>
          <w:rFonts w:ascii="Arial" w:hAnsi="Arial" w:cs="Arial"/>
          <w:sz w:val="22"/>
        </w:rPr>
        <w:t xml:space="preserve"> 46(1)</w:t>
      </w:r>
      <w:r w:rsidRPr="008B4D96">
        <w:rPr>
          <w:rFonts w:ascii="Arial" w:hAnsi="Arial" w:cs="Arial"/>
          <w:b/>
          <w:sz w:val="22"/>
        </w:rPr>
        <w:t>,</w:t>
      </w:r>
      <w:r w:rsidRPr="008B4D96">
        <w:rPr>
          <w:rFonts w:ascii="Arial" w:hAnsi="Arial" w:cs="Arial"/>
          <w:sz w:val="22"/>
        </w:rPr>
        <w:t xml:space="preserve"> 109-123.</w:t>
      </w:r>
    </w:p>
    <w:p w14:paraId="18D212D3"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Davies, A. 2019. </w:t>
      </w:r>
      <w:r w:rsidRPr="008B4D96">
        <w:rPr>
          <w:rFonts w:ascii="Arial" w:hAnsi="Arial" w:cs="Arial"/>
          <w:i/>
          <w:sz w:val="22"/>
        </w:rPr>
        <w:t>Increasing the disaster resilience of remote communities through scenario co-creation.</w:t>
      </w:r>
      <w:r w:rsidRPr="008B4D96">
        <w:rPr>
          <w:rFonts w:ascii="Arial" w:hAnsi="Arial" w:cs="Arial"/>
          <w:sz w:val="22"/>
        </w:rPr>
        <w:t xml:space="preserve"> Doctor of Philosophy, University of Canterbury.</w:t>
      </w:r>
    </w:p>
    <w:p w14:paraId="4E28EEC9"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Davies, A., Zorn, C., Wotherspoon, L., Beaven, S., Davies, T., Matthew, H. &amp; Wilson, T. 2021. Infrastructure failure propagations and recovery strategies from an Alpine Fault earthquake scenario: Establishing feedback loops between integrated modelling and participatory processes for disaster impact reduction.</w:t>
      </w:r>
    </w:p>
    <w:p w14:paraId="135D6F76"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Dizhur, D., Giaretton, M. &amp; Ingham, J. M. Damage Observations Following the Mw 7.8 2016 Kaikoura Earthquake. 2019 Cham. Springer International Publishing, 249-261.</w:t>
      </w:r>
    </w:p>
    <w:p w14:paraId="0289BE90"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Dowling, R. 2007. Traffic Analysis Toolbox Volume VI: Definition, Interpretation, And Calculation Of Traffic Analysis Tools Measures of Effectiveness. </w:t>
      </w:r>
      <w:r w:rsidRPr="008B4D96">
        <w:rPr>
          <w:rFonts w:ascii="Arial" w:hAnsi="Arial" w:cs="Arial"/>
          <w:i/>
          <w:sz w:val="22"/>
        </w:rPr>
        <w:t>In:</w:t>
      </w:r>
      <w:r w:rsidRPr="008B4D96">
        <w:rPr>
          <w:rFonts w:ascii="Arial" w:hAnsi="Arial" w:cs="Arial"/>
          <w:sz w:val="22"/>
        </w:rPr>
        <w:t xml:space="preserve"> Report FHWAHOP- 08-054. Federal Highway Administration, W., D.C., (ed.).</w:t>
      </w:r>
    </w:p>
    <w:p w14:paraId="796052BB"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El-Rashidy, R. A. &amp; Grant-Muller, S. M. 2014. An assessment method for highway network vulnerability. </w:t>
      </w:r>
      <w:r w:rsidRPr="008B4D96">
        <w:rPr>
          <w:rFonts w:ascii="Arial" w:hAnsi="Arial" w:cs="Arial"/>
          <w:i/>
          <w:sz w:val="22"/>
        </w:rPr>
        <w:t>Journal of Transport Geography,</w:t>
      </w:r>
      <w:r w:rsidRPr="008B4D96">
        <w:rPr>
          <w:rFonts w:ascii="Arial" w:hAnsi="Arial" w:cs="Arial"/>
          <w:sz w:val="22"/>
        </w:rPr>
        <w:t xml:space="preserve"> 34</w:t>
      </w:r>
      <w:r w:rsidRPr="008B4D96">
        <w:rPr>
          <w:rFonts w:ascii="Arial" w:hAnsi="Arial" w:cs="Arial"/>
          <w:b/>
          <w:sz w:val="22"/>
        </w:rPr>
        <w:t>,</w:t>
      </w:r>
      <w:r w:rsidRPr="008B4D96">
        <w:rPr>
          <w:rFonts w:ascii="Arial" w:hAnsi="Arial" w:cs="Arial"/>
          <w:sz w:val="22"/>
        </w:rPr>
        <w:t xml:space="preserve"> 34-43.</w:t>
      </w:r>
    </w:p>
    <w:p w14:paraId="7F52C78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Erath, A., Birdsall, J., Axhausen, K. W. &amp; Hajdin, R. 2009. Vulnerability Assessment Methodology for Swiss Road Network. </w:t>
      </w:r>
      <w:r w:rsidRPr="008B4D96">
        <w:rPr>
          <w:rFonts w:ascii="Arial" w:hAnsi="Arial" w:cs="Arial"/>
          <w:i/>
          <w:sz w:val="22"/>
        </w:rPr>
        <w:t>Transportation Research Record,</w:t>
      </w:r>
      <w:r w:rsidRPr="008B4D96">
        <w:rPr>
          <w:rFonts w:ascii="Arial" w:hAnsi="Arial" w:cs="Arial"/>
          <w:sz w:val="22"/>
        </w:rPr>
        <w:t xml:space="preserve"> No. 2137</w:t>
      </w:r>
      <w:r w:rsidRPr="008B4D96">
        <w:rPr>
          <w:rFonts w:ascii="Arial" w:hAnsi="Arial" w:cs="Arial"/>
          <w:b/>
          <w:sz w:val="22"/>
        </w:rPr>
        <w:t>,</w:t>
      </w:r>
      <w:r w:rsidRPr="008B4D96">
        <w:rPr>
          <w:rFonts w:ascii="Arial" w:hAnsi="Arial" w:cs="Arial"/>
          <w:sz w:val="22"/>
        </w:rPr>
        <w:t xml:space="preserve"> 118-126.</w:t>
      </w:r>
    </w:p>
    <w:p w14:paraId="25BD2657"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Faturechi, R. &amp; Miller-Hooks, E. 2014. Measuring the Performance of Transportation Infrastructure Systems in Disasters: A Comprehensive Review. </w:t>
      </w:r>
      <w:r w:rsidRPr="008B4D96">
        <w:rPr>
          <w:rFonts w:ascii="Arial" w:hAnsi="Arial" w:cs="Arial"/>
          <w:i/>
          <w:sz w:val="22"/>
        </w:rPr>
        <w:t>Journal of Infrastructure Systems</w:t>
      </w:r>
      <w:r w:rsidRPr="008B4D96">
        <w:rPr>
          <w:rFonts w:ascii="Arial" w:hAnsi="Arial" w:cs="Arial"/>
          <w:b/>
          <w:sz w:val="22"/>
        </w:rPr>
        <w:t>,</w:t>
      </w:r>
      <w:r w:rsidRPr="008B4D96">
        <w:rPr>
          <w:rFonts w:ascii="Arial" w:hAnsi="Arial" w:cs="Arial"/>
          <w:sz w:val="22"/>
        </w:rPr>
        <w:t xml:space="preserve"> 15.</w:t>
      </w:r>
    </w:p>
    <w:p w14:paraId="6474962B"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Herbert, T., Fairclough, R., Tucker, S., Parr, G., Wotherspoon, L., Blake, D., Trotter, M. &amp; Stevenson, J. 2018. An evaluation and lessons learned from responses to the Kaikōura earthquake. National Sceience Challenges, Resilience to Naturer's Challenges.</w:t>
      </w:r>
    </w:p>
    <w:p w14:paraId="67B1E329"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Hughes, J. &amp; Healy, K. 2014. Measuring the resilience of transport infrastructure. NZ Transport Agency research report 546.</w:t>
      </w:r>
    </w:p>
    <w:p w14:paraId="2E64792F"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Jeannotte, K., Chandra, A., Alexiadis, V. &amp; Skabardonis, A. 2004. Traffic Analysis Toolbox Volume II: Decision Support Methodology for Selecting Traffic Analysis Tools. The Federal Highway Administration (FHWA).</w:t>
      </w:r>
    </w:p>
    <w:p w14:paraId="5F89B90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Jenelius, E., Petersen, T. &amp; Mattsson, L. G. 2006. Importance and exposure in road network vulnerability analysis. </w:t>
      </w:r>
      <w:r w:rsidRPr="008B4D96">
        <w:rPr>
          <w:rFonts w:ascii="Arial" w:hAnsi="Arial" w:cs="Arial"/>
          <w:i/>
          <w:sz w:val="22"/>
        </w:rPr>
        <w:t>Transportation Research Part A 40</w:t>
      </w:r>
      <w:r w:rsidRPr="008B4D96">
        <w:rPr>
          <w:rFonts w:ascii="Arial" w:hAnsi="Arial" w:cs="Arial"/>
          <w:b/>
          <w:sz w:val="22"/>
        </w:rPr>
        <w:t>,</w:t>
      </w:r>
      <w:r w:rsidRPr="008B4D96">
        <w:rPr>
          <w:rFonts w:ascii="Arial" w:hAnsi="Arial" w:cs="Arial"/>
          <w:sz w:val="22"/>
        </w:rPr>
        <w:t xml:space="preserve"> 537-560.</w:t>
      </w:r>
    </w:p>
    <w:p w14:paraId="418BD074"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Luathep, P., Sumalee, A., Ho, H. W. &amp; Kurauchi, F. 2011. Large-scale road network vulnerability analysis: a sensitivity analysis based approach. </w:t>
      </w:r>
      <w:r w:rsidRPr="008B4D96">
        <w:rPr>
          <w:rFonts w:ascii="Arial" w:hAnsi="Arial" w:cs="Arial"/>
          <w:i/>
          <w:sz w:val="22"/>
        </w:rPr>
        <w:t>Transportation,</w:t>
      </w:r>
      <w:r w:rsidRPr="008B4D96">
        <w:rPr>
          <w:rFonts w:ascii="Arial" w:hAnsi="Arial" w:cs="Arial"/>
          <w:sz w:val="22"/>
        </w:rPr>
        <w:t xml:space="preserve"> 38</w:t>
      </w:r>
      <w:r w:rsidRPr="008B4D96">
        <w:rPr>
          <w:rFonts w:ascii="Arial" w:hAnsi="Arial" w:cs="Arial"/>
          <w:b/>
          <w:sz w:val="22"/>
        </w:rPr>
        <w:t>,</w:t>
      </w:r>
      <w:r w:rsidRPr="008B4D96">
        <w:rPr>
          <w:rFonts w:ascii="Arial" w:hAnsi="Arial" w:cs="Arial"/>
          <w:sz w:val="22"/>
        </w:rPr>
        <w:t xml:space="preserve"> 799-817.</w:t>
      </w:r>
    </w:p>
    <w:p w14:paraId="2BC8D19A"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Mason, D. &amp; Brabhaharan, P. 2016. National State Highway Resilience. New Zealand Transport Agency (NZTA): Opus International Consultants Ltd.</w:t>
      </w:r>
    </w:p>
    <w:p w14:paraId="521DC428"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McCahon, I., Elms, D. &amp; Dewhirst, R. 2006. Alpine Fault Earthquake Scenario &amp; Lifelines Vulnerability Assessment. West Coast Engineering Lifelines Group.</w:t>
      </w:r>
    </w:p>
    <w:p w14:paraId="5AFB09BF"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Miller-Hooks, E., Zhang, X. &amp; Faturechi, R. 2012. Measuring and maximizing resilience of freight transportation networks. </w:t>
      </w:r>
      <w:r w:rsidRPr="008B4D96">
        <w:rPr>
          <w:rFonts w:ascii="Arial" w:hAnsi="Arial" w:cs="Arial"/>
          <w:i/>
          <w:sz w:val="22"/>
        </w:rPr>
        <w:t>Computers &amp; Operations Research,</w:t>
      </w:r>
      <w:r w:rsidRPr="008B4D96">
        <w:rPr>
          <w:rFonts w:ascii="Arial" w:hAnsi="Arial" w:cs="Arial"/>
          <w:sz w:val="22"/>
        </w:rPr>
        <w:t xml:space="preserve"> 39</w:t>
      </w:r>
      <w:r w:rsidRPr="008B4D96">
        <w:rPr>
          <w:rFonts w:ascii="Arial" w:hAnsi="Arial" w:cs="Arial"/>
          <w:b/>
          <w:sz w:val="22"/>
        </w:rPr>
        <w:t>,</w:t>
      </w:r>
      <w:r w:rsidRPr="008B4D96">
        <w:rPr>
          <w:rFonts w:ascii="Arial" w:hAnsi="Arial" w:cs="Arial"/>
          <w:sz w:val="22"/>
        </w:rPr>
        <w:t xml:space="preserve"> 1633-1643.</w:t>
      </w:r>
    </w:p>
    <w:p w14:paraId="6BB1CEB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Misra, S., Padgett, J. E., Barbosa, A. R. &amp; Webb, B. M. 2020. An expert opinion survey on post-hazard restoration of roadways and bridges: Data and key insights. </w:t>
      </w:r>
      <w:r w:rsidRPr="008B4D96">
        <w:rPr>
          <w:rFonts w:ascii="Arial" w:hAnsi="Arial" w:cs="Arial"/>
          <w:i/>
          <w:sz w:val="22"/>
        </w:rPr>
        <w:t>Earthquake Spectra,</w:t>
      </w:r>
      <w:r w:rsidRPr="008B4D96">
        <w:rPr>
          <w:rFonts w:ascii="Arial" w:hAnsi="Arial" w:cs="Arial"/>
          <w:sz w:val="22"/>
        </w:rPr>
        <w:t xml:space="preserve"> 36</w:t>
      </w:r>
      <w:r w:rsidRPr="008B4D96">
        <w:rPr>
          <w:rFonts w:ascii="Arial" w:hAnsi="Arial" w:cs="Arial"/>
          <w:b/>
          <w:sz w:val="22"/>
        </w:rPr>
        <w:t>,</w:t>
      </w:r>
      <w:r w:rsidRPr="008B4D96">
        <w:rPr>
          <w:rFonts w:ascii="Arial" w:hAnsi="Arial" w:cs="Arial"/>
          <w:sz w:val="22"/>
        </w:rPr>
        <w:t xml:space="preserve"> 983-1004.</w:t>
      </w:r>
    </w:p>
    <w:p w14:paraId="1F53EC4B"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Mitoulis, S. A., Argyroudis, S. A., Loli, M. &amp; Imam, B. 2021. Restoration models for quantifying flood resilience of bridges. </w:t>
      </w:r>
      <w:r w:rsidRPr="008B4D96">
        <w:rPr>
          <w:rFonts w:ascii="Arial" w:hAnsi="Arial" w:cs="Arial"/>
          <w:i/>
          <w:sz w:val="22"/>
        </w:rPr>
        <w:t>Engineering Structures,</w:t>
      </w:r>
      <w:r w:rsidRPr="008B4D96">
        <w:rPr>
          <w:rFonts w:ascii="Arial" w:hAnsi="Arial" w:cs="Arial"/>
          <w:sz w:val="22"/>
        </w:rPr>
        <w:t xml:space="preserve"> 238</w:t>
      </w:r>
      <w:r w:rsidRPr="008B4D96">
        <w:rPr>
          <w:rFonts w:ascii="Arial" w:hAnsi="Arial" w:cs="Arial"/>
          <w:b/>
          <w:sz w:val="22"/>
        </w:rPr>
        <w:t>,</w:t>
      </w:r>
      <w:r w:rsidRPr="008B4D96">
        <w:rPr>
          <w:rFonts w:ascii="Arial" w:hAnsi="Arial" w:cs="Arial"/>
          <w:sz w:val="22"/>
        </w:rPr>
        <w:t xml:space="preserve"> 112180.</w:t>
      </w:r>
    </w:p>
    <w:p w14:paraId="719CBA82"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MOT. 2017. </w:t>
      </w:r>
      <w:r w:rsidRPr="008B4D96">
        <w:rPr>
          <w:rFonts w:ascii="Arial" w:hAnsi="Arial" w:cs="Arial"/>
          <w:i/>
          <w:sz w:val="22"/>
        </w:rPr>
        <w:t xml:space="preserve">Connecting New Zealand – A summary of the government's policy direction for transport </w:t>
      </w:r>
      <w:r w:rsidRPr="008B4D96">
        <w:rPr>
          <w:rFonts w:ascii="Arial" w:hAnsi="Arial" w:cs="Arial"/>
          <w:sz w:val="22"/>
        </w:rPr>
        <w:t xml:space="preserve">[Online]. Ministry of Transport. Available: </w:t>
      </w:r>
      <w:hyperlink r:id="rId20" w:history="1">
        <w:r w:rsidRPr="008B4D96">
          <w:rPr>
            <w:rStyle w:val="Hyperlink"/>
            <w:rFonts w:ascii="Arial" w:hAnsi="Arial" w:cs="Arial"/>
            <w:sz w:val="22"/>
          </w:rPr>
          <w:t>http://www.transport.govt.nz/</w:t>
        </w:r>
      </w:hyperlink>
      <w:r w:rsidRPr="008B4D96">
        <w:rPr>
          <w:rFonts w:ascii="Arial" w:hAnsi="Arial" w:cs="Arial"/>
          <w:sz w:val="22"/>
        </w:rPr>
        <w:t xml:space="preserve"> [Accessed 2018].</w:t>
      </w:r>
    </w:p>
    <w:p w14:paraId="24ABEF16"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lastRenderedPageBreak/>
        <w:t xml:space="preserve">Muriel-Villegas, J. E., Alvarez-Uribe, K. C., Patiño-Rodríguez, C. E. &amp; Villegas, J. G. 2016. Analysis of transportation networks subject to natural hazards – Insights from a Colombian case. </w:t>
      </w:r>
      <w:r w:rsidRPr="008B4D96">
        <w:rPr>
          <w:rFonts w:ascii="Arial" w:hAnsi="Arial" w:cs="Arial"/>
          <w:i/>
          <w:sz w:val="22"/>
        </w:rPr>
        <w:t>Reliability Engineering and System Safety,</w:t>
      </w:r>
      <w:r w:rsidRPr="008B4D96">
        <w:rPr>
          <w:rFonts w:ascii="Arial" w:hAnsi="Arial" w:cs="Arial"/>
          <w:sz w:val="22"/>
        </w:rPr>
        <w:t xml:space="preserve"> 152</w:t>
      </w:r>
      <w:r w:rsidRPr="008B4D96">
        <w:rPr>
          <w:rFonts w:ascii="Arial" w:hAnsi="Arial" w:cs="Arial"/>
          <w:b/>
          <w:sz w:val="22"/>
        </w:rPr>
        <w:t>,</w:t>
      </w:r>
      <w:r w:rsidRPr="008B4D96">
        <w:rPr>
          <w:rFonts w:ascii="Arial" w:hAnsi="Arial" w:cs="Arial"/>
          <w:sz w:val="22"/>
        </w:rPr>
        <w:t xml:space="preserve"> 151-165.</w:t>
      </w:r>
    </w:p>
    <w:p w14:paraId="72FFDB28"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Murray-Tuite, P. M. 2006. A Comparison Of Transportation Network Resilience Under Simulated System Optimum And User Equilibrium Conditions. </w:t>
      </w:r>
      <w:r w:rsidRPr="008B4D96">
        <w:rPr>
          <w:rFonts w:ascii="Arial" w:hAnsi="Arial" w:cs="Arial"/>
          <w:i/>
          <w:sz w:val="22"/>
        </w:rPr>
        <w:t>Proceedings of the 2006 Winter Simulation Conference</w:t>
      </w:r>
      <w:r w:rsidRPr="008B4D96">
        <w:rPr>
          <w:rFonts w:ascii="Arial" w:hAnsi="Arial" w:cs="Arial"/>
          <w:sz w:val="22"/>
        </w:rPr>
        <w:t>.</w:t>
      </w:r>
    </w:p>
    <w:p w14:paraId="5C878843"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Murray-Tuite, P. M. &amp; Mahmassani, H. S. 2004. Methodology for Determining Vulnerable Links in a Transportation Network. </w:t>
      </w:r>
      <w:r w:rsidRPr="008B4D96">
        <w:rPr>
          <w:rFonts w:ascii="Arial" w:hAnsi="Arial" w:cs="Arial"/>
          <w:i/>
          <w:sz w:val="22"/>
        </w:rPr>
        <w:t>Transportation Research Record,</w:t>
      </w:r>
      <w:r w:rsidRPr="008B4D96">
        <w:rPr>
          <w:rFonts w:ascii="Arial" w:hAnsi="Arial" w:cs="Arial"/>
          <w:sz w:val="22"/>
        </w:rPr>
        <w:t xml:space="preserve"> 1882</w:t>
      </w:r>
      <w:r w:rsidRPr="008B4D96">
        <w:rPr>
          <w:rFonts w:ascii="Arial" w:hAnsi="Arial" w:cs="Arial"/>
          <w:b/>
          <w:sz w:val="22"/>
        </w:rPr>
        <w:t>,</w:t>
      </w:r>
      <w:r w:rsidRPr="008B4D96">
        <w:rPr>
          <w:rFonts w:ascii="Arial" w:hAnsi="Arial" w:cs="Arial"/>
          <w:sz w:val="22"/>
        </w:rPr>
        <w:t xml:space="preserve"> 88-96.</w:t>
      </w:r>
    </w:p>
    <w:p w14:paraId="5683608F"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Omer, M., Mostashari, A. &amp; Nilchiani, R. 2013. Assessing resilience in a regional road-based transportation network. </w:t>
      </w:r>
      <w:r w:rsidRPr="008B4D96">
        <w:rPr>
          <w:rFonts w:ascii="Arial" w:hAnsi="Arial" w:cs="Arial"/>
          <w:i/>
          <w:sz w:val="22"/>
        </w:rPr>
        <w:t>International Journal of Industrial and Systems Engineering,</w:t>
      </w:r>
      <w:r w:rsidRPr="008B4D96">
        <w:rPr>
          <w:rFonts w:ascii="Arial" w:hAnsi="Arial" w:cs="Arial"/>
          <w:sz w:val="22"/>
        </w:rPr>
        <w:t xml:space="preserve"> 13</w:t>
      </w:r>
      <w:r w:rsidRPr="008B4D96">
        <w:rPr>
          <w:rFonts w:ascii="Arial" w:hAnsi="Arial" w:cs="Arial"/>
          <w:b/>
          <w:sz w:val="22"/>
        </w:rPr>
        <w:t>,</w:t>
      </w:r>
      <w:r w:rsidRPr="008B4D96">
        <w:rPr>
          <w:rFonts w:ascii="Arial" w:hAnsi="Arial" w:cs="Arial"/>
          <w:sz w:val="22"/>
        </w:rPr>
        <w:t xml:space="preserve"> 389-408.</w:t>
      </w:r>
    </w:p>
    <w:p w14:paraId="091C2F36"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Orchiston, C., Davies, T., Langridge, R., Wilson, T., Mitchell, J. &amp; Hughes, M. 2016. Alpine Fault Magnitude 8 Hazard Scenario.</w:t>
      </w:r>
    </w:p>
    <w:p w14:paraId="194BD541"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Pokharel, R. &amp; Ieda, H. 2016. Road Network Evaluation From A Reliability Perspective: An Accessibility And Network Closure Vulnerability Approach. </w:t>
      </w:r>
      <w:r w:rsidRPr="008B4D96">
        <w:rPr>
          <w:rFonts w:ascii="Arial" w:hAnsi="Arial" w:cs="Arial"/>
          <w:i/>
          <w:sz w:val="22"/>
        </w:rPr>
        <w:t>Asian Transport Studies,</w:t>
      </w:r>
      <w:r w:rsidRPr="008B4D96">
        <w:rPr>
          <w:rFonts w:ascii="Arial" w:hAnsi="Arial" w:cs="Arial"/>
          <w:sz w:val="22"/>
        </w:rPr>
        <w:t xml:space="preserve"> Vol. 4</w:t>
      </w:r>
      <w:r w:rsidRPr="008B4D96">
        <w:rPr>
          <w:rFonts w:ascii="Arial" w:hAnsi="Arial" w:cs="Arial"/>
          <w:b/>
          <w:sz w:val="22"/>
        </w:rPr>
        <w:t>,</w:t>
      </w:r>
      <w:r w:rsidRPr="008B4D96">
        <w:rPr>
          <w:rFonts w:ascii="Arial" w:hAnsi="Arial" w:cs="Arial"/>
          <w:sz w:val="22"/>
        </w:rPr>
        <w:t xml:space="preserve"> 37-56.</w:t>
      </w:r>
    </w:p>
    <w:p w14:paraId="0D40DFA8"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Scott, D. M., Novak, D. C., Aultman-Hall, L. &amp; Guo, F. 2006. Network Robustness Index: A new method for identifying critical links and evaluating the performance of transportation networks. </w:t>
      </w:r>
      <w:r w:rsidRPr="008B4D96">
        <w:rPr>
          <w:rFonts w:ascii="Arial" w:hAnsi="Arial" w:cs="Arial"/>
          <w:i/>
          <w:sz w:val="22"/>
        </w:rPr>
        <w:t>Journal of Transport Geography,</w:t>
      </w:r>
      <w:r w:rsidRPr="008B4D96">
        <w:rPr>
          <w:rFonts w:ascii="Arial" w:hAnsi="Arial" w:cs="Arial"/>
          <w:sz w:val="22"/>
        </w:rPr>
        <w:t xml:space="preserve"> 14</w:t>
      </w:r>
      <w:r w:rsidRPr="008B4D96">
        <w:rPr>
          <w:rFonts w:ascii="Arial" w:hAnsi="Arial" w:cs="Arial"/>
          <w:b/>
          <w:sz w:val="22"/>
        </w:rPr>
        <w:t>,</w:t>
      </w:r>
      <w:r w:rsidRPr="008B4D96">
        <w:rPr>
          <w:rFonts w:ascii="Arial" w:hAnsi="Arial" w:cs="Arial"/>
          <w:sz w:val="22"/>
        </w:rPr>
        <w:t xml:space="preserve"> 215-227.</w:t>
      </w:r>
    </w:p>
    <w:p w14:paraId="0CD0D69F"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Soltani-Sobh, A., Heaslip, K. &amp; Khoury, J. E. 2015. Estimation of road network reliability on resiliency: An uncertain based model. </w:t>
      </w:r>
      <w:r w:rsidRPr="008B4D96">
        <w:rPr>
          <w:rFonts w:ascii="Arial" w:hAnsi="Arial" w:cs="Arial"/>
          <w:i/>
          <w:sz w:val="22"/>
        </w:rPr>
        <w:t>International Journal of Disaster Risk Reduction,</w:t>
      </w:r>
      <w:r w:rsidRPr="008B4D96">
        <w:rPr>
          <w:rFonts w:ascii="Arial" w:hAnsi="Arial" w:cs="Arial"/>
          <w:sz w:val="22"/>
        </w:rPr>
        <w:t xml:space="preserve"> 14</w:t>
      </w:r>
      <w:r w:rsidRPr="008B4D96">
        <w:rPr>
          <w:rFonts w:ascii="Arial" w:hAnsi="Arial" w:cs="Arial"/>
          <w:b/>
          <w:sz w:val="22"/>
        </w:rPr>
        <w:t>,</w:t>
      </w:r>
      <w:r w:rsidRPr="008B4D96">
        <w:rPr>
          <w:rFonts w:ascii="Arial" w:hAnsi="Arial" w:cs="Arial"/>
          <w:sz w:val="22"/>
        </w:rPr>
        <w:t xml:space="preserve"> 536-544.</w:t>
      </w:r>
    </w:p>
    <w:p w14:paraId="42C65A2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StatsNZ. 2018. </w:t>
      </w:r>
      <w:r w:rsidRPr="008B4D96">
        <w:rPr>
          <w:rFonts w:ascii="Arial" w:hAnsi="Arial" w:cs="Arial"/>
          <w:i/>
          <w:sz w:val="22"/>
        </w:rPr>
        <w:t xml:space="preserve">Statistic Data </w:t>
      </w:r>
      <w:r w:rsidRPr="008B4D96">
        <w:rPr>
          <w:rFonts w:ascii="Arial" w:hAnsi="Arial" w:cs="Arial"/>
          <w:sz w:val="22"/>
        </w:rPr>
        <w:t xml:space="preserve">[Online]. Statistic NZ. Available: </w:t>
      </w:r>
      <w:hyperlink r:id="rId21" w:history="1">
        <w:r w:rsidRPr="008B4D96">
          <w:rPr>
            <w:rStyle w:val="Hyperlink"/>
            <w:rFonts w:ascii="Arial" w:hAnsi="Arial" w:cs="Arial"/>
            <w:sz w:val="22"/>
          </w:rPr>
          <w:t>https://www.stats.govt.nz/</w:t>
        </w:r>
      </w:hyperlink>
      <w:r w:rsidRPr="008B4D96">
        <w:rPr>
          <w:rFonts w:ascii="Arial" w:hAnsi="Arial" w:cs="Arial"/>
          <w:sz w:val="22"/>
        </w:rPr>
        <w:t xml:space="preserve"> [Accessed 2018].</w:t>
      </w:r>
    </w:p>
    <w:p w14:paraId="4E7D02C0"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Tamvakis, P. &amp; Xenidis, Y. 2012. Resilience in transportation systems. </w:t>
      </w:r>
      <w:r w:rsidRPr="008B4D96">
        <w:rPr>
          <w:rFonts w:ascii="Arial" w:hAnsi="Arial" w:cs="Arial"/>
          <w:i/>
          <w:sz w:val="22"/>
        </w:rPr>
        <w:t>Procedia Social and Behavioral Sciences,</w:t>
      </w:r>
      <w:r w:rsidRPr="008B4D96">
        <w:rPr>
          <w:rFonts w:ascii="Arial" w:hAnsi="Arial" w:cs="Arial"/>
          <w:sz w:val="22"/>
        </w:rPr>
        <w:t xml:space="preserve"> 48</w:t>
      </w:r>
      <w:r w:rsidRPr="008B4D96">
        <w:rPr>
          <w:rFonts w:ascii="Arial" w:hAnsi="Arial" w:cs="Arial"/>
          <w:b/>
          <w:sz w:val="22"/>
        </w:rPr>
        <w:t>,</w:t>
      </w:r>
      <w:r w:rsidRPr="008B4D96">
        <w:rPr>
          <w:rFonts w:ascii="Arial" w:hAnsi="Arial" w:cs="Arial"/>
          <w:sz w:val="22"/>
        </w:rPr>
        <w:t xml:space="preserve"> 3441-3450.</w:t>
      </w:r>
    </w:p>
    <w:p w14:paraId="2CDF5A44"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Taylor, M. A. P., Sekhar, S. V. C. &amp; D’Este, G. M. 2006. Application of Accessibility Based Methods for Vulnerability Analysis of Strategic Road Networks. </w:t>
      </w:r>
      <w:r w:rsidRPr="008B4D96">
        <w:rPr>
          <w:rFonts w:ascii="Arial" w:hAnsi="Arial" w:cs="Arial"/>
          <w:i/>
          <w:sz w:val="22"/>
        </w:rPr>
        <w:t>Netw Spat Econ,</w:t>
      </w:r>
      <w:r w:rsidRPr="008B4D96">
        <w:rPr>
          <w:rFonts w:ascii="Arial" w:hAnsi="Arial" w:cs="Arial"/>
          <w:sz w:val="22"/>
        </w:rPr>
        <w:t xml:space="preserve"> 6</w:t>
      </w:r>
      <w:r w:rsidRPr="008B4D96">
        <w:rPr>
          <w:rFonts w:ascii="Arial" w:hAnsi="Arial" w:cs="Arial"/>
          <w:b/>
          <w:sz w:val="22"/>
        </w:rPr>
        <w:t>,</w:t>
      </w:r>
      <w:r w:rsidRPr="008B4D96">
        <w:rPr>
          <w:rFonts w:ascii="Arial" w:hAnsi="Arial" w:cs="Arial"/>
          <w:sz w:val="22"/>
        </w:rPr>
        <w:t xml:space="preserve"> 267-291.</w:t>
      </w:r>
    </w:p>
    <w:p w14:paraId="0F96A65E"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TRB 2010. </w:t>
      </w:r>
      <w:r w:rsidRPr="008B4D96">
        <w:rPr>
          <w:rFonts w:ascii="Arial" w:hAnsi="Arial" w:cs="Arial"/>
          <w:i/>
          <w:sz w:val="22"/>
        </w:rPr>
        <w:t xml:space="preserve">HCM 2010: Highway Capacity Manual, </w:t>
      </w:r>
      <w:r w:rsidRPr="008B4D96">
        <w:rPr>
          <w:rFonts w:ascii="Arial" w:hAnsi="Arial" w:cs="Arial"/>
          <w:sz w:val="22"/>
        </w:rPr>
        <w:t>National Research Concil, Transportation Research Board. Washington, D. C.</w:t>
      </w:r>
    </w:p>
    <w:p w14:paraId="21791873"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Wang, J. Y. T. 2015. ‘Resilience thinking’ in transport planning. </w:t>
      </w:r>
      <w:r w:rsidRPr="008B4D96">
        <w:rPr>
          <w:rFonts w:ascii="Arial" w:hAnsi="Arial" w:cs="Arial"/>
          <w:i/>
          <w:sz w:val="22"/>
        </w:rPr>
        <w:t>Civil Engineering and Environmental Systems,</w:t>
      </w:r>
      <w:r w:rsidRPr="008B4D96">
        <w:rPr>
          <w:rFonts w:ascii="Arial" w:hAnsi="Arial" w:cs="Arial"/>
          <w:sz w:val="22"/>
        </w:rPr>
        <w:t xml:space="preserve"> 32:1-2</w:t>
      </w:r>
      <w:r w:rsidRPr="008B4D96">
        <w:rPr>
          <w:rFonts w:ascii="Arial" w:hAnsi="Arial" w:cs="Arial"/>
          <w:b/>
          <w:sz w:val="22"/>
        </w:rPr>
        <w:t>,</w:t>
      </w:r>
      <w:r w:rsidRPr="008B4D96">
        <w:rPr>
          <w:rFonts w:ascii="Arial" w:hAnsi="Arial" w:cs="Arial"/>
          <w:sz w:val="22"/>
        </w:rPr>
        <w:t xml:space="preserve"> 180-191.</w:t>
      </w:r>
    </w:p>
    <w:p w14:paraId="3DABC560"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Wu, Y., Hou, G. &amp; Chen, S. 2021. Post-earthquake resilience assessment and long-term restoration prioritization of transportation network. </w:t>
      </w:r>
      <w:r w:rsidRPr="008B4D96">
        <w:rPr>
          <w:rFonts w:ascii="Arial" w:hAnsi="Arial" w:cs="Arial"/>
          <w:i/>
          <w:sz w:val="22"/>
        </w:rPr>
        <w:t>Reliability Engineering &amp; System Safety,</w:t>
      </w:r>
      <w:r w:rsidRPr="008B4D96">
        <w:rPr>
          <w:rFonts w:ascii="Arial" w:hAnsi="Arial" w:cs="Arial"/>
          <w:sz w:val="22"/>
        </w:rPr>
        <w:t xml:space="preserve"> 211</w:t>
      </w:r>
      <w:r w:rsidRPr="008B4D96">
        <w:rPr>
          <w:rFonts w:ascii="Arial" w:hAnsi="Arial" w:cs="Arial"/>
          <w:b/>
          <w:sz w:val="22"/>
        </w:rPr>
        <w:t>,</w:t>
      </w:r>
      <w:r w:rsidRPr="008B4D96">
        <w:rPr>
          <w:rFonts w:ascii="Arial" w:hAnsi="Arial" w:cs="Arial"/>
          <w:sz w:val="22"/>
        </w:rPr>
        <w:t xml:space="preserve"> 107612.</w:t>
      </w:r>
    </w:p>
    <w:p w14:paraId="01BFC64D"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Yetton, M. D. 2000. </w:t>
      </w:r>
      <w:r w:rsidRPr="008B4D96">
        <w:rPr>
          <w:rFonts w:ascii="Arial" w:hAnsi="Arial" w:cs="Arial"/>
          <w:i/>
          <w:sz w:val="22"/>
        </w:rPr>
        <w:t>The Probability and Consequencies of the next Alpine Fault Earthquake, South Island, New Zealand.</w:t>
      </w:r>
      <w:r w:rsidRPr="008B4D96">
        <w:rPr>
          <w:rFonts w:ascii="Arial" w:hAnsi="Arial" w:cs="Arial"/>
          <w:sz w:val="22"/>
        </w:rPr>
        <w:t xml:space="preserve"> Doctor of Philosophy in Geology, University of Canterbury.</w:t>
      </w:r>
    </w:p>
    <w:p w14:paraId="352723F5"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Zhang, W. &amp; Wang, N. 2016. Resilience-based risk mitigation for road networks. </w:t>
      </w:r>
      <w:r w:rsidRPr="008B4D96">
        <w:rPr>
          <w:rFonts w:ascii="Arial" w:hAnsi="Arial" w:cs="Arial"/>
          <w:i/>
          <w:sz w:val="22"/>
        </w:rPr>
        <w:t>Structural Safety,</w:t>
      </w:r>
      <w:r w:rsidRPr="008B4D96">
        <w:rPr>
          <w:rFonts w:ascii="Arial" w:hAnsi="Arial" w:cs="Arial"/>
          <w:sz w:val="22"/>
        </w:rPr>
        <w:t xml:space="preserve"> 62</w:t>
      </w:r>
      <w:r w:rsidRPr="008B4D96">
        <w:rPr>
          <w:rFonts w:ascii="Arial" w:hAnsi="Arial" w:cs="Arial"/>
          <w:b/>
          <w:sz w:val="22"/>
        </w:rPr>
        <w:t>,</w:t>
      </w:r>
      <w:r w:rsidRPr="008B4D96">
        <w:rPr>
          <w:rFonts w:ascii="Arial" w:hAnsi="Arial" w:cs="Arial"/>
          <w:sz w:val="22"/>
        </w:rPr>
        <w:t xml:space="preserve"> 57-65.</w:t>
      </w:r>
    </w:p>
    <w:p w14:paraId="399B3963" w14:textId="77777777" w:rsidR="008B4D96" w:rsidRPr="008B4D96" w:rsidRDefault="008B4D96" w:rsidP="008B4D96">
      <w:pPr>
        <w:pStyle w:val="EndNoteBibliography"/>
        <w:spacing w:after="0" w:line="264" w:lineRule="auto"/>
        <w:ind w:left="280" w:hanging="280"/>
        <w:rPr>
          <w:rFonts w:ascii="Arial" w:hAnsi="Arial" w:cs="Arial"/>
          <w:sz w:val="22"/>
        </w:rPr>
      </w:pPr>
      <w:r w:rsidRPr="008B4D96">
        <w:rPr>
          <w:rFonts w:ascii="Arial" w:hAnsi="Arial" w:cs="Arial"/>
          <w:sz w:val="22"/>
        </w:rPr>
        <w:t xml:space="preserve">Zhang, X., Miller-Hooks, E. &amp; Denny, K. 2015. Assessing the role of network topology in transportation network resilience. </w:t>
      </w:r>
      <w:r w:rsidRPr="008B4D96">
        <w:rPr>
          <w:rFonts w:ascii="Arial" w:hAnsi="Arial" w:cs="Arial"/>
          <w:i/>
          <w:sz w:val="22"/>
        </w:rPr>
        <w:t>Journal of Transport Geography,</w:t>
      </w:r>
      <w:r w:rsidRPr="008B4D96">
        <w:rPr>
          <w:rFonts w:ascii="Arial" w:hAnsi="Arial" w:cs="Arial"/>
          <w:sz w:val="22"/>
        </w:rPr>
        <w:t xml:space="preserve"> 46</w:t>
      </w:r>
      <w:r w:rsidRPr="008B4D96">
        <w:rPr>
          <w:rFonts w:ascii="Arial" w:hAnsi="Arial" w:cs="Arial"/>
          <w:b/>
          <w:sz w:val="22"/>
        </w:rPr>
        <w:t>,</w:t>
      </w:r>
      <w:r w:rsidRPr="008B4D96">
        <w:rPr>
          <w:rFonts w:ascii="Arial" w:hAnsi="Arial" w:cs="Arial"/>
          <w:sz w:val="22"/>
        </w:rPr>
        <w:t xml:space="preserve"> 35-45.</w:t>
      </w:r>
    </w:p>
    <w:p w14:paraId="12F54B1B" w14:textId="77777777" w:rsidR="008B4D96" w:rsidRPr="008B4D96" w:rsidRDefault="008B4D96" w:rsidP="008B4D96">
      <w:pPr>
        <w:pStyle w:val="EndNoteBibliography"/>
        <w:spacing w:after="0" w:line="264" w:lineRule="auto"/>
        <w:rPr>
          <w:rFonts w:ascii="Arial" w:hAnsi="Arial" w:cs="Arial"/>
          <w:sz w:val="22"/>
        </w:rPr>
      </w:pPr>
      <w:r w:rsidRPr="008B4D96">
        <w:rPr>
          <w:rFonts w:ascii="Arial" w:hAnsi="Arial" w:cs="Arial"/>
          <w:sz w:val="22"/>
        </w:rPr>
        <w:fldChar w:fldCharType="end"/>
      </w:r>
    </w:p>
    <w:p w14:paraId="494D5759" w14:textId="77777777" w:rsidR="008B4D96" w:rsidRPr="008B4D96" w:rsidRDefault="008B4D96" w:rsidP="008B4D96">
      <w:pPr>
        <w:spacing w:before="120" w:line="264" w:lineRule="auto"/>
        <w:jc w:val="both"/>
        <w:rPr>
          <w:rFonts w:ascii="Arial" w:hAnsi="Arial" w:cs="Arial"/>
          <w:sz w:val="22"/>
          <w:szCs w:val="22"/>
        </w:rPr>
      </w:pPr>
    </w:p>
    <w:p w14:paraId="78B19A28" w14:textId="77777777" w:rsidR="0081394B" w:rsidRDefault="0081394B" w:rsidP="00467137">
      <w:pPr>
        <w:rPr>
          <w:rFonts w:ascii="Arial" w:hAnsi="Arial" w:cs="Arial"/>
          <w:i/>
          <w:sz w:val="22"/>
          <w:szCs w:val="22"/>
        </w:rPr>
      </w:pPr>
    </w:p>
    <w:sectPr w:rsidR="0081394B" w:rsidSect="00B56A0F">
      <w:headerReference w:type="default" r:id="rId22"/>
      <w:footerReference w:type="default" r:id="rId23"/>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4A59B" w14:textId="77777777" w:rsidR="00F556FA" w:rsidRDefault="00F556FA">
      <w:r>
        <w:separator/>
      </w:r>
    </w:p>
  </w:endnote>
  <w:endnote w:type="continuationSeparator" w:id="0">
    <w:p w14:paraId="33E4A78C" w14:textId="77777777" w:rsidR="00F556FA" w:rsidRDefault="00F5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MB X 12">
    <w:altName w:val="Calibri"/>
    <w:panose1 w:val="00000000000000000000"/>
    <w:charset w:val="00"/>
    <w:family w:val="swiss"/>
    <w:notTrueType/>
    <w:pitch w:val="default"/>
    <w:sig w:usb0="00000003" w:usb1="00000000" w:usb2="00000000" w:usb3="00000000" w:csb0="00000001" w:csb1="00000000"/>
  </w:font>
  <w:font w:name="CMS Y 10">
    <w:altName w:val="Malgun Gothic Semilight"/>
    <w:panose1 w:val="00000000000000000000"/>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E19D" w14:textId="77777777" w:rsidR="00563F29" w:rsidRDefault="00563F29" w:rsidP="00563F29">
    <w:pPr>
      <w:pStyle w:val="BodyText3"/>
      <w:pBdr>
        <w:top w:val="single" w:sz="4" w:space="1" w:color="auto"/>
      </w:pBdr>
      <w:ind w:right="-1"/>
      <w:rPr>
        <w:i/>
        <w:sz w:val="18"/>
        <w:szCs w:val="18"/>
      </w:rPr>
    </w:pPr>
  </w:p>
  <w:p w14:paraId="210524EB" w14:textId="7A5818FE" w:rsidR="00467137" w:rsidRPr="00563F29" w:rsidRDefault="00256568" w:rsidP="00FC16A0">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46C9036C" wp14:editId="1E59E94E">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FC16A0" w:rsidRPr="00D34B11">
      <w:rPr>
        <w:i/>
        <w:sz w:val="18"/>
        <w:szCs w:val="18"/>
      </w:rPr>
      <w:t xml:space="preserve">Transportation </w:t>
    </w:r>
    <w:r w:rsidR="00FC16A0">
      <w:rPr>
        <w:i/>
        <w:sz w:val="18"/>
        <w:szCs w:val="18"/>
      </w:rPr>
      <w:t>202</w:t>
    </w:r>
    <w:r>
      <w:rPr>
        <w:i/>
        <w:sz w:val="18"/>
        <w:szCs w:val="18"/>
      </w:rPr>
      <w:t>4</w:t>
    </w:r>
    <w:r w:rsidR="00FC16A0">
      <w:rPr>
        <w:i/>
        <w:sz w:val="18"/>
        <w:szCs w:val="18"/>
      </w:rPr>
      <w:t xml:space="preserve"> Conference, </w:t>
    </w:r>
    <w:r>
      <w:rPr>
        <w:i/>
        <w:sz w:val="18"/>
        <w:szCs w:val="18"/>
      </w:rPr>
      <w:t>9</w:t>
    </w:r>
    <w:r w:rsidR="00FC16A0">
      <w:rPr>
        <w:i/>
        <w:sz w:val="18"/>
        <w:szCs w:val="18"/>
      </w:rPr>
      <w:t xml:space="preserve"> – </w:t>
    </w:r>
    <w:r>
      <w:rPr>
        <w:i/>
        <w:sz w:val="18"/>
        <w:szCs w:val="18"/>
      </w:rPr>
      <w:t>12</w:t>
    </w:r>
    <w:r w:rsidR="00FC16A0">
      <w:rPr>
        <w:i/>
        <w:sz w:val="18"/>
        <w:szCs w:val="18"/>
      </w:rPr>
      <w:t xml:space="preserve"> </w:t>
    </w:r>
    <w:r>
      <w:rPr>
        <w:i/>
        <w:sz w:val="18"/>
        <w:szCs w:val="18"/>
      </w:rPr>
      <w:t>June, 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7CC6" w14:textId="77777777" w:rsidR="00F556FA" w:rsidRDefault="00F556FA">
      <w:r>
        <w:separator/>
      </w:r>
    </w:p>
  </w:footnote>
  <w:footnote w:type="continuationSeparator" w:id="0">
    <w:p w14:paraId="6E1D7A3D" w14:textId="77777777" w:rsidR="00F556FA" w:rsidRDefault="00F556FA">
      <w:r>
        <w:continuationSeparator/>
      </w:r>
    </w:p>
  </w:footnote>
  <w:footnote w:id="1">
    <w:p w14:paraId="5907B7C7" w14:textId="39DB0972" w:rsidR="002E7BA6" w:rsidRDefault="002E7BA6">
      <w:pPr>
        <w:pStyle w:val="FootnoteText"/>
      </w:pPr>
      <w:r>
        <w:rPr>
          <w:rStyle w:val="FootnoteReference"/>
        </w:rPr>
        <w:footnoteRef/>
      </w:r>
      <w:r>
        <w:t xml:space="preserve"> presenter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75CC" w14:textId="7346F754" w:rsidR="00467137" w:rsidRPr="00BB7E88" w:rsidRDefault="001C05D7" w:rsidP="001C05D7">
    <w:pPr>
      <w:outlineLvl w:val="0"/>
      <w:rPr>
        <w:rFonts w:ascii="Arial" w:hAnsi="Arial" w:cs="Arial"/>
        <w:i/>
        <w:sz w:val="18"/>
        <w:szCs w:val="18"/>
      </w:rPr>
    </w:pPr>
    <w:r w:rsidRPr="001C05D7">
      <w:rPr>
        <w:rStyle w:val="PageNumber"/>
        <w:rFonts w:ascii="Arial" w:hAnsi="Arial" w:cs="Arial"/>
        <w:i/>
        <w:sz w:val="18"/>
        <w:szCs w:val="18"/>
      </w:rPr>
      <w:t>Operational Resilience of The Road Network</w:t>
    </w:r>
    <w:r>
      <w:rPr>
        <w:rStyle w:val="PageNumber"/>
        <w:rFonts w:ascii="Arial" w:hAnsi="Arial" w:cs="Arial"/>
        <w:i/>
        <w:sz w:val="18"/>
        <w:szCs w:val="18"/>
      </w:rPr>
      <w:t xml:space="preserve"> </w:t>
    </w:r>
    <w:r w:rsidR="00467137">
      <w:rPr>
        <w:rStyle w:val="PageNumber"/>
        <w:rFonts w:ascii="Arial" w:hAnsi="Arial" w:cs="Arial"/>
        <w:i/>
        <w:sz w:val="18"/>
        <w:szCs w:val="18"/>
      </w:rPr>
      <w:tab/>
    </w:r>
    <w:r>
      <w:rPr>
        <w:rStyle w:val="PageNumber"/>
        <w:rFonts w:ascii="Arial" w:hAnsi="Arial" w:cs="Arial"/>
        <w:i/>
        <w:sz w:val="18"/>
        <w:szCs w:val="18"/>
      </w:rPr>
      <w:t xml:space="preserve">Aghababaei. S. et. al. </w:t>
    </w:r>
    <w:r w:rsidR="00467137">
      <w:rPr>
        <w:rStyle w:val="PageNumber"/>
        <w:rFonts w:ascii="Arial" w:hAnsi="Arial" w:cs="Arial"/>
        <w:i/>
        <w:sz w:val="18"/>
        <w:szCs w:val="18"/>
      </w:rPr>
      <w:t xml:space="preserve">          </w:t>
    </w:r>
    <w:r>
      <w:rPr>
        <w:rStyle w:val="PageNumber"/>
        <w:rFonts w:ascii="Arial" w:hAnsi="Arial" w:cs="Arial"/>
        <w:i/>
        <w:sz w:val="18"/>
        <w:szCs w:val="18"/>
      </w:rPr>
      <w:tab/>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24EDE156"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561A3"/>
    <w:multiLevelType w:val="multilevel"/>
    <w:tmpl w:val="D8C6BDFC"/>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1F827021"/>
    <w:multiLevelType w:val="multilevel"/>
    <w:tmpl w:val="D8C6BDF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4B35387"/>
    <w:multiLevelType w:val="hybridMultilevel"/>
    <w:tmpl w:val="76FE755A"/>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3" w15:restartNumberingAfterBreak="0">
    <w:nsid w:val="44B81B76"/>
    <w:multiLevelType w:val="hybridMultilevel"/>
    <w:tmpl w:val="8526A716"/>
    <w:lvl w:ilvl="0" w:tplc="3E5E12BE">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5C044C55"/>
    <w:multiLevelType w:val="multilevel"/>
    <w:tmpl w:val="D8C6BDF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EF47B3C"/>
    <w:multiLevelType w:val="hybridMultilevel"/>
    <w:tmpl w:val="18D04540"/>
    <w:lvl w:ilvl="0" w:tplc="14090001">
      <w:start w:val="1"/>
      <w:numFmt w:val="bullet"/>
      <w:lvlText w:val=""/>
      <w:lvlJc w:val="left"/>
      <w:pPr>
        <w:ind w:left="774" w:hanging="360"/>
      </w:pPr>
      <w:rPr>
        <w:rFonts w:ascii="Symbol" w:hAnsi="Symbol" w:hint="default"/>
      </w:rPr>
    </w:lvl>
    <w:lvl w:ilvl="1" w:tplc="14090003" w:tentative="1">
      <w:start w:val="1"/>
      <w:numFmt w:val="bullet"/>
      <w:lvlText w:val="o"/>
      <w:lvlJc w:val="left"/>
      <w:pPr>
        <w:ind w:left="1494" w:hanging="360"/>
      </w:pPr>
      <w:rPr>
        <w:rFonts w:ascii="Courier New" w:hAnsi="Courier New" w:cs="Courier New" w:hint="default"/>
      </w:rPr>
    </w:lvl>
    <w:lvl w:ilvl="2" w:tplc="14090005" w:tentative="1">
      <w:start w:val="1"/>
      <w:numFmt w:val="bullet"/>
      <w:lvlText w:val=""/>
      <w:lvlJc w:val="left"/>
      <w:pPr>
        <w:ind w:left="2214" w:hanging="360"/>
      </w:pPr>
      <w:rPr>
        <w:rFonts w:ascii="Wingdings" w:hAnsi="Wingdings" w:hint="default"/>
      </w:rPr>
    </w:lvl>
    <w:lvl w:ilvl="3" w:tplc="14090001" w:tentative="1">
      <w:start w:val="1"/>
      <w:numFmt w:val="bullet"/>
      <w:lvlText w:val=""/>
      <w:lvlJc w:val="left"/>
      <w:pPr>
        <w:ind w:left="2934" w:hanging="360"/>
      </w:pPr>
      <w:rPr>
        <w:rFonts w:ascii="Symbol" w:hAnsi="Symbol" w:hint="default"/>
      </w:rPr>
    </w:lvl>
    <w:lvl w:ilvl="4" w:tplc="14090003" w:tentative="1">
      <w:start w:val="1"/>
      <w:numFmt w:val="bullet"/>
      <w:lvlText w:val="o"/>
      <w:lvlJc w:val="left"/>
      <w:pPr>
        <w:ind w:left="3654" w:hanging="360"/>
      </w:pPr>
      <w:rPr>
        <w:rFonts w:ascii="Courier New" w:hAnsi="Courier New" w:cs="Courier New" w:hint="default"/>
      </w:rPr>
    </w:lvl>
    <w:lvl w:ilvl="5" w:tplc="14090005" w:tentative="1">
      <w:start w:val="1"/>
      <w:numFmt w:val="bullet"/>
      <w:lvlText w:val=""/>
      <w:lvlJc w:val="left"/>
      <w:pPr>
        <w:ind w:left="4374" w:hanging="360"/>
      </w:pPr>
      <w:rPr>
        <w:rFonts w:ascii="Wingdings" w:hAnsi="Wingdings" w:hint="default"/>
      </w:rPr>
    </w:lvl>
    <w:lvl w:ilvl="6" w:tplc="14090001" w:tentative="1">
      <w:start w:val="1"/>
      <w:numFmt w:val="bullet"/>
      <w:lvlText w:val=""/>
      <w:lvlJc w:val="left"/>
      <w:pPr>
        <w:ind w:left="5094" w:hanging="360"/>
      </w:pPr>
      <w:rPr>
        <w:rFonts w:ascii="Symbol" w:hAnsi="Symbol" w:hint="default"/>
      </w:rPr>
    </w:lvl>
    <w:lvl w:ilvl="7" w:tplc="14090003" w:tentative="1">
      <w:start w:val="1"/>
      <w:numFmt w:val="bullet"/>
      <w:lvlText w:val="o"/>
      <w:lvlJc w:val="left"/>
      <w:pPr>
        <w:ind w:left="5814" w:hanging="360"/>
      </w:pPr>
      <w:rPr>
        <w:rFonts w:ascii="Courier New" w:hAnsi="Courier New" w:cs="Courier New" w:hint="default"/>
      </w:rPr>
    </w:lvl>
    <w:lvl w:ilvl="8" w:tplc="14090005" w:tentative="1">
      <w:start w:val="1"/>
      <w:numFmt w:val="bullet"/>
      <w:lvlText w:val=""/>
      <w:lvlJc w:val="left"/>
      <w:pPr>
        <w:ind w:left="6534" w:hanging="360"/>
      </w:pPr>
      <w:rPr>
        <w:rFonts w:ascii="Wingdings" w:hAnsi="Wingdings" w:hint="default"/>
      </w:rPr>
    </w:lvl>
  </w:abstractNum>
  <w:abstractNum w:abstractNumId="7" w15:restartNumberingAfterBreak="0">
    <w:nsid w:val="67F56488"/>
    <w:multiLevelType w:val="hybridMultilevel"/>
    <w:tmpl w:val="603EB004"/>
    <w:lvl w:ilvl="0" w:tplc="14090001">
      <w:start w:val="1"/>
      <w:numFmt w:val="bullet"/>
      <w:lvlText w:val=""/>
      <w:lvlJc w:val="left"/>
      <w:pPr>
        <w:ind w:left="870" w:hanging="360"/>
      </w:pPr>
      <w:rPr>
        <w:rFonts w:ascii="Symbol" w:hAnsi="Symbol" w:hint="default"/>
      </w:rPr>
    </w:lvl>
    <w:lvl w:ilvl="1" w:tplc="14090003" w:tentative="1">
      <w:start w:val="1"/>
      <w:numFmt w:val="bullet"/>
      <w:lvlText w:val="o"/>
      <w:lvlJc w:val="left"/>
      <w:pPr>
        <w:ind w:left="1590" w:hanging="360"/>
      </w:pPr>
      <w:rPr>
        <w:rFonts w:ascii="Courier New" w:hAnsi="Courier New" w:cs="Courier New" w:hint="default"/>
      </w:rPr>
    </w:lvl>
    <w:lvl w:ilvl="2" w:tplc="14090005" w:tentative="1">
      <w:start w:val="1"/>
      <w:numFmt w:val="bullet"/>
      <w:lvlText w:val=""/>
      <w:lvlJc w:val="left"/>
      <w:pPr>
        <w:ind w:left="2310" w:hanging="360"/>
      </w:pPr>
      <w:rPr>
        <w:rFonts w:ascii="Wingdings" w:hAnsi="Wingdings" w:hint="default"/>
      </w:rPr>
    </w:lvl>
    <w:lvl w:ilvl="3" w:tplc="14090001" w:tentative="1">
      <w:start w:val="1"/>
      <w:numFmt w:val="bullet"/>
      <w:lvlText w:val=""/>
      <w:lvlJc w:val="left"/>
      <w:pPr>
        <w:ind w:left="3030" w:hanging="360"/>
      </w:pPr>
      <w:rPr>
        <w:rFonts w:ascii="Symbol" w:hAnsi="Symbol" w:hint="default"/>
      </w:rPr>
    </w:lvl>
    <w:lvl w:ilvl="4" w:tplc="14090003" w:tentative="1">
      <w:start w:val="1"/>
      <w:numFmt w:val="bullet"/>
      <w:lvlText w:val="o"/>
      <w:lvlJc w:val="left"/>
      <w:pPr>
        <w:ind w:left="3750" w:hanging="360"/>
      </w:pPr>
      <w:rPr>
        <w:rFonts w:ascii="Courier New" w:hAnsi="Courier New" w:cs="Courier New" w:hint="default"/>
      </w:rPr>
    </w:lvl>
    <w:lvl w:ilvl="5" w:tplc="14090005" w:tentative="1">
      <w:start w:val="1"/>
      <w:numFmt w:val="bullet"/>
      <w:lvlText w:val=""/>
      <w:lvlJc w:val="left"/>
      <w:pPr>
        <w:ind w:left="4470" w:hanging="360"/>
      </w:pPr>
      <w:rPr>
        <w:rFonts w:ascii="Wingdings" w:hAnsi="Wingdings" w:hint="default"/>
      </w:rPr>
    </w:lvl>
    <w:lvl w:ilvl="6" w:tplc="14090001" w:tentative="1">
      <w:start w:val="1"/>
      <w:numFmt w:val="bullet"/>
      <w:lvlText w:val=""/>
      <w:lvlJc w:val="left"/>
      <w:pPr>
        <w:ind w:left="5190" w:hanging="360"/>
      </w:pPr>
      <w:rPr>
        <w:rFonts w:ascii="Symbol" w:hAnsi="Symbol" w:hint="default"/>
      </w:rPr>
    </w:lvl>
    <w:lvl w:ilvl="7" w:tplc="14090003" w:tentative="1">
      <w:start w:val="1"/>
      <w:numFmt w:val="bullet"/>
      <w:lvlText w:val="o"/>
      <w:lvlJc w:val="left"/>
      <w:pPr>
        <w:ind w:left="5910" w:hanging="360"/>
      </w:pPr>
      <w:rPr>
        <w:rFonts w:ascii="Courier New" w:hAnsi="Courier New" w:cs="Courier New" w:hint="default"/>
      </w:rPr>
    </w:lvl>
    <w:lvl w:ilvl="8" w:tplc="14090005" w:tentative="1">
      <w:start w:val="1"/>
      <w:numFmt w:val="bullet"/>
      <w:lvlText w:val=""/>
      <w:lvlJc w:val="left"/>
      <w:pPr>
        <w:ind w:left="6630" w:hanging="360"/>
      </w:pPr>
      <w:rPr>
        <w:rFonts w:ascii="Wingdings" w:hAnsi="Wingdings" w:hint="default"/>
      </w:rPr>
    </w:lvl>
  </w:abstractNum>
  <w:abstractNum w:abstractNumId="8" w15:restartNumberingAfterBreak="0">
    <w:nsid w:val="777C25EC"/>
    <w:multiLevelType w:val="hybridMultilevel"/>
    <w:tmpl w:val="FEF819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4677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6416023">
    <w:abstractNumId w:val="1"/>
  </w:num>
  <w:num w:numId="3" w16cid:durableId="1933081055">
    <w:abstractNumId w:val="3"/>
  </w:num>
  <w:num w:numId="4" w16cid:durableId="1791902044">
    <w:abstractNumId w:val="5"/>
  </w:num>
  <w:num w:numId="5" w16cid:durableId="300309166">
    <w:abstractNumId w:val="8"/>
  </w:num>
  <w:num w:numId="6" w16cid:durableId="1009062320">
    <w:abstractNumId w:val="2"/>
  </w:num>
  <w:num w:numId="7" w16cid:durableId="1690181250">
    <w:abstractNumId w:val="0"/>
  </w:num>
  <w:num w:numId="8" w16cid:durableId="190261883">
    <w:abstractNumId w:val="7"/>
  </w:num>
  <w:num w:numId="9" w16cid:durableId="1142387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3195"/>
    <w:rsid w:val="00043F98"/>
    <w:rsid w:val="00054B1E"/>
    <w:rsid w:val="00072D80"/>
    <w:rsid w:val="00085C5F"/>
    <w:rsid w:val="000A60CB"/>
    <w:rsid w:val="000E5C83"/>
    <w:rsid w:val="001024B0"/>
    <w:rsid w:val="00102CE0"/>
    <w:rsid w:val="00134C6E"/>
    <w:rsid w:val="001847E9"/>
    <w:rsid w:val="001955EB"/>
    <w:rsid w:val="00197422"/>
    <w:rsid w:val="001C05D7"/>
    <w:rsid w:val="001C2BE3"/>
    <w:rsid w:val="001E3C48"/>
    <w:rsid w:val="001E6A82"/>
    <w:rsid w:val="001F4884"/>
    <w:rsid w:val="002057A2"/>
    <w:rsid w:val="00217D5F"/>
    <w:rsid w:val="00251885"/>
    <w:rsid w:val="00251D2E"/>
    <w:rsid w:val="00256568"/>
    <w:rsid w:val="002670DB"/>
    <w:rsid w:val="00271505"/>
    <w:rsid w:val="002E3D4B"/>
    <w:rsid w:val="002E523F"/>
    <w:rsid w:val="002E7BA6"/>
    <w:rsid w:val="00331756"/>
    <w:rsid w:val="00352508"/>
    <w:rsid w:val="00382EA2"/>
    <w:rsid w:val="00393B8E"/>
    <w:rsid w:val="003B7A8E"/>
    <w:rsid w:val="00403697"/>
    <w:rsid w:val="00405E3D"/>
    <w:rsid w:val="00443505"/>
    <w:rsid w:val="00455D44"/>
    <w:rsid w:val="00455D4F"/>
    <w:rsid w:val="00467137"/>
    <w:rsid w:val="0047239D"/>
    <w:rsid w:val="00472C6F"/>
    <w:rsid w:val="004B0D3E"/>
    <w:rsid w:val="004F1202"/>
    <w:rsid w:val="004F5498"/>
    <w:rsid w:val="004F77C0"/>
    <w:rsid w:val="0050300C"/>
    <w:rsid w:val="00513DAC"/>
    <w:rsid w:val="00563F29"/>
    <w:rsid w:val="00595A0F"/>
    <w:rsid w:val="005B4422"/>
    <w:rsid w:val="005F4FCF"/>
    <w:rsid w:val="005F745D"/>
    <w:rsid w:val="00605AB5"/>
    <w:rsid w:val="006216A8"/>
    <w:rsid w:val="00653119"/>
    <w:rsid w:val="00682046"/>
    <w:rsid w:val="0069683F"/>
    <w:rsid w:val="006E43D1"/>
    <w:rsid w:val="006E4C68"/>
    <w:rsid w:val="00704538"/>
    <w:rsid w:val="00725912"/>
    <w:rsid w:val="007421F2"/>
    <w:rsid w:val="00753A65"/>
    <w:rsid w:val="00762940"/>
    <w:rsid w:val="0076555B"/>
    <w:rsid w:val="007D6A41"/>
    <w:rsid w:val="008119A9"/>
    <w:rsid w:val="0081394B"/>
    <w:rsid w:val="008249BB"/>
    <w:rsid w:val="00832321"/>
    <w:rsid w:val="0085419A"/>
    <w:rsid w:val="008918FD"/>
    <w:rsid w:val="00896065"/>
    <w:rsid w:val="008A169A"/>
    <w:rsid w:val="008B4D96"/>
    <w:rsid w:val="008C107E"/>
    <w:rsid w:val="008E04EC"/>
    <w:rsid w:val="008E57F8"/>
    <w:rsid w:val="008F19F2"/>
    <w:rsid w:val="008F28DD"/>
    <w:rsid w:val="0091071A"/>
    <w:rsid w:val="00964287"/>
    <w:rsid w:val="009777B4"/>
    <w:rsid w:val="009B34D8"/>
    <w:rsid w:val="009B69CA"/>
    <w:rsid w:val="009C501E"/>
    <w:rsid w:val="009C6776"/>
    <w:rsid w:val="009F7CD0"/>
    <w:rsid w:val="00A27C03"/>
    <w:rsid w:val="00A304F1"/>
    <w:rsid w:val="00A45169"/>
    <w:rsid w:val="00A46E3B"/>
    <w:rsid w:val="00A47196"/>
    <w:rsid w:val="00A62F4F"/>
    <w:rsid w:val="00A75552"/>
    <w:rsid w:val="00AB0377"/>
    <w:rsid w:val="00AB1253"/>
    <w:rsid w:val="00AB181B"/>
    <w:rsid w:val="00AC0FED"/>
    <w:rsid w:val="00AD15E4"/>
    <w:rsid w:val="00AD3E2D"/>
    <w:rsid w:val="00AE0009"/>
    <w:rsid w:val="00AE315B"/>
    <w:rsid w:val="00B47541"/>
    <w:rsid w:val="00B56A0F"/>
    <w:rsid w:val="00B75CA2"/>
    <w:rsid w:val="00B83F35"/>
    <w:rsid w:val="00BA17F8"/>
    <w:rsid w:val="00BB7E88"/>
    <w:rsid w:val="00BD2FF1"/>
    <w:rsid w:val="00BF1F15"/>
    <w:rsid w:val="00C052B6"/>
    <w:rsid w:val="00C07EB6"/>
    <w:rsid w:val="00C24A4E"/>
    <w:rsid w:val="00C420A7"/>
    <w:rsid w:val="00C9570A"/>
    <w:rsid w:val="00CB5456"/>
    <w:rsid w:val="00CD2CD5"/>
    <w:rsid w:val="00CD3A35"/>
    <w:rsid w:val="00CE7D1D"/>
    <w:rsid w:val="00CF6962"/>
    <w:rsid w:val="00D2666B"/>
    <w:rsid w:val="00D272F0"/>
    <w:rsid w:val="00D65862"/>
    <w:rsid w:val="00D6711E"/>
    <w:rsid w:val="00D75901"/>
    <w:rsid w:val="00D81211"/>
    <w:rsid w:val="00D83529"/>
    <w:rsid w:val="00DC6934"/>
    <w:rsid w:val="00DE1393"/>
    <w:rsid w:val="00DF749E"/>
    <w:rsid w:val="00E317B2"/>
    <w:rsid w:val="00E34AEB"/>
    <w:rsid w:val="00E360C7"/>
    <w:rsid w:val="00E4373E"/>
    <w:rsid w:val="00E456EE"/>
    <w:rsid w:val="00E56F5C"/>
    <w:rsid w:val="00E605C2"/>
    <w:rsid w:val="00E61A85"/>
    <w:rsid w:val="00E80B42"/>
    <w:rsid w:val="00E82C3B"/>
    <w:rsid w:val="00E9567A"/>
    <w:rsid w:val="00EB5B9A"/>
    <w:rsid w:val="00EF19A0"/>
    <w:rsid w:val="00EF66EC"/>
    <w:rsid w:val="00F20053"/>
    <w:rsid w:val="00F4091B"/>
    <w:rsid w:val="00F45573"/>
    <w:rsid w:val="00F54A51"/>
    <w:rsid w:val="00F556FA"/>
    <w:rsid w:val="00F57FFE"/>
    <w:rsid w:val="00F62E24"/>
    <w:rsid w:val="00F63B95"/>
    <w:rsid w:val="00F93651"/>
    <w:rsid w:val="00FC16A0"/>
    <w:rsid w:val="00FD10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D5AE95"/>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line number"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1"/>
    <w:qFormat/>
    <w:rsid w:val="008B4D96"/>
    <w:pPr>
      <w:keepNext/>
      <w:keepLines/>
      <w:widowControl/>
      <w:autoSpaceDE/>
      <w:autoSpaceDN/>
      <w:adjustRightInd/>
      <w:spacing w:before="240" w:line="276" w:lineRule="auto"/>
      <w:outlineLvl w:val="0"/>
    </w:pPr>
    <w:rPr>
      <w:rFonts w:asciiTheme="majorHAnsi" w:eastAsiaTheme="majorEastAsia" w:hAnsiTheme="majorHAnsi" w:cstheme="majorBidi"/>
      <w:color w:val="2F5496" w:themeColor="accent1" w:themeShade="BF"/>
      <w:sz w:val="32"/>
      <w:szCs w:val="32"/>
      <w:lang w:eastAsia="zh-TW"/>
    </w:rPr>
  </w:style>
  <w:style w:type="paragraph" w:styleId="Heading2">
    <w:name w:val="heading 2"/>
    <w:basedOn w:val="Normal"/>
    <w:next w:val="Normal"/>
    <w:link w:val="Heading2Char"/>
    <w:uiPriority w:val="1"/>
    <w:unhideWhenUsed/>
    <w:qFormat/>
    <w:rsid w:val="008B4D96"/>
    <w:pPr>
      <w:keepNext/>
      <w:keepLines/>
      <w:widowControl/>
      <w:autoSpaceDE/>
      <w:autoSpaceDN/>
      <w:adjustRightInd/>
      <w:spacing w:before="40" w:line="276" w:lineRule="auto"/>
      <w:outlineLvl w:val="1"/>
    </w:pPr>
    <w:rPr>
      <w:rFonts w:asciiTheme="majorHAnsi" w:eastAsiaTheme="majorEastAsia" w:hAnsiTheme="majorHAnsi" w:cstheme="majorBidi"/>
      <w:color w:val="2F5496" w:themeColor="accent1" w:themeShade="BF"/>
      <w:sz w:val="26"/>
      <w:szCs w:val="26"/>
      <w:lang w:eastAsia="zh-TW"/>
    </w:rPr>
  </w:style>
  <w:style w:type="paragraph" w:styleId="Heading3">
    <w:name w:val="heading 3"/>
    <w:basedOn w:val="Normal"/>
    <w:next w:val="Normal"/>
    <w:link w:val="Heading3Char"/>
    <w:uiPriority w:val="1"/>
    <w:unhideWhenUsed/>
    <w:qFormat/>
    <w:rsid w:val="008B4D96"/>
    <w:pPr>
      <w:keepNext/>
      <w:keepLines/>
      <w:widowControl/>
      <w:autoSpaceDE/>
      <w:autoSpaceDN/>
      <w:adjustRightInd/>
      <w:spacing w:before="40" w:line="276" w:lineRule="auto"/>
      <w:outlineLvl w:val="2"/>
    </w:pPr>
    <w:rPr>
      <w:rFonts w:asciiTheme="majorHAnsi" w:eastAsiaTheme="majorEastAsia" w:hAnsiTheme="majorHAnsi" w:cstheme="majorBidi"/>
      <w:color w:val="1F3763" w:themeColor="accent1" w:themeShade="7F"/>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085C5F"/>
    <w:rPr>
      <w:sz w:val="16"/>
      <w:szCs w:val="16"/>
    </w:rPr>
  </w:style>
  <w:style w:type="paragraph" w:styleId="CommentText">
    <w:name w:val="annotation text"/>
    <w:basedOn w:val="Normal"/>
    <w:link w:val="CommentTextChar"/>
    <w:uiPriority w:val="99"/>
    <w:rsid w:val="00085C5F"/>
    <w:rPr>
      <w:sz w:val="20"/>
      <w:szCs w:val="20"/>
    </w:rPr>
  </w:style>
  <w:style w:type="character" w:customStyle="1" w:styleId="CommentTextChar">
    <w:name w:val="Comment Text Char"/>
    <w:link w:val="CommentText"/>
    <w:uiPriority w:val="99"/>
    <w:rsid w:val="00085C5F"/>
    <w:rPr>
      <w:lang w:eastAsia="en-US"/>
    </w:rPr>
  </w:style>
  <w:style w:type="paragraph" w:styleId="CommentSubject">
    <w:name w:val="annotation subject"/>
    <w:basedOn w:val="CommentText"/>
    <w:next w:val="CommentText"/>
    <w:link w:val="CommentSubjectChar"/>
    <w:uiPriority w:val="99"/>
    <w:rsid w:val="00085C5F"/>
    <w:rPr>
      <w:b/>
      <w:bCs/>
    </w:rPr>
  </w:style>
  <w:style w:type="character" w:customStyle="1" w:styleId="CommentSubjectChar">
    <w:name w:val="Comment Subject Char"/>
    <w:link w:val="CommentSubject"/>
    <w:uiPriority w:val="99"/>
    <w:rsid w:val="00085C5F"/>
    <w:rPr>
      <w:b/>
      <w:bCs/>
      <w:lang w:eastAsia="en-US"/>
    </w:rPr>
  </w:style>
  <w:style w:type="character" w:styleId="UnresolvedMention">
    <w:name w:val="Unresolved Mention"/>
    <w:basedOn w:val="DefaultParagraphFont"/>
    <w:uiPriority w:val="99"/>
    <w:semiHidden/>
    <w:unhideWhenUsed/>
    <w:rsid w:val="00256568"/>
    <w:rPr>
      <w:color w:val="605E5C"/>
      <w:shd w:val="clear" w:color="auto" w:fill="E1DFDD"/>
    </w:rPr>
  </w:style>
  <w:style w:type="character" w:customStyle="1" w:styleId="Heading1Char">
    <w:name w:val="Heading 1 Char"/>
    <w:basedOn w:val="DefaultParagraphFont"/>
    <w:link w:val="Heading1"/>
    <w:uiPriority w:val="1"/>
    <w:rsid w:val="008B4D96"/>
    <w:rPr>
      <w:rFonts w:asciiTheme="majorHAnsi" w:eastAsiaTheme="majorEastAsia" w:hAnsiTheme="majorHAnsi" w:cstheme="majorBidi"/>
      <w:color w:val="2F5496" w:themeColor="accent1" w:themeShade="BF"/>
      <w:sz w:val="32"/>
      <w:szCs w:val="32"/>
      <w:lang w:eastAsia="zh-TW"/>
    </w:rPr>
  </w:style>
  <w:style w:type="character" w:customStyle="1" w:styleId="Heading2Char">
    <w:name w:val="Heading 2 Char"/>
    <w:basedOn w:val="DefaultParagraphFont"/>
    <w:link w:val="Heading2"/>
    <w:uiPriority w:val="1"/>
    <w:rsid w:val="008B4D96"/>
    <w:rPr>
      <w:rFonts w:asciiTheme="majorHAnsi" w:eastAsiaTheme="majorEastAsia" w:hAnsiTheme="majorHAnsi" w:cstheme="majorBidi"/>
      <w:color w:val="2F5496" w:themeColor="accent1" w:themeShade="BF"/>
      <w:sz w:val="26"/>
      <w:szCs w:val="26"/>
      <w:lang w:eastAsia="zh-TW"/>
    </w:rPr>
  </w:style>
  <w:style w:type="character" w:customStyle="1" w:styleId="Heading3Char">
    <w:name w:val="Heading 3 Char"/>
    <w:basedOn w:val="DefaultParagraphFont"/>
    <w:link w:val="Heading3"/>
    <w:uiPriority w:val="1"/>
    <w:rsid w:val="008B4D96"/>
    <w:rPr>
      <w:rFonts w:asciiTheme="majorHAnsi" w:eastAsiaTheme="majorEastAsia" w:hAnsiTheme="majorHAnsi" w:cstheme="majorBidi"/>
      <w:color w:val="1F3763" w:themeColor="accent1" w:themeShade="7F"/>
      <w:sz w:val="24"/>
      <w:szCs w:val="24"/>
      <w:lang w:eastAsia="zh-TW"/>
    </w:rPr>
  </w:style>
  <w:style w:type="paragraph" w:customStyle="1" w:styleId="Default">
    <w:name w:val="Default"/>
    <w:link w:val="DefaultChar"/>
    <w:rsid w:val="008B4D96"/>
    <w:pPr>
      <w:widowControl w:val="0"/>
      <w:autoSpaceDE w:val="0"/>
      <w:autoSpaceDN w:val="0"/>
      <w:adjustRightInd w:val="0"/>
    </w:pPr>
    <w:rPr>
      <w:rFonts w:ascii="CMB X 12" w:hAnsi="CMB X 12" w:cs="CMB X 12"/>
      <w:color w:val="000000"/>
      <w:sz w:val="24"/>
      <w:szCs w:val="24"/>
      <w:lang w:val="en-US" w:eastAsia="zh-TW"/>
    </w:rPr>
  </w:style>
  <w:style w:type="paragraph" w:customStyle="1" w:styleId="CM15">
    <w:name w:val="CM15"/>
    <w:basedOn w:val="Default"/>
    <w:next w:val="Default"/>
    <w:link w:val="CM15Char"/>
    <w:uiPriority w:val="99"/>
    <w:rsid w:val="008B4D96"/>
  </w:style>
  <w:style w:type="paragraph" w:customStyle="1" w:styleId="CM1">
    <w:name w:val="CM1"/>
    <w:basedOn w:val="Default"/>
    <w:next w:val="Default"/>
    <w:uiPriority w:val="99"/>
    <w:rsid w:val="008B4D96"/>
    <w:rPr>
      <w:rFonts w:cs="Times New Roman"/>
      <w:color w:val="auto"/>
    </w:rPr>
  </w:style>
  <w:style w:type="paragraph" w:customStyle="1" w:styleId="CM2">
    <w:name w:val="CM2"/>
    <w:basedOn w:val="Default"/>
    <w:next w:val="Default"/>
    <w:uiPriority w:val="99"/>
    <w:rsid w:val="008B4D96"/>
    <w:pPr>
      <w:spacing w:line="288" w:lineRule="atLeast"/>
    </w:pPr>
    <w:rPr>
      <w:rFonts w:cs="Times New Roman"/>
      <w:color w:val="auto"/>
    </w:rPr>
  </w:style>
  <w:style w:type="paragraph" w:customStyle="1" w:styleId="CM3">
    <w:name w:val="CM3"/>
    <w:basedOn w:val="Default"/>
    <w:next w:val="Default"/>
    <w:uiPriority w:val="99"/>
    <w:rsid w:val="008B4D96"/>
    <w:rPr>
      <w:rFonts w:cs="Times New Roman"/>
      <w:color w:val="auto"/>
    </w:rPr>
  </w:style>
  <w:style w:type="paragraph" w:customStyle="1" w:styleId="CM4">
    <w:name w:val="CM4"/>
    <w:basedOn w:val="Default"/>
    <w:next w:val="Default"/>
    <w:uiPriority w:val="99"/>
    <w:rsid w:val="008B4D96"/>
    <w:pPr>
      <w:spacing w:line="291" w:lineRule="atLeast"/>
    </w:pPr>
    <w:rPr>
      <w:rFonts w:cs="Times New Roman"/>
      <w:color w:val="auto"/>
    </w:rPr>
  </w:style>
  <w:style w:type="paragraph" w:customStyle="1" w:styleId="CM16">
    <w:name w:val="CM16"/>
    <w:basedOn w:val="Default"/>
    <w:next w:val="Default"/>
    <w:uiPriority w:val="99"/>
    <w:rsid w:val="008B4D96"/>
    <w:rPr>
      <w:rFonts w:cs="Times New Roman"/>
      <w:color w:val="auto"/>
    </w:rPr>
  </w:style>
  <w:style w:type="paragraph" w:customStyle="1" w:styleId="CM5">
    <w:name w:val="CM5"/>
    <w:basedOn w:val="Default"/>
    <w:next w:val="Default"/>
    <w:uiPriority w:val="99"/>
    <w:rsid w:val="008B4D96"/>
    <w:rPr>
      <w:rFonts w:cs="Times New Roman"/>
      <w:color w:val="auto"/>
    </w:rPr>
  </w:style>
  <w:style w:type="paragraph" w:customStyle="1" w:styleId="CM6">
    <w:name w:val="CM6"/>
    <w:basedOn w:val="Default"/>
    <w:next w:val="Default"/>
    <w:uiPriority w:val="99"/>
    <w:rsid w:val="008B4D96"/>
    <w:pPr>
      <w:spacing w:line="291" w:lineRule="atLeast"/>
    </w:pPr>
    <w:rPr>
      <w:rFonts w:cs="Times New Roman"/>
      <w:color w:val="auto"/>
    </w:rPr>
  </w:style>
  <w:style w:type="paragraph" w:customStyle="1" w:styleId="CM18">
    <w:name w:val="CM18"/>
    <w:basedOn w:val="Default"/>
    <w:next w:val="Default"/>
    <w:uiPriority w:val="99"/>
    <w:rsid w:val="008B4D96"/>
    <w:rPr>
      <w:rFonts w:cs="Times New Roman"/>
      <w:color w:val="auto"/>
    </w:rPr>
  </w:style>
  <w:style w:type="paragraph" w:customStyle="1" w:styleId="CM19">
    <w:name w:val="CM19"/>
    <w:basedOn w:val="Default"/>
    <w:next w:val="Default"/>
    <w:uiPriority w:val="99"/>
    <w:rsid w:val="008B4D96"/>
    <w:rPr>
      <w:rFonts w:cs="Times New Roman"/>
      <w:color w:val="auto"/>
    </w:rPr>
  </w:style>
  <w:style w:type="paragraph" w:customStyle="1" w:styleId="CM7">
    <w:name w:val="CM7"/>
    <w:basedOn w:val="Default"/>
    <w:next w:val="Default"/>
    <w:uiPriority w:val="99"/>
    <w:rsid w:val="008B4D96"/>
    <w:pPr>
      <w:spacing w:line="291" w:lineRule="atLeast"/>
    </w:pPr>
    <w:rPr>
      <w:rFonts w:cs="Times New Roman"/>
      <w:color w:val="auto"/>
    </w:rPr>
  </w:style>
  <w:style w:type="paragraph" w:customStyle="1" w:styleId="CM10">
    <w:name w:val="CM10"/>
    <w:basedOn w:val="Default"/>
    <w:next w:val="Default"/>
    <w:uiPriority w:val="99"/>
    <w:rsid w:val="008B4D96"/>
    <w:pPr>
      <w:spacing w:line="291" w:lineRule="atLeast"/>
    </w:pPr>
    <w:rPr>
      <w:rFonts w:cs="Times New Roman"/>
      <w:color w:val="auto"/>
    </w:rPr>
  </w:style>
  <w:style w:type="paragraph" w:customStyle="1" w:styleId="CM11">
    <w:name w:val="CM11"/>
    <w:basedOn w:val="Default"/>
    <w:next w:val="Default"/>
    <w:uiPriority w:val="99"/>
    <w:rsid w:val="008B4D96"/>
    <w:pPr>
      <w:spacing w:line="288" w:lineRule="atLeast"/>
    </w:pPr>
    <w:rPr>
      <w:rFonts w:cs="Times New Roman"/>
      <w:color w:val="auto"/>
    </w:rPr>
  </w:style>
  <w:style w:type="paragraph" w:customStyle="1" w:styleId="CM20">
    <w:name w:val="CM20"/>
    <w:basedOn w:val="Default"/>
    <w:next w:val="Default"/>
    <w:uiPriority w:val="99"/>
    <w:rsid w:val="008B4D96"/>
    <w:rPr>
      <w:rFonts w:cs="Times New Roman"/>
      <w:color w:val="auto"/>
    </w:rPr>
  </w:style>
  <w:style w:type="paragraph" w:customStyle="1" w:styleId="CM21">
    <w:name w:val="CM21"/>
    <w:basedOn w:val="Default"/>
    <w:next w:val="Default"/>
    <w:uiPriority w:val="99"/>
    <w:rsid w:val="008B4D96"/>
    <w:rPr>
      <w:rFonts w:cs="Times New Roman"/>
      <w:color w:val="auto"/>
    </w:rPr>
  </w:style>
  <w:style w:type="paragraph" w:customStyle="1" w:styleId="CM12">
    <w:name w:val="CM12"/>
    <w:basedOn w:val="Default"/>
    <w:next w:val="Default"/>
    <w:uiPriority w:val="99"/>
    <w:rsid w:val="008B4D96"/>
    <w:pPr>
      <w:spacing w:line="288" w:lineRule="atLeast"/>
    </w:pPr>
    <w:rPr>
      <w:rFonts w:cs="Times New Roman"/>
      <w:color w:val="auto"/>
    </w:rPr>
  </w:style>
  <w:style w:type="paragraph" w:customStyle="1" w:styleId="CM13">
    <w:name w:val="CM13"/>
    <w:basedOn w:val="Default"/>
    <w:next w:val="Default"/>
    <w:uiPriority w:val="99"/>
    <w:rsid w:val="008B4D96"/>
    <w:pPr>
      <w:spacing w:line="291" w:lineRule="atLeast"/>
    </w:pPr>
    <w:rPr>
      <w:rFonts w:cs="Times New Roman"/>
      <w:color w:val="auto"/>
    </w:rPr>
  </w:style>
  <w:style w:type="paragraph" w:customStyle="1" w:styleId="CM14">
    <w:name w:val="CM14"/>
    <w:basedOn w:val="Default"/>
    <w:next w:val="Default"/>
    <w:uiPriority w:val="99"/>
    <w:rsid w:val="008B4D96"/>
    <w:pPr>
      <w:spacing w:line="288" w:lineRule="atLeast"/>
    </w:pPr>
    <w:rPr>
      <w:rFonts w:cs="Times New Roman"/>
      <w:color w:val="auto"/>
    </w:rPr>
  </w:style>
  <w:style w:type="character" w:customStyle="1" w:styleId="HeaderChar">
    <w:name w:val="Header Char"/>
    <w:basedOn w:val="DefaultParagraphFont"/>
    <w:link w:val="Header"/>
    <w:uiPriority w:val="99"/>
    <w:locked/>
    <w:rsid w:val="008B4D96"/>
    <w:rPr>
      <w:sz w:val="24"/>
      <w:szCs w:val="24"/>
      <w:lang w:eastAsia="en-US"/>
    </w:rPr>
  </w:style>
  <w:style w:type="character" w:customStyle="1" w:styleId="FooterChar">
    <w:name w:val="Footer Char"/>
    <w:basedOn w:val="DefaultParagraphFont"/>
    <w:link w:val="Footer"/>
    <w:uiPriority w:val="99"/>
    <w:locked/>
    <w:rsid w:val="008B4D96"/>
    <w:rPr>
      <w:sz w:val="24"/>
      <w:szCs w:val="24"/>
      <w:lang w:eastAsia="en-US"/>
    </w:rPr>
  </w:style>
  <w:style w:type="character" w:customStyle="1" w:styleId="BalloonTextChar">
    <w:name w:val="Balloon Text Char"/>
    <w:basedOn w:val="DefaultParagraphFont"/>
    <w:link w:val="BalloonText"/>
    <w:uiPriority w:val="99"/>
    <w:semiHidden/>
    <w:rsid w:val="008B4D96"/>
    <w:rPr>
      <w:rFonts w:ascii="Tahoma" w:hAnsi="Tahoma" w:cs="Tahoma"/>
      <w:sz w:val="16"/>
      <w:szCs w:val="16"/>
      <w:lang w:eastAsia="en-US"/>
    </w:rPr>
  </w:style>
  <w:style w:type="paragraph" w:customStyle="1" w:styleId="EndNoteBibliographyTitle">
    <w:name w:val="EndNote Bibliography Title"/>
    <w:basedOn w:val="Normal"/>
    <w:link w:val="EndNoteBibliographyTitleChar"/>
    <w:rsid w:val="008B4D96"/>
    <w:pPr>
      <w:widowControl/>
      <w:autoSpaceDE/>
      <w:autoSpaceDN/>
      <w:adjustRightInd/>
      <w:spacing w:line="259" w:lineRule="auto"/>
      <w:jc w:val="center"/>
    </w:pPr>
    <w:rPr>
      <w:rFonts w:eastAsiaTheme="minorHAnsi"/>
      <w:noProof/>
      <w:sz w:val="20"/>
      <w:szCs w:val="22"/>
    </w:rPr>
  </w:style>
  <w:style w:type="character" w:customStyle="1" w:styleId="EndNoteBibliographyTitleChar">
    <w:name w:val="EndNote Bibliography Title Char"/>
    <w:basedOn w:val="DefaultParagraphFont"/>
    <w:link w:val="EndNoteBibliographyTitle"/>
    <w:rsid w:val="008B4D96"/>
    <w:rPr>
      <w:rFonts w:eastAsiaTheme="minorHAnsi"/>
      <w:noProof/>
      <w:szCs w:val="22"/>
      <w:lang w:eastAsia="en-US"/>
    </w:rPr>
  </w:style>
  <w:style w:type="table" w:styleId="TableGrid">
    <w:name w:val="Table Grid"/>
    <w:basedOn w:val="TableNormal"/>
    <w:uiPriority w:val="39"/>
    <w:rsid w:val="008B4D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_Fig_Captions"/>
    <w:basedOn w:val="Normal"/>
    <w:next w:val="Normal"/>
    <w:unhideWhenUsed/>
    <w:qFormat/>
    <w:rsid w:val="008B4D96"/>
    <w:pPr>
      <w:widowControl/>
      <w:autoSpaceDE/>
      <w:autoSpaceDN/>
      <w:adjustRightInd/>
      <w:spacing w:after="200"/>
    </w:pPr>
    <w:rPr>
      <w:rFonts w:asciiTheme="minorHAnsi" w:eastAsiaTheme="minorHAnsi" w:hAnsiTheme="minorHAnsi" w:cstheme="minorBidi"/>
      <w:i/>
      <w:iCs/>
      <w:color w:val="44546A" w:themeColor="text2"/>
      <w:sz w:val="18"/>
      <w:szCs w:val="18"/>
    </w:rPr>
  </w:style>
  <w:style w:type="paragraph" w:customStyle="1" w:styleId="EndNoteBibliography">
    <w:name w:val="EndNote Bibliography"/>
    <w:basedOn w:val="Normal"/>
    <w:link w:val="EndNoteBibliographyChar"/>
    <w:rsid w:val="008B4D96"/>
    <w:pPr>
      <w:widowControl/>
      <w:autoSpaceDE/>
      <w:autoSpaceDN/>
      <w:adjustRightInd/>
      <w:spacing w:after="200"/>
      <w:jc w:val="both"/>
    </w:pPr>
    <w:rPr>
      <w:rFonts w:ascii="CMB X 12" w:hAnsi="CMB X 12" w:cs="CMB X 12"/>
      <w:noProof/>
      <w:color w:val="000000"/>
      <w:szCs w:val="22"/>
      <w:lang w:val="en-US" w:eastAsia="zh-TW"/>
    </w:rPr>
  </w:style>
  <w:style w:type="character" w:customStyle="1" w:styleId="DefaultChar">
    <w:name w:val="Default Char"/>
    <w:basedOn w:val="DefaultParagraphFont"/>
    <w:link w:val="Default"/>
    <w:rsid w:val="008B4D96"/>
    <w:rPr>
      <w:rFonts w:ascii="CMB X 12" w:hAnsi="CMB X 12" w:cs="CMB X 12"/>
      <w:color w:val="000000"/>
      <w:sz w:val="24"/>
      <w:szCs w:val="24"/>
      <w:lang w:val="en-US" w:eastAsia="zh-TW"/>
    </w:rPr>
  </w:style>
  <w:style w:type="character" w:customStyle="1" w:styleId="CM15Char">
    <w:name w:val="CM15 Char"/>
    <w:basedOn w:val="DefaultChar"/>
    <w:link w:val="CM15"/>
    <w:uiPriority w:val="99"/>
    <w:rsid w:val="008B4D96"/>
    <w:rPr>
      <w:rFonts w:ascii="CMB X 12" w:hAnsi="CMB X 12" w:cs="CMB X 12"/>
      <w:color w:val="000000"/>
      <w:sz w:val="24"/>
      <w:szCs w:val="24"/>
      <w:lang w:val="en-US" w:eastAsia="zh-TW"/>
    </w:rPr>
  </w:style>
  <w:style w:type="character" w:customStyle="1" w:styleId="EndNoteBibliographyChar">
    <w:name w:val="EndNote Bibliography Char"/>
    <w:basedOn w:val="CM15Char"/>
    <w:link w:val="EndNoteBibliography"/>
    <w:rsid w:val="008B4D96"/>
    <w:rPr>
      <w:rFonts w:ascii="CMB X 12" w:hAnsi="CMB X 12" w:cs="CMB X 12"/>
      <w:noProof/>
      <w:color w:val="000000"/>
      <w:sz w:val="24"/>
      <w:szCs w:val="22"/>
      <w:lang w:val="en-US" w:eastAsia="zh-TW"/>
    </w:rPr>
  </w:style>
  <w:style w:type="table" w:styleId="PlainTable2">
    <w:name w:val="Plain Table 2"/>
    <w:basedOn w:val="TableNormal"/>
    <w:uiPriority w:val="42"/>
    <w:rsid w:val="008B4D96"/>
    <w:rPr>
      <w:rFonts w:ascii="Calibri" w:hAnsi="Calibri" w:cs="Calibr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B4D96"/>
    <w:pPr>
      <w:widowControl/>
      <w:autoSpaceDE/>
      <w:autoSpaceDN/>
      <w:adjustRightInd/>
      <w:spacing w:before="100" w:beforeAutospacing="1" w:after="100" w:afterAutospacing="1"/>
    </w:pPr>
    <w:rPr>
      <w:lang w:eastAsia="en-NZ"/>
    </w:rPr>
  </w:style>
  <w:style w:type="table" w:styleId="PlainTable3">
    <w:name w:val="Plain Table 3"/>
    <w:basedOn w:val="TableNormal"/>
    <w:uiPriority w:val="43"/>
    <w:rsid w:val="008B4D96"/>
    <w:rPr>
      <w:rFonts w:ascii="Calibri" w:hAnsi="Calibri" w:cs="Calibri"/>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B4D96"/>
    <w:rPr>
      <w:rFonts w:ascii="Calibri" w:hAnsi="Calibri" w:cs="Calibr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1">
    <w:name w:val="Mention1"/>
    <w:basedOn w:val="DefaultParagraphFont"/>
    <w:uiPriority w:val="99"/>
    <w:semiHidden/>
    <w:unhideWhenUsed/>
    <w:rsid w:val="008B4D96"/>
    <w:rPr>
      <w:color w:val="2B579A"/>
      <w:shd w:val="clear" w:color="auto" w:fill="E6E6E6"/>
    </w:rPr>
  </w:style>
  <w:style w:type="paragraph" w:styleId="TOC1">
    <w:name w:val="toc 1"/>
    <w:basedOn w:val="Normal"/>
    <w:next w:val="Normal"/>
    <w:autoRedefine/>
    <w:uiPriority w:val="39"/>
    <w:unhideWhenUsed/>
    <w:rsid w:val="008B4D96"/>
    <w:pPr>
      <w:widowControl/>
      <w:autoSpaceDE/>
      <w:autoSpaceDN/>
      <w:adjustRightInd/>
      <w:spacing w:after="100" w:line="276" w:lineRule="auto"/>
    </w:pPr>
    <w:rPr>
      <w:rFonts w:asciiTheme="majorBidi" w:hAnsiTheme="majorBidi"/>
      <w:sz w:val="22"/>
      <w:szCs w:val="22"/>
      <w:lang w:eastAsia="zh-TW"/>
    </w:rPr>
  </w:style>
  <w:style w:type="paragraph" w:styleId="TableofFigures">
    <w:name w:val="table of figures"/>
    <w:basedOn w:val="BodyText"/>
    <w:next w:val="Normal"/>
    <w:uiPriority w:val="99"/>
    <w:unhideWhenUsed/>
    <w:rsid w:val="008B4D96"/>
    <w:pPr>
      <w:spacing w:before="120"/>
    </w:pPr>
    <w:rPr>
      <w:rFonts w:asciiTheme="majorBidi" w:hAnsiTheme="majorBidi"/>
    </w:rPr>
  </w:style>
  <w:style w:type="character" w:customStyle="1" w:styleId="Mention2">
    <w:name w:val="Mention2"/>
    <w:basedOn w:val="DefaultParagraphFont"/>
    <w:uiPriority w:val="99"/>
    <w:semiHidden/>
    <w:unhideWhenUsed/>
    <w:rsid w:val="008B4D96"/>
    <w:rPr>
      <w:color w:val="2B579A"/>
      <w:shd w:val="clear" w:color="auto" w:fill="E6E6E6"/>
    </w:rPr>
  </w:style>
  <w:style w:type="character" w:customStyle="1" w:styleId="MTEquationSection">
    <w:name w:val="MTEquationSection"/>
    <w:basedOn w:val="DefaultParagraphFont"/>
    <w:rsid w:val="008B4D96"/>
    <w:rPr>
      <w:rFonts w:asciiTheme="majorBidi" w:hAnsiTheme="majorBidi" w:cstheme="majorBidi"/>
      <w:vanish/>
      <w:color w:val="FF0000"/>
      <w:sz w:val="32"/>
      <w:szCs w:val="32"/>
      <w:lang w:val="en-NZ"/>
    </w:rPr>
  </w:style>
  <w:style w:type="paragraph" w:customStyle="1" w:styleId="MTDisplayEquation">
    <w:name w:val="MTDisplayEquation"/>
    <w:basedOn w:val="Normal"/>
    <w:next w:val="Normal"/>
    <w:link w:val="MTDisplayEquationChar"/>
    <w:rsid w:val="008B4D96"/>
    <w:pPr>
      <w:widowControl/>
      <w:tabs>
        <w:tab w:val="center" w:pos="4920"/>
        <w:tab w:val="right" w:pos="9860"/>
      </w:tabs>
      <w:autoSpaceDE/>
      <w:autoSpaceDN/>
      <w:adjustRightInd/>
      <w:spacing w:line="360" w:lineRule="auto"/>
      <w:ind w:firstLine="720"/>
      <w:jc w:val="both"/>
    </w:pPr>
    <w:rPr>
      <w:rFonts w:asciiTheme="majorBidi" w:hAnsiTheme="majorBidi" w:cstheme="majorBidi"/>
      <w:sz w:val="22"/>
      <w:szCs w:val="22"/>
      <w:lang w:eastAsia="zh-TW"/>
    </w:rPr>
  </w:style>
  <w:style w:type="character" w:customStyle="1" w:styleId="MTDisplayEquationChar">
    <w:name w:val="MTDisplayEquation Char"/>
    <w:basedOn w:val="DefaultParagraphFont"/>
    <w:link w:val="MTDisplayEquation"/>
    <w:rsid w:val="008B4D96"/>
    <w:rPr>
      <w:rFonts w:asciiTheme="majorBidi" w:hAnsiTheme="majorBidi" w:cstheme="majorBidi"/>
      <w:sz w:val="22"/>
      <w:szCs w:val="22"/>
      <w:lang w:eastAsia="zh-TW"/>
    </w:rPr>
  </w:style>
  <w:style w:type="character" w:customStyle="1" w:styleId="UnresolvedMention1">
    <w:name w:val="Unresolved Mention1"/>
    <w:basedOn w:val="DefaultParagraphFont"/>
    <w:uiPriority w:val="99"/>
    <w:semiHidden/>
    <w:unhideWhenUsed/>
    <w:rsid w:val="008B4D96"/>
    <w:rPr>
      <w:color w:val="808080"/>
      <w:shd w:val="clear" w:color="auto" w:fill="E6E6E6"/>
    </w:rPr>
  </w:style>
  <w:style w:type="character" w:customStyle="1" w:styleId="UnresolvedMention2">
    <w:name w:val="Unresolved Mention2"/>
    <w:basedOn w:val="DefaultParagraphFont"/>
    <w:uiPriority w:val="99"/>
    <w:semiHidden/>
    <w:unhideWhenUsed/>
    <w:rsid w:val="008B4D96"/>
    <w:rPr>
      <w:color w:val="808080"/>
      <w:shd w:val="clear" w:color="auto" w:fill="E6E6E6"/>
    </w:rPr>
  </w:style>
  <w:style w:type="paragraph" w:styleId="BodyTextIndent2">
    <w:name w:val="Body Text Indent 2"/>
    <w:basedOn w:val="Normal"/>
    <w:link w:val="BodyTextIndent2Char"/>
    <w:rsid w:val="008B4D96"/>
    <w:pPr>
      <w:widowControl/>
      <w:tabs>
        <w:tab w:val="left" w:pos="1120"/>
      </w:tabs>
      <w:autoSpaceDE/>
      <w:autoSpaceDN/>
      <w:adjustRightInd/>
      <w:ind w:left="709" w:hanging="709"/>
      <w:jc w:val="both"/>
    </w:pPr>
    <w:rPr>
      <w:rFonts w:ascii="Arial" w:hAnsi="Arial"/>
      <w:b/>
      <w:color w:val="000000"/>
      <w:sz w:val="20"/>
      <w:szCs w:val="20"/>
    </w:rPr>
  </w:style>
  <w:style w:type="character" w:customStyle="1" w:styleId="BodyTextIndent2Char">
    <w:name w:val="Body Text Indent 2 Char"/>
    <w:basedOn w:val="DefaultParagraphFont"/>
    <w:link w:val="BodyTextIndent2"/>
    <w:rsid w:val="008B4D96"/>
    <w:rPr>
      <w:rFonts w:ascii="Arial" w:hAnsi="Arial"/>
      <w:b/>
      <w:color w:val="000000"/>
      <w:lang w:eastAsia="en-US"/>
    </w:rPr>
  </w:style>
  <w:style w:type="character" w:customStyle="1" w:styleId="UnresolvedMention3">
    <w:name w:val="Unresolved Mention3"/>
    <w:basedOn w:val="DefaultParagraphFont"/>
    <w:uiPriority w:val="99"/>
    <w:semiHidden/>
    <w:unhideWhenUsed/>
    <w:rsid w:val="008B4D96"/>
    <w:rPr>
      <w:color w:val="808080"/>
      <w:shd w:val="clear" w:color="auto" w:fill="E6E6E6"/>
    </w:rPr>
  </w:style>
  <w:style w:type="character" w:customStyle="1" w:styleId="UnresolvedMention4">
    <w:name w:val="Unresolved Mention4"/>
    <w:basedOn w:val="DefaultParagraphFont"/>
    <w:uiPriority w:val="99"/>
    <w:semiHidden/>
    <w:unhideWhenUsed/>
    <w:rsid w:val="008B4D96"/>
    <w:rPr>
      <w:color w:val="808080"/>
      <w:shd w:val="clear" w:color="auto" w:fill="E6E6E6"/>
    </w:rPr>
  </w:style>
  <w:style w:type="character" w:customStyle="1" w:styleId="UnresolvedMention5">
    <w:name w:val="Unresolved Mention5"/>
    <w:basedOn w:val="DefaultParagraphFont"/>
    <w:uiPriority w:val="99"/>
    <w:semiHidden/>
    <w:unhideWhenUsed/>
    <w:rsid w:val="008B4D96"/>
    <w:rPr>
      <w:color w:val="808080"/>
      <w:shd w:val="clear" w:color="auto" w:fill="E6E6E6"/>
    </w:rPr>
  </w:style>
  <w:style w:type="character" w:styleId="PlaceholderText">
    <w:name w:val="Placeholder Text"/>
    <w:basedOn w:val="DefaultParagraphFont"/>
    <w:uiPriority w:val="99"/>
    <w:semiHidden/>
    <w:rsid w:val="008B4D96"/>
    <w:rPr>
      <w:color w:val="808080"/>
    </w:rPr>
  </w:style>
  <w:style w:type="character" w:customStyle="1" w:styleId="UnresolvedMention6">
    <w:name w:val="Unresolved Mention6"/>
    <w:basedOn w:val="DefaultParagraphFont"/>
    <w:uiPriority w:val="99"/>
    <w:semiHidden/>
    <w:unhideWhenUsed/>
    <w:rsid w:val="008B4D96"/>
    <w:rPr>
      <w:color w:val="808080"/>
      <w:shd w:val="clear" w:color="auto" w:fill="E6E6E6"/>
    </w:rPr>
  </w:style>
  <w:style w:type="character" w:customStyle="1" w:styleId="UnresolvedMention7">
    <w:name w:val="Unresolved Mention7"/>
    <w:basedOn w:val="DefaultParagraphFont"/>
    <w:uiPriority w:val="99"/>
    <w:semiHidden/>
    <w:unhideWhenUsed/>
    <w:rsid w:val="008B4D96"/>
    <w:rPr>
      <w:color w:val="808080"/>
      <w:shd w:val="clear" w:color="auto" w:fill="E6E6E6"/>
    </w:rPr>
  </w:style>
  <w:style w:type="character" w:customStyle="1" w:styleId="UnresolvedMention8">
    <w:name w:val="Unresolved Mention8"/>
    <w:basedOn w:val="DefaultParagraphFont"/>
    <w:uiPriority w:val="99"/>
    <w:semiHidden/>
    <w:unhideWhenUsed/>
    <w:rsid w:val="008B4D96"/>
    <w:rPr>
      <w:color w:val="808080"/>
      <w:shd w:val="clear" w:color="auto" w:fill="E6E6E6"/>
    </w:rPr>
  </w:style>
  <w:style w:type="character" w:customStyle="1" w:styleId="UnresolvedMention9">
    <w:name w:val="Unresolved Mention9"/>
    <w:basedOn w:val="DefaultParagraphFont"/>
    <w:uiPriority w:val="99"/>
    <w:semiHidden/>
    <w:unhideWhenUsed/>
    <w:rsid w:val="008B4D96"/>
    <w:rPr>
      <w:color w:val="808080"/>
      <w:shd w:val="clear" w:color="auto" w:fill="E6E6E6"/>
    </w:rPr>
  </w:style>
  <w:style w:type="paragraph" w:styleId="BodyText">
    <w:name w:val="Body Text"/>
    <w:basedOn w:val="Normal"/>
    <w:link w:val="BodyTextChar"/>
    <w:uiPriority w:val="1"/>
    <w:unhideWhenUsed/>
    <w:qFormat/>
    <w:rsid w:val="008B4D96"/>
    <w:pPr>
      <w:widowControl/>
      <w:autoSpaceDE/>
      <w:autoSpaceDN/>
      <w:adjustRightInd/>
      <w:spacing w:after="120" w:line="276" w:lineRule="auto"/>
    </w:pPr>
    <w:rPr>
      <w:rFonts w:ascii="Calibri" w:hAnsi="Calibri"/>
      <w:sz w:val="22"/>
      <w:szCs w:val="22"/>
      <w:lang w:eastAsia="zh-TW"/>
    </w:rPr>
  </w:style>
  <w:style w:type="character" w:customStyle="1" w:styleId="BodyTextChar">
    <w:name w:val="Body Text Char"/>
    <w:basedOn w:val="DefaultParagraphFont"/>
    <w:link w:val="BodyText"/>
    <w:uiPriority w:val="1"/>
    <w:rsid w:val="008B4D96"/>
    <w:rPr>
      <w:rFonts w:ascii="Calibri" w:hAnsi="Calibri"/>
      <w:sz w:val="22"/>
      <w:szCs w:val="22"/>
      <w:lang w:eastAsia="zh-TW"/>
    </w:rPr>
  </w:style>
  <w:style w:type="character" w:customStyle="1" w:styleId="UnresolvedMention10">
    <w:name w:val="Unresolved Mention10"/>
    <w:basedOn w:val="DefaultParagraphFont"/>
    <w:uiPriority w:val="99"/>
    <w:semiHidden/>
    <w:unhideWhenUsed/>
    <w:rsid w:val="008B4D96"/>
    <w:rPr>
      <w:color w:val="808080"/>
      <w:shd w:val="clear" w:color="auto" w:fill="E6E6E6"/>
    </w:rPr>
  </w:style>
  <w:style w:type="paragraph" w:customStyle="1" w:styleId="TableParagraph">
    <w:name w:val="Table Paragraph"/>
    <w:basedOn w:val="Normal"/>
    <w:uiPriority w:val="1"/>
    <w:qFormat/>
    <w:rsid w:val="008B4D96"/>
    <w:pPr>
      <w:autoSpaceDE/>
      <w:autoSpaceDN/>
      <w:adjustRightInd/>
    </w:pPr>
    <w:rPr>
      <w:rFonts w:asciiTheme="minorHAnsi" w:eastAsiaTheme="minorHAnsi" w:hAnsiTheme="minorHAnsi" w:cstheme="minorBidi"/>
      <w:sz w:val="22"/>
      <w:szCs w:val="22"/>
    </w:rPr>
  </w:style>
  <w:style w:type="character" w:customStyle="1" w:styleId="UnresolvedMention11">
    <w:name w:val="Unresolved Mention11"/>
    <w:basedOn w:val="DefaultParagraphFont"/>
    <w:uiPriority w:val="99"/>
    <w:semiHidden/>
    <w:unhideWhenUsed/>
    <w:rsid w:val="008B4D96"/>
    <w:rPr>
      <w:color w:val="808080"/>
      <w:shd w:val="clear" w:color="auto" w:fill="E6E6E6"/>
    </w:rPr>
  </w:style>
  <w:style w:type="character" w:customStyle="1" w:styleId="UnresolvedMention12">
    <w:name w:val="Unresolved Mention12"/>
    <w:basedOn w:val="DefaultParagraphFont"/>
    <w:uiPriority w:val="99"/>
    <w:semiHidden/>
    <w:unhideWhenUsed/>
    <w:rsid w:val="008B4D96"/>
    <w:rPr>
      <w:color w:val="808080"/>
      <w:shd w:val="clear" w:color="auto" w:fill="E6E6E6"/>
    </w:rPr>
  </w:style>
  <w:style w:type="character" w:customStyle="1" w:styleId="UnresolvedMention13">
    <w:name w:val="Unresolved Mention13"/>
    <w:basedOn w:val="DefaultParagraphFont"/>
    <w:uiPriority w:val="99"/>
    <w:semiHidden/>
    <w:unhideWhenUsed/>
    <w:rsid w:val="008B4D96"/>
    <w:rPr>
      <w:color w:val="808080"/>
      <w:shd w:val="clear" w:color="auto" w:fill="E6E6E6"/>
    </w:rPr>
  </w:style>
  <w:style w:type="character" w:customStyle="1" w:styleId="UnresolvedMention14">
    <w:name w:val="Unresolved Mention14"/>
    <w:basedOn w:val="DefaultParagraphFont"/>
    <w:uiPriority w:val="99"/>
    <w:semiHidden/>
    <w:unhideWhenUsed/>
    <w:rsid w:val="008B4D96"/>
    <w:rPr>
      <w:color w:val="808080"/>
      <w:shd w:val="clear" w:color="auto" w:fill="E6E6E6"/>
    </w:rPr>
  </w:style>
  <w:style w:type="character" w:customStyle="1" w:styleId="UnresolvedMention15">
    <w:name w:val="Unresolved Mention15"/>
    <w:basedOn w:val="DefaultParagraphFont"/>
    <w:uiPriority w:val="99"/>
    <w:semiHidden/>
    <w:unhideWhenUsed/>
    <w:rsid w:val="008B4D96"/>
    <w:rPr>
      <w:color w:val="808080"/>
      <w:shd w:val="clear" w:color="auto" w:fill="E6E6E6"/>
    </w:rPr>
  </w:style>
  <w:style w:type="paragraph" w:styleId="Revision">
    <w:name w:val="Revision"/>
    <w:hidden/>
    <w:uiPriority w:val="99"/>
    <w:semiHidden/>
    <w:rsid w:val="008B4D96"/>
    <w:rPr>
      <w:rFonts w:ascii="Calibri" w:hAnsi="Calibri"/>
      <w:sz w:val="22"/>
      <w:szCs w:val="22"/>
      <w:lang w:val="en-US" w:eastAsia="zh-TW"/>
    </w:rPr>
  </w:style>
  <w:style w:type="table" w:styleId="TableTheme">
    <w:name w:val="Table Theme"/>
    <w:basedOn w:val="TableNormal"/>
    <w:rsid w:val="008B4D96"/>
    <w:pPr>
      <w:widowControl w:val="0"/>
      <w:autoSpaceDE w:val="0"/>
      <w:autoSpaceDN w:val="0"/>
      <w:adjustRightInd w:val="0"/>
      <w:jc w:val="center"/>
    </w:pPr>
    <w:rPr>
      <w:sz w:val="22"/>
    </w:rPr>
    <w:tblPr>
      <w:tblBorders>
        <w:top w:val="single" w:sz="4" w:space="0" w:color="auto"/>
      </w:tblBorders>
    </w:tblPr>
    <w:tcPr>
      <w:vAlign w:val="center"/>
    </w:tcPr>
    <w:tblStylePr w:type="firstRow">
      <w:tblPr/>
      <w:tcPr>
        <w:tcBorders>
          <w:top w:val="nil"/>
          <w:bottom w:val="single" w:sz="4" w:space="0" w:color="auto"/>
        </w:tcBorders>
      </w:tcPr>
    </w:tblStylePr>
    <w:tblStylePr w:type="firstCol">
      <w:tblPr/>
      <w:tcPr>
        <w:tcBorders>
          <w:right w:val="single" w:sz="4" w:space="0" w:color="auto"/>
        </w:tcBorders>
      </w:tcPr>
    </w:tblStylePr>
  </w:style>
  <w:style w:type="paragraph" w:customStyle="1" w:styleId="Affiliation">
    <w:name w:val="Affiliation"/>
    <w:basedOn w:val="Normal"/>
    <w:rsid w:val="008B4D96"/>
    <w:pPr>
      <w:widowControl/>
      <w:autoSpaceDE/>
      <w:autoSpaceDN/>
      <w:adjustRightInd/>
      <w:jc w:val="center"/>
    </w:pPr>
    <w:rPr>
      <w:szCs w:val="20"/>
      <w:lang w:val="en-US"/>
    </w:rPr>
  </w:style>
  <w:style w:type="character" w:styleId="FollowedHyperlink">
    <w:name w:val="FollowedHyperlink"/>
    <w:basedOn w:val="DefaultParagraphFont"/>
    <w:uiPriority w:val="99"/>
    <w:unhideWhenUsed/>
    <w:rsid w:val="008B4D96"/>
    <w:rPr>
      <w:color w:val="954F72" w:themeColor="followedHyperlink"/>
      <w:u w:val="single"/>
    </w:rPr>
  </w:style>
  <w:style w:type="character" w:styleId="LineNumber">
    <w:name w:val="line number"/>
    <w:basedOn w:val="DefaultParagraphFont"/>
    <w:uiPriority w:val="99"/>
    <w:unhideWhenUsed/>
    <w:rsid w:val="008B4D96"/>
  </w:style>
  <w:style w:type="character" w:customStyle="1" w:styleId="go">
    <w:name w:val="go"/>
    <w:basedOn w:val="DefaultParagraphFont"/>
    <w:rsid w:val="002E7BA6"/>
  </w:style>
  <w:style w:type="paragraph" w:styleId="FootnoteText">
    <w:name w:val="footnote text"/>
    <w:basedOn w:val="Normal"/>
    <w:link w:val="FootnoteTextChar"/>
    <w:rsid w:val="002E7BA6"/>
    <w:rPr>
      <w:sz w:val="20"/>
      <w:szCs w:val="20"/>
    </w:rPr>
  </w:style>
  <w:style w:type="character" w:customStyle="1" w:styleId="FootnoteTextChar">
    <w:name w:val="Footnote Text Char"/>
    <w:basedOn w:val="DefaultParagraphFont"/>
    <w:link w:val="FootnoteText"/>
    <w:rsid w:val="002E7BA6"/>
    <w:rPr>
      <w:lang w:eastAsia="en-US"/>
    </w:rPr>
  </w:style>
  <w:style w:type="character" w:styleId="FootnoteReference">
    <w:name w:val="footnote reference"/>
    <w:basedOn w:val="DefaultParagraphFont"/>
    <w:rsid w:val="002E7B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4810">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969478464">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lao@asm.nzta.govt.nz"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www.stats.govt.nz/"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transport.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hajar.sarmadi@manukau.ac.nz" TargetMode="External"/><Relationship Id="rId19" Type="http://schemas.openxmlformats.org/officeDocument/2006/relationships/hyperlink" Target="https://af8.org.nz/" TargetMode="External"/><Relationship Id="rId4" Type="http://schemas.openxmlformats.org/officeDocument/2006/relationships/settings" Target="settings.xml"/><Relationship Id="rId9" Type="http://schemas.openxmlformats.org/officeDocument/2006/relationships/hyperlink" Target="mailto:p.ranjitkar@auckland.ac.nz" TargetMode="External"/><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47508-1EC2-409A-BBB3-C2ADE37D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13</Pages>
  <Words>6324</Words>
  <Characters>34898</Characters>
  <Application>Microsoft Office Word</Application>
  <DocSecurity>0</DocSecurity>
  <Lines>793</Lines>
  <Paragraphs>413</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40892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Aghababaei, Siavash</cp:lastModifiedBy>
  <cp:revision>8</cp:revision>
  <cp:lastPrinted>2013-10-15T01:27:00Z</cp:lastPrinted>
  <dcterms:created xsi:type="dcterms:W3CDTF">2024-03-19T22:29:00Z</dcterms:created>
  <dcterms:modified xsi:type="dcterms:W3CDTF">2024-05-31T05:29:00Z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acae4363db42d7c1fdc74f5af89b471edb68b11f53eb86ce14cb16740d7ae083</vt:lpwstr>
  </property>
</Properties>
</file>