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11CB5C" w14:textId="633D4149" w:rsidR="663A3E88" w:rsidRDefault="663A3E88" w:rsidP="7C78ADD2">
      <w:pPr>
        <w:rPr>
          <w:rFonts w:ascii="Montserrat" w:hAnsi="Montserrat"/>
          <w:b/>
          <w:bCs/>
          <w:color w:val="0088C5"/>
          <w:sz w:val="28"/>
          <w:szCs w:val="28"/>
        </w:rPr>
      </w:pPr>
      <w:r w:rsidRPr="7C78ADD2">
        <w:rPr>
          <w:rFonts w:ascii="Montserrat" w:hAnsi="Montserrat"/>
          <w:b/>
          <w:bCs/>
          <w:color w:val="0088C5"/>
          <w:sz w:val="28"/>
          <w:szCs w:val="28"/>
        </w:rPr>
        <w:t xml:space="preserve">Monetising Resilience: Unlocking Hidden Value in Major Transport Infrastructure Projects  </w:t>
      </w:r>
    </w:p>
    <w:p w14:paraId="6FDF0865" w14:textId="062C7EB3" w:rsidR="663A3E88" w:rsidRDefault="663A3E88" w:rsidP="6FF303C8">
      <w:pPr>
        <w:spacing w:after="0"/>
      </w:pPr>
      <w:r w:rsidRPr="6FF303C8">
        <w:rPr>
          <w:rFonts w:ascii="Arial" w:eastAsia="Arial" w:hAnsi="Arial" w:cs="Arial"/>
          <w:sz w:val="20"/>
          <w:szCs w:val="20"/>
        </w:rPr>
        <w:t xml:space="preserve"> </w:t>
      </w:r>
    </w:p>
    <w:p w14:paraId="7EA20B4A" w14:textId="1FB9CF54" w:rsidR="663A3E88" w:rsidRDefault="663A3E88" w:rsidP="6FF303C8">
      <w:pPr>
        <w:spacing w:after="0"/>
      </w:pPr>
      <w:r w:rsidRPr="6FF303C8">
        <w:rPr>
          <w:rFonts w:ascii="Arial" w:eastAsia="Arial" w:hAnsi="Arial" w:cs="Arial"/>
          <w:sz w:val="20"/>
          <w:szCs w:val="20"/>
        </w:rPr>
        <w:t>As climate change, natural hazards, and network disruptions become more frequent and severe, resilience is emerging as a critical consideration in transport infrastructure planning. However, resilience benefits are often intangible and underrepresented in transport economic evaluations, leading to missed opportunities for long-term value creation.</w:t>
      </w:r>
    </w:p>
    <w:p w14:paraId="0373FFD9" w14:textId="7058180B" w:rsidR="663A3E88" w:rsidRDefault="663A3E88" w:rsidP="6FF303C8">
      <w:pPr>
        <w:spacing w:after="0"/>
      </w:pPr>
      <w:r w:rsidRPr="6FF303C8">
        <w:rPr>
          <w:rFonts w:ascii="Arial" w:eastAsia="Arial" w:hAnsi="Arial" w:cs="Arial"/>
          <w:sz w:val="20"/>
          <w:szCs w:val="20"/>
        </w:rPr>
        <w:t xml:space="preserve"> </w:t>
      </w:r>
    </w:p>
    <w:p w14:paraId="3E6E722F" w14:textId="0CA5A24B" w:rsidR="663A3E88" w:rsidRDefault="663A3E88" w:rsidP="6FF303C8">
      <w:pPr>
        <w:spacing w:after="0"/>
      </w:pPr>
      <w:r w:rsidRPr="6FF303C8">
        <w:rPr>
          <w:rFonts w:ascii="Arial" w:eastAsia="Arial" w:hAnsi="Arial" w:cs="Arial"/>
          <w:sz w:val="20"/>
          <w:szCs w:val="20"/>
        </w:rPr>
        <w:t xml:space="preserve">This presentation explores practical approaches to monetising resilience benefits within the business case and investment case framework for major transport projects. Drawing on real-world experience from nationally significant programmes such as the Transport Rebuild East Coast Alliance, Northland Roads of National Significance, and </w:t>
      </w:r>
      <w:proofErr w:type="spellStart"/>
      <w:r w:rsidRPr="6FF303C8">
        <w:rPr>
          <w:rFonts w:ascii="Arial" w:eastAsia="Arial" w:hAnsi="Arial" w:cs="Arial"/>
          <w:sz w:val="20"/>
          <w:szCs w:val="20"/>
        </w:rPr>
        <w:t>Waitematā</w:t>
      </w:r>
      <w:proofErr w:type="spellEnd"/>
      <w:r w:rsidRPr="6FF303C8">
        <w:rPr>
          <w:rFonts w:ascii="Arial" w:eastAsia="Arial" w:hAnsi="Arial" w:cs="Arial"/>
          <w:sz w:val="20"/>
          <w:szCs w:val="20"/>
        </w:rPr>
        <w:t xml:space="preserve"> Harbour Connections, the session demonstrates how resilience can be quantified, valued, and embedded into investment decision-making.</w:t>
      </w:r>
    </w:p>
    <w:p w14:paraId="71B6F8C5" w14:textId="764A7F69" w:rsidR="663A3E88" w:rsidRDefault="663A3E88" w:rsidP="6FF303C8">
      <w:pPr>
        <w:spacing w:after="0"/>
      </w:pPr>
      <w:r w:rsidRPr="6FF303C8">
        <w:rPr>
          <w:rFonts w:ascii="Arial" w:eastAsia="Arial" w:hAnsi="Arial" w:cs="Arial"/>
          <w:sz w:val="20"/>
          <w:szCs w:val="20"/>
        </w:rPr>
        <w:t xml:space="preserve"> </w:t>
      </w:r>
    </w:p>
    <w:p w14:paraId="17A3323F" w14:textId="20342043" w:rsidR="663A3E88" w:rsidRDefault="663A3E88" w:rsidP="6FF303C8">
      <w:pPr>
        <w:spacing w:after="0"/>
      </w:pPr>
      <w:r w:rsidRPr="6FF303C8">
        <w:rPr>
          <w:rFonts w:ascii="Arial" w:eastAsia="Arial" w:hAnsi="Arial" w:cs="Arial"/>
          <w:sz w:val="20"/>
          <w:szCs w:val="20"/>
        </w:rPr>
        <w:t>Emma Cui, Principal Transport Planner at WSP and Chartered Engineer, will share insights from her work applying innovative tools—such as the NZTA National Resilience Assessment Tool (NRAT)—to link resilience outcomes with economic value. The presentation will highlight how resilience measures can reduce future costs, improve network reliability, and demonstrate value for money.</w:t>
      </w:r>
    </w:p>
    <w:p w14:paraId="6B9D049F" w14:textId="2B271F83" w:rsidR="663A3E88" w:rsidRDefault="663A3E88" w:rsidP="6FF303C8">
      <w:pPr>
        <w:spacing w:after="0"/>
      </w:pPr>
      <w:r w:rsidRPr="6FF303C8">
        <w:rPr>
          <w:rFonts w:ascii="Arial" w:eastAsia="Arial" w:hAnsi="Arial" w:cs="Arial"/>
          <w:sz w:val="20"/>
          <w:szCs w:val="20"/>
        </w:rPr>
        <w:t xml:space="preserve"> </w:t>
      </w:r>
    </w:p>
    <w:p w14:paraId="02F1F2E8" w14:textId="28E2DE02" w:rsidR="663A3E88" w:rsidRDefault="663A3E88" w:rsidP="6FF303C8">
      <w:pPr>
        <w:spacing w:after="0"/>
      </w:pPr>
      <w:r w:rsidRPr="6FF303C8">
        <w:rPr>
          <w:rFonts w:ascii="Arial" w:eastAsia="Arial" w:hAnsi="Arial" w:cs="Arial"/>
          <w:sz w:val="20"/>
          <w:szCs w:val="20"/>
        </w:rPr>
        <w:t>The economic evaluation of resilience in these projects is grounded in established transport appraisal practices, following the principles outlined in the NZTA Monetised Benefits and Costs Manual (MBCM). This is further informed by NZTA Research Report 670, which explores improved methods for capturing both the direct and indirect costs and benefits of resilience. Together, these resources support a more comprehensive and credible assessment of resilience within the investment decision-making process.</w:t>
      </w:r>
    </w:p>
    <w:p w14:paraId="205DA3D2" w14:textId="1C47F56C" w:rsidR="663A3E88" w:rsidRDefault="663A3E88" w:rsidP="6FF303C8">
      <w:pPr>
        <w:spacing w:after="0"/>
      </w:pPr>
      <w:r w:rsidRPr="6FF303C8">
        <w:rPr>
          <w:rFonts w:ascii="Arial" w:eastAsia="Arial" w:hAnsi="Arial" w:cs="Arial"/>
          <w:sz w:val="20"/>
          <w:szCs w:val="20"/>
        </w:rPr>
        <w:t xml:space="preserve"> </w:t>
      </w:r>
    </w:p>
    <w:p w14:paraId="62F7DF38" w14:textId="3E26631E" w:rsidR="663A3E88" w:rsidRDefault="663A3E88" w:rsidP="6FF303C8">
      <w:pPr>
        <w:spacing w:after="0"/>
      </w:pPr>
      <w:r w:rsidRPr="6FF303C8">
        <w:rPr>
          <w:rFonts w:ascii="Arial" w:eastAsia="Arial" w:hAnsi="Arial" w:cs="Arial"/>
          <w:sz w:val="20"/>
          <w:szCs w:val="20"/>
        </w:rPr>
        <w:t>Key themes include:</w:t>
      </w:r>
    </w:p>
    <w:p w14:paraId="3741B2F2" w14:textId="296A8F14" w:rsidR="663A3E88" w:rsidRDefault="663A3E88" w:rsidP="6FF303C8">
      <w:pPr>
        <w:spacing w:after="0"/>
      </w:pPr>
      <w:r w:rsidRPr="6FF303C8">
        <w:rPr>
          <w:rFonts w:ascii="Arial" w:eastAsia="Arial" w:hAnsi="Arial" w:cs="Arial"/>
          <w:sz w:val="20"/>
          <w:szCs w:val="20"/>
        </w:rPr>
        <w:t xml:space="preserve"> </w:t>
      </w:r>
    </w:p>
    <w:p w14:paraId="4BAC385E" w14:textId="2EE23998" w:rsidR="663A3E88" w:rsidRDefault="663A3E88" w:rsidP="6FF303C8">
      <w:pPr>
        <w:pStyle w:val="ListParagraph"/>
        <w:numPr>
          <w:ilvl w:val="0"/>
          <w:numId w:val="1"/>
        </w:numPr>
        <w:spacing w:after="0"/>
        <w:rPr>
          <w:rFonts w:ascii="Arial" w:eastAsia="Arial" w:hAnsi="Arial" w:cs="Arial"/>
          <w:sz w:val="20"/>
          <w:szCs w:val="20"/>
        </w:rPr>
      </w:pPr>
      <w:r w:rsidRPr="6FF303C8">
        <w:rPr>
          <w:rFonts w:ascii="Arial" w:eastAsia="Arial" w:hAnsi="Arial" w:cs="Arial"/>
          <w:sz w:val="20"/>
          <w:szCs w:val="20"/>
        </w:rPr>
        <w:t>The role of transport economics in valuing resilience</w:t>
      </w:r>
    </w:p>
    <w:p w14:paraId="04F9A723" w14:textId="127C73BC" w:rsidR="663A3E88" w:rsidRDefault="663A3E88" w:rsidP="6FF303C8">
      <w:pPr>
        <w:pStyle w:val="ListParagraph"/>
        <w:numPr>
          <w:ilvl w:val="0"/>
          <w:numId w:val="1"/>
        </w:numPr>
        <w:spacing w:after="0"/>
        <w:rPr>
          <w:rFonts w:ascii="Arial" w:eastAsia="Arial" w:hAnsi="Arial" w:cs="Arial"/>
          <w:sz w:val="20"/>
          <w:szCs w:val="20"/>
        </w:rPr>
      </w:pPr>
      <w:r w:rsidRPr="6FF303C8">
        <w:rPr>
          <w:rFonts w:ascii="Arial" w:eastAsia="Arial" w:hAnsi="Arial" w:cs="Arial"/>
          <w:sz w:val="20"/>
          <w:szCs w:val="20"/>
        </w:rPr>
        <w:t>Methods for quantifying avoided disruption and long-term savings</w:t>
      </w:r>
    </w:p>
    <w:p w14:paraId="7527DBD4" w14:textId="6C37C087" w:rsidR="663A3E88" w:rsidRDefault="663A3E88" w:rsidP="6FF303C8">
      <w:pPr>
        <w:pStyle w:val="ListParagraph"/>
        <w:numPr>
          <w:ilvl w:val="0"/>
          <w:numId w:val="1"/>
        </w:numPr>
        <w:spacing w:after="0"/>
        <w:rPr>
          <w:rFonts w:ascii="Arial" w:eastAsia="Arial" w:hAnsi="Arial" w:cs="Arial"/>
          <w:sz w:val="20"/>
          <w:szCs w:val="20"/>
        </w:rPr>
      </w:pPr>
      <w:r w:rsidRPr="6FF303C8">
        <w:rPr>
          <w:rFonts w:ascii="Arial" w:eastAsia="Arial" w:hAnsi="Arial" w:cs="Arial"/>
          <w:sz w:val="20"/>
          <w:szCs w:val="20"/>
        </w:rPr>
        <w:t>Case studies of resilience in business cases</w:t>
      </w:r>
    </w:p>
    <w:p w14:paraId="52782ED0" w14:textId="444FD098" w:rsidR="663A3E88" w:rsidRDefault="663A3E88" w:rsidP="6FF303C8">
      <w:pPr>
        <w:pStyle w:val="ListParagraph"/>
        <w:numPr>
          <w:ilvl w:val="0"/>
          <w:numId w:val="1"/>
        </w:numPr>
        <w:spacing w:after="0"/>
        <w:rPr>
          <w:rFonts w:ascii="Arial" w:eastAsia="Arial" w:hAnsi="Arial" w:cs="Arial"/>
          <w:sz w:val="20"/>
          <w:szCs w:val="20"/>
        </w:rPr>
      </w:pPr>
      <w:r w:rsidRPr="6FF303C8">
        <w:rPr>
          <w:rFonts w:ascii="Arial" w:eastAsia="Arial" w:hAnsi="Arial" w:cs="Arial"/>
          <w:sz w:val="20"/>
          <w:szCs w:val="20"/>
        </w:rPr>
        <w:t>Lessons learned and recommendations for practitioners</w:t>
      </w:r>
    </w:p>
    <w:p w14:paraId="7DAF9FC1" w14:textId="65B66B88" w:rsidR="663A3E88" w:rsidRDefault="663A3E88" w:rsidP="6FF303C8">
      <w:pPr>
        <w:spacing w:after="0"/>
      </w:pPr>
      <w:r w:rsidRPr="6FF303C8">
        <w:rPr>
          <w:rFonts w:ascii="Arial" w:eastAsia="Arial" w:hAnsi="Arial" w:cs="Arial"/>
          <w:sz w:val="20"/>
          <w:szCs w:val="20"/>
        </w:rPr>
        <w:t xml:space="preserve"> </w:t>
      </w:r>
    </w:p>
    <w:p w14:paraId="01455FAE" w14:textId="6C9D8059" w:rsidR="663A3E88" w:rsidRDefault="663A3E88" w:rsidP="6FF303C8">
      <w:pPr>
        <w:spacing w:after="0"/>
      </w:pPr>
      <w:r w:rsidRPr="6FF303C8">
        <w:rPr>
          <w:rFonts w:ascii="Arial" w:eastAsia="Arial" w:hAnsi="Arial" w:cs="Arial"/>
          <w:sz w:val="20"/>
          <w:szCs w:val="20"/>
        </w:rPr>
        <w:t xml:space="preserve">By reframing resilience as a measurable and </w:t>
      </w:r>
      <w:proofErr w:type="spellStart"/>
      <w:r w:rsidRPr="6FF303C8">
        <w:rPr>
          <w:rFonts w:ascii="Arial" w:eastAsia="Arial" w:hAnsi="Arial" w:cs="Arial"/>
          <w:sz w:val="20"/>
          <w:szCs w:val="20"/>
        </w:rPr>
        <w:t>monetisable</w:t>
      </w:r>
      <w:proofErr w:type="spellEnd"/>
      <w:r w:rsidRPr="6FF303C8">
        <w:rPr>
          <w:rFonts w:ascii="Arial" w:eastAsia="Arial" w:hAnsi="Arial" w:cs="Arial"/>
          <w:sz w:val="20"/>
          <w:szCs w:val="20"/>
        </w:rPr>
        <w:t xml:space="preserve"> benefit, this presentation supports smarter, future-ready infrastructure decisions.</w:t>
      </w:r>
    </w:p>
    <w:p w14:paraId="2A91277F" w14:textId="0B29234C" w:rsidR="6FF303C8" w:rsidRDefault="6FF303C8" w:rsidP="6FF303C8">
      <w:pPr>
        <w:spacing w:after="0"/>
        <w:rPr>
          <w:rFonts w:ascii="Arial" w:eastAsia="Arial" w:hAnsi="Arial" w:cs="Arial"/>
          <w:sz w:val="20"/>
          <w:szCs w:val="20"/>
        </w:rPr>
      </w:pPr>
    </w:p>
    <w:p w14:paraId="226F8DF2" w14:textId="3FE5EA12" w:rsidR="6FF303C8" w:rsidRDefault="6FF303C8" w:rsidP="6FF303C8">
      <w:pPr>
        <w:rPr>
          <w:rFonts w:ascii="Montserrat" w:hAnsi="Montserrat"/>
        </w:rPr>
      </w:pPr>
    </w:p>
    <w:sectPr w:rsidR="6FF303C8">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E8CEEA" w14:textId="77777777" w:rsidR="00C11ED7" w:rsidRDefault="00C11ED7" w:rsidP="00C11ED7">
      <w:pPr>
        <w:spacing w:after="0" w:line="240" w:lineRule="auto"/>
      </w:pPr>
      <w:r>
        <w:separator/>
      </w:r>
    </w:p>
  </w:endnote>
  <w:endnote w:type="continuationSeparator" w:id="0">
    <w:p w14:paraId="73CC119B" w14:textId="77777777" w:rsidR="00C11ED7" w:rsidRDefault="00C11ED7" w:rsidP="00C11E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Montserrat">
    <w:panose1 w:val="00000000000000000000"/>
    <w:charset w:val="00"/>
    <w:family w:val="auto"/>
    <w:pitch w:val="variable"/>
    <w:sig w:usb0="A00002FF" w:usb1="4000207B" w:usb2="00000000" w:usb3="00000000" w:csb0="00000197"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15083D" w14:textId="3D25F34A" w:rsidR="00C11ED7" w:rsidRPr="00C11ED7" w:rsidRDefault="00C11ED7">
    <w:pPr>
      <w:pStyle w:val="Footer"/>
      <w:rPr>
        <w:rFonts w:ascii="Montserrat" w:hAnsi="Montserrat"/>
      </w:rPr>
    </w:pPr>
    <w:r w:rsidRPr="00C11ED7">
      <w:rPr>
        <w:rFonts w:ascii="Montserrat" w:hAnsi="Montserrat"/>
      </w:rPr>
      <w:t>Transportation Conference 2026 – Call for Abstracts submission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744F66" w14:textId="77777777" w:rsidR="00C11ED7" w:rsidRDefault="00C11ED7" w:rsidP="00C11ED7">
      <w:pPr>
        <w:spacing w:after="0" w:line="240" w:lineRule="auto"/>
      </w:pPr>
      <w:r>
        <w:separator/>
      </w:r>
    </w:p>
  </w:footnote>
  <w:footnote w:type="continuationSeparator" w:id="0">
    <w:p w14:paraId="61E8FA07" w14:textId="77777777" w:rsidR="00C11ED7" w:rsidRDefault="00C11ED7" w:rsidP="00C11E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F76620" w14:textId="769139FB" w:rsidR="00C11ED7" w:rsidRDefault="00C11ED7">
    <w:pPr>
      <w:pStyle w:val="Header"/>
    </w:pPr>
    <w:r>
      <w:rPr>
        <w:noProof/>
      </w:rPr>
      <w:drawing>
        <wp:anchor distT="0" distB="0" distL="114300" distR="114300" simplePos="0" relativeHeight="251658240" behindDoc="0" locked="0" layoutInCell="1" allowOverlap="1" wp14:anchorId="3C6A55FC" wp14:editId="10C58CCE">
          <wp:simplePos x="0" y="0"/>
          <wp:positionH relativeFrom="page">
            <wp:align>left</wp:align>
          </wp:positionH>
          <wp:positionV relativeFrom="paragraph">
            <wp:posOffset>-440055</wp:posOffset>
          </wp:positionV>
          <wp:extent cx="7595235" cy="1572895"/>
          <wp:effectExtent l="0" t="0" r="5715" b="8255"/>
          <wp:wrapThrough wrapText="bothSides">
            <wp:wrapPolygon edited="0">
              <wp:start x="0" y="0"/>
              <wp:lineTo x="0" y="21452"/>
              <wp:lineTo x="21562" y="21452"/>
              <wp:lineTo x="21562" y="0"/>
              <wp:lineTo x="0" y="0"/>
            </wp:wrapPolygon>
          </wp:wrapThrough>
          <wp:docPr id="182708088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7080884"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595818" cy="157293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713D32F"/>
    <w:multiLevelType w:val="hybridMultilevel"/>
    <w:tmpl w:val="FFFFFFFF"/>
    <w:lvl w:ilvl="0" w:tplc="E4CE501C">
      <w:start w:val="1"/>
      <w:numFmt w:val="bullet"/>
      <w:lvlText w:val="·"/>
      <w:lvlJc w:val="left"/>
      <w:pPr>
        <w:ind w:left="720" w:hanging="360"/>
      </w:pPr>
      <w:rPr>
        <w:rFonts w:ascii="Symbol" w:hAnsi="Symbol" w:hint="default"/>
      </w:rPr>
    </w:lvl>
    <w:lvl w:ilvl="1" w:tplc="93A6E71A">
      <w:start w:val="1"/>
      <w:numFmt w:val="bullet"/>
      <w:lvlText w:val="o"/>
      <w:lvlJc w:val="left"/>
      <w:pPr>
        <w:ind w:left="1440" w:hanging="360"/>
      </w:pPr>
      <w:rPr>
        <w:rFonts w:ascii="Courier New" w:hAnsi="Courier New" w:hint="default"/>
      </w:rPr>
    </w:lvl>
    <w:lvl w:ilvl="2" w:tplc="6DEC738A">
      <w:start w:val="1"/>
      <w:numFmt w:val="bullet"/>
      <w:lvlText w:val=""/>
      <w:lvlJc w:val="left"/>
      <w:pPr>
        <w:ind w:left="2160" w:hanging="360"/>
      </w:pPr>
      <w:rPr>
        <w:rFonts w:ascii="Wingdings" w:hAnsi="Wingdings" w:hint="default"/>
      </w:rPr>
    </w:lvl>
    <w:lvl w:ilvl="3" w:tplc="16D65402">
      <w:start w:val="1"/>
      <w:numFmt w:val="bullet"/>
      <w:lvlText w:val=""/>
      <w:lvlJc w:val="left"/>
      <w:pPr>
        <w:ind w:left="2880" w:hanging="360"/>
      </w:pPr>
      <w:rPr>
        <w:rFonts w:ascii="Symbol" w:hAnsi="Symbol" w:hint="default"/>
      </w:rPr>
    </w:lvl>
    <w:lvl w:ilvl="4" w:tplc="56486BFA">
      <w:start w:val="1"/>
      <w:numFmt w:val="bullet"/>
      <w:lvlText w:val="o"/>
      <w:lvlJc w:val="left"/>
      <w:pPr>
        <w:ind w:left="3600" w:hanging="360"/>
      </w:pPr>
      <w:rPr>
        <w:rFonts w:ascii="Courier New" w:hAnsi="Courier New" w:hint="default"/>
      </w:rPr>
    </w:lvl>
    <w:lvl w:ilvl="5" w:tplc="CC2088A8">
      <w:start w:val="1"/>
      <w:numFmt w:val="bullet"/>
      <w:lvlText w:val=""/>
      <w:lvlJc w:val="left"/>
      <w:pPr>
        <w:ind w:left="4320" w:hanging="360"/>
      </w:pPr>
      <w:rPr>
        <w:rFonts w:ascii="Wingdings" w:hAnsi="Wingdings" w:hint="default"/>
      </w:rPr>
    </w:lvl>
    <w:lvl w:ilvl="6" w:tplc="32EAC3FA">
      <w:start w:val="1"/>
      <w:numFmt w:val="bullet"/>
      <w:lvlText w:val=""/>
      <w:lvlJc w:val="left"/>
      <w:pPr>
        <w:ind w:left="5040" w:hanging="360"/>
      </w:pPr>
      <w:rPr>
        <w:rFonts w:ascii="Symbol" w:hAnsi="Symbol" w:hint="default"/>
      </w:rPr>
    </w:lvl>
    <w:lvl w:ilvl="7" w:tplc="0A5231C8">
      <w:start w:val="1"/>
      <w:numFmt w:val="bullet"/>
      <w:lvlText w:val="o"/>
      <w:lvlJc w:val="left"/>
      <w:pPr>
        <w:ind w:left="5760" w:hanging="360"/>
      </w:pPr>
      <w:rPr>
        <w:rFonts w:ascii="Courier New" w:hAnsi="Courier New" w:hint="default"/>
      </w:rPr>
    </w:lvl>
    <w:lvl w:ilvl="8" w:tplc="3BA8F88E">
      <w:start w:val="1"/>
      <w:numFmt w:val="bullet"/>
      <w:lvlText w:val=""/>
      <w:lvlJc w:val="left"/>
      <w:pPr>
        <w:ind w:left="6480" w:hanging="360"/>
      </w:pPr>
      <w:rPr>
        <w:rFonts w:ascii="Wingdings" w:hAnsi="Wingdings" w:hint="default"/>
      </w:rPr>
    </w:lvl>
  </w:abstractNum>
  <w:num w:numId="1" w16cid:durableId="9873950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1ED7"/>
    <w:rsid w:val="00110000"/>
    <w:rsid w:val="00123D60"/>
    <w:rsid w:val="001C5FFF"/>
    <w:rsid w:val="00390915"/>
    <w:rsid w:val="00483E07"/>
    <w:rsid w:val="0053583D"/>
    <w:rsid w:val="00624A9B"/>
    <w:rsid w:val="00C11ED7"/>
    <w:rsid w:val="00CB6FCE"/>
    <w:rsid w:val="00CF7C30"/>
    <w:rsid w:val="00E1754B"/>
    <w:rsid w:val="663A3E88"/>
    <w:rsid w:val="6FF303C8"/>
    <w:rsid w:val="7C78ADD2"/>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2AC3A4"/>
  <w15:chartTrackingRefBased/>
  <w15:docId w15:val="{9240CF79-14A6-4C11-983F-943071FDB7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N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11ED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11ED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11ED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11ED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11ED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11ED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11ED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11ED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11ED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11ED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11ED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11ED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11ED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11ED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11ED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11ED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11ED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11ED7"/>
    <w:rPr>
      <w:rFonts w:eastAsiaTheme="majorEastAsia" w:cstheme="majorBidi"/>
      <w:color w:val="272727" w:themeColor="text1" w:themeTint="D8"/>
    </w:rPr>
  </w:style>
  <w:style w:type="paragraph" w:styleId="Title">
    <w:name w:val="Title"/>
    <w:basedOn w:val="Normal"/>
    <w:next w:val="Normal"/>
    <w:link w:val="TitleChar"/>
    <w:uiPriority w:val="10"/>
    <w:qFormat/>
    <w:rsid w:val="00C11ED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1ED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11ED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11ED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11ED7"/>
    <w:pPr>
      <w:spacing w:before="160"/>
      <w:jc w:val="center"/>
    </w:pPr>
    <w:rPr>
      <w:i/>
      <w:iCs/>
      <w:color w:val="404040" w:themeColor="text1" w:themeTint="BF"/>
    </w:rPr>
  </w:style>
  <w:style w:type="character" w:customStyle="1" w:styleId="QuoteChar">
    <w:name w:val="Quote Char"/>
    <w:basedOn w:val="DefaultParagraphFont"/>
    <w:link w:val="Quote"/>
    <w:uiPriority w:val="29"/>
    <w:rsid w:val="00C11ED7"/>
    <w:rPr>
      <w:i/>
      <w:iCs/>
      <w:color w:val="404040" w:themeColor="text1" w:themeTint="BF"/>
    </w:rPr>
  </w:style>
  <w:style w:type="paragraph" w:styleId="ListParagraph">
    <w:name w:val="List Paragraph"/>
    <w:basedOn w:val="Normal"/>
    <w:uiPriority w:val="34"/>
    <w:qFormat/>
    <w:rsid w:val="00C11ED7"/>
    <w:pPr>
      <w:ind w:left="720"/>
      <w:contextualSpacing/>
    </w:pPr>
  </w:style>
  <w:style w:type="character" w:styleId="IntenseEmphasis">
    <w:name w:val="Intense Emphasis"/>
    <w:basedOn w:val="DefaultParagraphFont"/>
    <w:uiPriority w:val="21"/>
    <w:qFormat/>
    <w:rsid w:val="00C11ED7"/>
    <w:rPr>
      <w:i/>
      <w:iCs/>
      <w:color w:val="0F4761" w:themeColor="accent1" w:themeShade="BF"/>
    </w:rPr>
  </w:style>
  <w:style w:type="paragraph" w:styleId="IntenseQuote">
    <w:name w:val="Intense Quote"/>
    <w:basedOn w:val="Normal"/>
    <w:next w:val="Normal"/>
    <w:link w:val="IntenseQuoteChar"/>
    <w:uiPriority w:val="30"/>
    <w:qFormat/>
    <w:rsid w:val="00C11ED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11ED7"/>
    <w:rPr>
      <w:i/>
      <w:iCs/>
      <w:color w:val="0F4761" w:themeColor="accent1" w:themeShade="BF"/>
    </w:rPr>
  </w:style>
  <w:style w:type="character" w:styleId="IntenseReference">
    <w:name w:val="Intense Reference"/>
    <w:basedOn w:val="DefaultParagraphFont"/>
    <w:uiPriority w:val="32"/>
    <w:qFormat/>
    <w:rsid w:val="00C11ED7"/>
    <w:rPr>
      <w:b/>
      <w:bCs/>
      <w:smallCaps/>
      <w:color w:val="0F4761" w:themeColor="accent1" w:themeShade="BF"/>
      <w:spacing w:val="5"/>
    </w:rPr>
  </w:style>
  <w:style w:type="paragraph" w:styleId="Header">
    <w:name w:val="header"/>
    <w:basedOn w:val="Normal"/>
    <w:link w:val="HeaderChar"/>
    <w:uiPriority w:val="99"/>
    <w:unhideWhenUsed/>
    <w:rsid w:val="00C11ED7"/>
    <w:pPr>
      <w:tabs>
        <w:tab w:val="center" w:pos="4513"/>
        <w:tab w:val="right" w:pos="9026"/>
      </w:tabs>
      <w:spacing w:after="0" w:line="240" w:lineRule="auto"/>
    </w:pPr>
  </w:style>
  <w:style w:type="character" w:customStyle="1" w:styleId="HeaderChar">
    <w:name w:val="Header Char"/>
    <w:basedOn w:val="DefaultParagraphFont"/>
    <w:link w:val="Header"/>
    <w:uiPriority w:val="99"/>
    <w:rsid w:val="00C11ED7"/>
  </w:style>
  <w:style w:type="paragraph" w:styleId="Footer">
    <w:name w:val="footer"/>
    <w:basedOn w:val="Normal"/>
    <w:link w:val="FooterChar"/>
    <w:uiPriority w:val="99"/>
    <w:unhideWhenUsed/>
    <w:rsid w:val="00C11ED7"/>
    <w:pPr>
      <w:tabs>
        <w:tab w:val="center" w:pos="4513"/>
        <w:tab w:val="right" w:pos="9026"/>
      </w:tabs>
      <w:spacing w:after="0" w:line="240" w:lineRule="auto"/>
    </w:pPr>
  </w:style>
  <w:style w:type="character" w:customStyle="1" w:styleId="FooterChar">
    <w:name w:val="Footer Char"/>
    <w:basedOn w:val="DefaultParagraphFont"/>
    <w:link w:val="Footer"/>
    <w:uiPriority w:val="99"/>
    <w:rsid w:val="00C11E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59096ad9-8b60-446a-90b7-017dbb9421a3}" enabled="1" method="Standard" siteId="{3d234255-e20f-4205-88a5-9658a402999b}" removed="0"/>
</clbl:labelList>
</file>

<file path=docProps/app.xml><?xml version="1.0" encoding="utf-8"?>
<Properties xmlns="http://schemas.openxmlformats.org/officeDocument/2006/extended-properties" xmlns:vt="http://schemas.openxmlformats.org/officeDocument/2006/docPropsVTypes">
  <Template>Normal</Template>
  <TotalTime>1</TotalTime>
  <Pages>1</Pages>
  <Words>328</Words>
  <Characters>1875</Characters>
  <Application>Microsoft Office Word</Application>
  <DocSecurity>0</DocSecurity>
  <Lines>15</Lines>
  <Paragraphs>4</Paragraphs>
  <ScaleCrop>false</ScaleCrop>
  <Company/>
  <LinksUpToDate>false</LinksUpToDate>
  <CharactersWithSpaces>2199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Glenda Gallagher</dc:creator>
  <cp:keywords/>
  <dc:description/>
  <cp:lastModifiedBy>Cui, Emma</cp:lastModifiedBy>
  <cp:revision>2</cp:revision>
  <dcterms:created xsi:type="dcterms:W3CDTF">2025-08-07T23:32:00Z</dcterms:created>
  <dcterms:modified xsi:type="dcterms:W3CDTF">2025-08-07T23:32:00Z</dcterms:modified>
</cp:coreProperties>
</file>