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23D57" w14:textId="77777777" w:rsidR="006714FC" w:rsidRPr="004F6DA0" w:rsidRDefault="006714FC" w:rsidP="006714FC">
      <w:pPr>
        <w:jc w:val="center"/>
        <w:outlineLvl w:val="0"/>
        <w:rPr>
          <w:rFonts w:cs="Arial"/>
          <w:b/>
          <w:sz w:val="28"/>
          <w:szCs w:val="28"/>
        </w:rPr>
      </w:pPr>
      <w:r w:rsidRPr="004F6DA0">
        <w:rPr>
          <w:rFonts w:cs="Arial"/>
          <w:b/>
          <w:sz w:val="28"/>
          <w:szCs w:val="28"/>
        </w:rPr>
        <w:t>A FREIGHT DISTRIBUTION EXERCISE</w:t>
      </w:r>
    </w:p>
    <w:p w14:paraId="2709D17E" w14:textId="77777777" w:rsidR="00B60DCC" w:rsidRDefault="00B60DCC" w:rsidP="00B60DCC">
      <w:pPr>
        <w:widowControl/>
        <w:autoSpaceDE/>
        <w:autoSpaceDN/>
        <w:adjustRightInd/>
        <w:jc w:val="center"/>
        <w:rPr>
          <w:rFonts w:cs="Arial"/>
          <w:b/>
          <w:sz w:val="24"/>
        </w:rPr>
      </w:pPr>
    </w:p>
    <w:p w14:paraId="3057ECAD" w14:textId="37F40252" w:rsidR="006714FC" w:rsidRPr="00B60DCC" w:rsidRDefault="00B60DCC" w:rsidP="00B60DCC">
      <w:pPr>
        <w:widowControl/>
        <w:autoSpaceDE/>
        <w:autoSpaceDN/>
        <w:adjustRightInd/>
        <w:jc w:val="center"/>
        <w:rPr>
          <w:rFonts w:cs="Arial"/>
          <w:b/>
          <w:sz w:val="24"/>
        </w:rPr>
      </w:pPr>
      <w:r>
        <w:rPr>
          <w:rFonts w:cs="Arial"/>
          <w:b/>
          <w:sz w:val="24"/>
        </w:rPr>
        <w:t>THIS PAPER HAS BEEN PEER REVIEWED</w:t>
      </w:r>
    </w:p>
    <w:p w14:paraId="381F79EC" w14:textId="77777777" w:rsidR="006714FC" w:rsidRDefault="006714FC">
      <w:pPr>
        <w:widowControl/>
        <w:autoSpaceDE/>
        <w:autoSpaceDN/>
        <w:adjustRightInd/>
        <w:jc w:val="left"/>
        <w:rPr>
          <w:rFonts w:cs="Arial"/>
          <w:b/>
          <w:sz w:val="28"/>
          <w:szCs w:val="28"/>
        </w:rPr>
      </w:pPr>
    </w:p>
    <w:p w14:paraId="2A951ABE" w14:textId="77777777" w:rsidR="006714FC" w:rsidRDefault="006714FC" w:rsidP="006714FC">
      <w:pPr>
        <w:pStyle w:val="Heading1"/>
      </w:pPr>
      <w:r>
        <w:t>Authors:</w:t>
      </w:r>
    </w:p>
    <w:p w14:paraId="352FB3DB" w14:textId="77777777" w:rsidR="006714FC" w:rsidRDefault="00842C01" w:rsidP="006714FC">
      <w:pPr>
        <w:rPr>
          <w:lang w:val="en-US"/>
        </w:rPr>
      </w:pPr>
      <w:r>
        <w:rPr>
          <w:lang w:val="en-US"/>
        </w:rPr>
        <w:t>Patricio Gallardo (Presenter)</w:t>
      </w:r>
    </w:p>
    <w:p w14:paraId="0213A151" w14:textId="77777777" w:rsidR="00842C01" w:rsidRDefault="00842C01" w:rsidP="006714FC">
      <w:pPr>
        <w:rPr>
          <w:lang w:val="en-US"/>
        </w:rPr>
      </w:pPr>
      <w:r>
        <w:rPr>
          <w:lang w:val="en-US"/>
        </w:rPr>
        <w:tab/>
        <w:t>Master of Engineering in Sustainable Energy</w:t>
      </w:r>
      <w:r w:rsidR="00B86932">
        <w:rPr>
          <w:lang w:val="en-US"/>
        </w:rPr>
        <w:t xml:space="preserve"> (Royal Melbourne Institute of Technology)</w:t>
      </w:r>
    </w:p>
    <w:p w14:paraId="46206236" w14:textId="77777777" w:rsidR="00842C01" w:rsidRDefault="00842C01" w:rsidP="00842C01">
      <w:pPr>
        <w:ind w:firstLine="720"/>
        <w:rPr>
          <w:lang w:val="en-US"/>
        </w:rPr>
      </w:pPr>
      <w:r>
        <w:rPr>
          <w:lang w:val="en-US"/>
        </w:rPr>
        <w:t>PhD Candidate at the University of Canterbury</w:t>
      </w:r>
    </w:p>
    <w:p w14:paraId="63649DE4" w14:textId="77777777" w:rsidR="00842C01" w:rsidRDefault="00842C01" w:rsidP="006714FC">
      <w:pPr>
        <w:rPr>
          <w:lang w:val="en-US"/>
        </w:rPr>
      </w:pPr>
      <w:r>
        <w:rPr>
          <w:lang w:val="en-US"/>
        </w:rPr>
        <w:tab/>
        <w:t>Email: p</w:t>
      </w:r>
      <w:r w:rsidRPr="00842C01">
        <w:rPr>
          <w:lang w:val="en-US"/>
        </w:rPr>
        <w:t>atricio.gallardoocampo@pg.canterbury.ac.nz</w:t>
      </w:r>
    </w:p>
    <w:p w14:paraId="260A105E" w14:textId="77777777" w:rsidR="00EC3488" w:rsidRDefault="00EC3488" w:rsidP="006714FC">
      <w:pPr>
        <w:rPr>
          <w:lang w:val="en-US"/>
        </w:rPr>
      </w:pPr>
      <w:r>
        <w:rPr>
          <w:lang w:val="en-US"/>
        </w:rPr>
        <w:t xml:space="preserve">Daniel Bishop </w:t>
      </w:r>
    </w:p>
    <w:p w14:paraId="6B22A623" w14:textId="77777777" w:rsidR="00EC3488" w:rsidRDefault="00EC3488" w:rsidP="00EC3488">
      <w:pPr>
        <w:ind w:firstLine="720"/>
        <w:rPr>
          <w:lang w:val="en-US"/>
        </w:rPr>
      </w:pPr>
      <w:r>
        <w:rPr>
          <w:lang w:val="en-US"/>
        </w:rPr>
        <w:t>Bachelor of Engineering (University of Canterbury)</w:t>
      </w:r>
    </w:p>
    <w:p w14:paraId="2B4C6B33" w14:textId="77777777" w:rsidR="00EC3488" w:rsidRDefault="00EC3488" w:rsidP="00EC3488">
      <w:pPr>
        <w:ind w:firstLine="720"/>
        <w:rPr>
          <w:lang w:val="en-US"/>
        </w:rPr>
      </w:pPr>
      <w:r>
        <w:rPr>
          <w:lang w:val="en-US"/>
        </w:rPr>
        <w:t>PhD Candidate at the University of Canterbury</w:t>
      </w:r>
    </w:p>
    <w:p w14:paraId="2DB95F51" w14:textId="27EA8CDA" w:rsidR="00EC3488" w:rsidRDefault="00EC3488" w:rsidP="00EC3488">
      <w:pPr>
        <w:rPr>
          <w:lang w:val="en-US"/>
        </w:rPr>
      </w:pPr>
      <w:r>
        <w:rPr>
          <w:lang w:val="en-US"/>
        </w:rPr>
        <w:tab/>
        <w:t xml:space="preserve">Email: </w:t>
      </w:r>
      <w:r w:rsidR="00894CB7">
        <w:rPr>
          <w:lang w:val="en-US"/>
        </w:rPr>
        <w:t>daniel.bishop</w:t>
      </w:r>
      <w:r w:rsidRPr="00842C01">
        <w:rPr>
          <w:lang w:val="en-US"/>
        </w:rPr>
        <w:t>@canterbury.ac.nz</w:t>
      </w:r>
    </w:p>
    <w:p w14:paraId="3B8A6D75" w14:textId="77777777" w:rsidR="00842C01" w:rsidRDefault="00842C01" w:rsidP="006714FC">
      <w:pPr>
        <w:rPr>
          <w:lang w:val="en-US"/>
        </w:rPr>
      </w:pPr>
      <w:r>
        <w:rPr>
          <w:lang w:val="en-US"/>
        </w:rPr>
        <w:t>Dr. Rua Murray</w:t>
      </w:r>
    </w:p>
    <w:p w14:paraId="489602D6" w14:textId="77777777" w:rsidR="00842C01" w:rsidRDefault="00842C01" w:rsidP="00842C01">
      <w:pPr>
        <w:rPr>
          <w:lang w:val="en-US"/>
        </w:rPr>
      </w:pPr>
      <w:r>
        <w:rPr>
          <w:lang w:val="en-US"/>
        </w:rPr>
        <w:tab/>
        <w:t>Doctor of Philosophy (University of Cambridge)</w:t>
      </w:r>
    </w:p>
    <w:p w14:paraId="3DF7A3B5" w14:textId="77777777" w:rsidR="00842C01" w:rsidRDefault="00842C01" w:rsidP="00842C01">
      <w:pPr>
        <w:ind w:firstLine="720"/>
        <w:rPr>
          <w:lang w:val="en-US"/>
        </w:rPr>
      </w:pPr>
      <w:r>
        <w:rPr>
          <w:lang w:val="en-US"/>
        </w:rPr>
        <w:t>Professor from the Mathematics and Statistics Department at the University of Canterbury</w:t>
      </w:r>
    </w:p>
    <w:p w14:paraId="60503A08" w14:textId="77777777" w:rsidR="00842C01" w:rsidRDefault="00842C01" w:rsidP="00842C01">
      <w:pPr>
        <w:rPr>
          <w:lang w:val="en-US"/>
        </w:rPr>
      </w:pPr>
      <w:r>
        <w:rPr>
          <w:lang w:val="en-US"/>
        </w:rPr>
        <w:tab/>
        <w:t xml:space="preserve">Email: </w:t>
      </w:r>
      <w:r w:rsidRPr="00842C01">
        <w:rPr>
          <w:lang w:val="en-US"/>
        </w:rPr>
        <w:t>rua.murray@canterbury.ac.nz</w:t>
      </w:r>
    </w:p>
    <w:p w14:paraId="00CF389A" w14:textId="77777777" w:rsidR="00842C01" w:rsidRDefault="00842C01" w:rsidP="00842C01">
      <w:pPr>
        <w:rPr>
          <w:lang w:val="en-US"/>
        </w:rPr>
      </w:pPr>
      <w:r>
        <w:rPr>
          <w:lang w:val="en-US"/>
        </w:rPr>
        <w:t>Dr. Susan Krumdieck</w:t>
      </w:r>
    </w:p>
    <w:p w14:paraId="28BB0A71" w14:textId="77777777" w:rsidR="00842C01" w:rsidRDefault="00842C01" w:rsidP="00842C01">
      <w:pPr>
        <w:rPr>
          <w:lang w:val="en-US"/>
        </w:rPr>
      </w:pPr>
      <w:r>
        <w:rPr>
          <w:lang w:val="en-US"/>
        </w:rPr>
        <w:tab/>
        <w:t>Doctor of Philosophy (University of Colorado)</w:t>
      </w:r>
    </w:p>
    <w:p w14:paraId="2A8C681F" w14:textId="77777777" w:rsidR="00842C01" w:rsidRDefault="00842C01" w:rsidP="00842C01">
      <w:pPr>
        <w:ind w:firstLine="720"/>
        <w:rPr>
          <w:lang w:val="en-US"/>
        </w:rPr>
      </w:pPr>
      <w:r>
        <w:rPr>
          <w:lang w:val="en-US"/>
        </w:rPr>
        <w:t>Professor from the Mechanical Engineering Department at the University of Canterbury</w:t>
      </w:r>
    </w:p>
    <w:p w14:paraId="67832EC9" w14:textId="77777777" w:rsidR="00842C01" w:rsidRPr="006714FC" w:rsidRDefault="00842C01" w:rsidP="00842C01">
      <w:pPr>
        <w:ind w:firstLine="720"/>
        <w:rPr>
          <w:lang w:val="en-US"/>
        </w:rPr>
      </w:pPr>
      <w:r>
        <w:rPr>
          <w:lang w:val="en-US"/>
        </w:rPr>
        <w:t xml:space="preserve">Email: </w:t>
      </w:r>
      <w:r w:rsidRPr="00842C01">
        <w:rPr>
          <w:lang w:val="en-US"/>
        </w:rPr>
        <w:t>susan.krumdieck@canterbury.ac.nz</w:t>
      </w:r>
    </w:p>
    <w:p w14:paraId="2EA6BC16" w14:textId="77777777" w:rsidR="006714FC" w:rsidRDefault="006714FC">
      <w:pPr>
        <w:widowControl/>
        <w:autoSpaceDE/>
        <w:autoSpaceDN/>
        <w:adjustRightInd/>
        <w:jc w:val="left"/>
        <w:rPr>
          <w:rFonts w:cs="Arial"/>
          <w:b/>
          <w:sz w:val="28"/>
          <w:szCs w:val="28"/>
        </w:rPr>
      </w:pPr>
      <w:r>
        <w:rPr>
          <w:rFonts w:cs="Arial"/>
          <w:b/>
          <w:sz w:val="28"/>
          <w:szCs w:val="28"/>
        </w:rPr>
        <w:br w:type="page"/>
      </w:r>
    </w:p>
    <w:p w14:paraId="4D8A58BB" w14:textId="77777777" w:rsidR="004F6DA0" w:rsidRPr="004F6DA0" w:rsidRDefault="004F6DA0" w:rsidP="004F6DA0">
      <w:pPr>
        <w:jc w:val="center"/>
        <w:outlineLvl w:val="0"/>
        <w:rPr>
          <w:rFonts w:cs="Arial"/>
          <w:b/>
          <w:sz w:val="28"/>
          <w:szCs w:val="28"/>
        </w:rPr>
      </w:pPr>
      <w:r w:rsidRPr="004F6DA0">
        <w:rPr>
          <w:rFonts w:cs="Arial"/>
          <w:b/>
          <w:sz w:val="28"/>
          <w:szCs w:val="28"/>
        </w:rPr>
        <w:lastRenderedPageBreak/>
        <w:t>A FREIGHT DISTRIBUTION EXERCISE</w:t>
      </w:r>
    </w:p>
    <w:p w14:paraId="4F7AD560" w14:textId="77777777" w:rsidR="004F6DA0" w:rsidRPr="001044E4" w:rsidRDefault="004F6DA0" w:rsidP="004F6DA0">
      <w:pPr>
        <w:pStyle w:val="Heading1"/>
      </w:pPr>
      <w:r w:rsidRPr="0046738E">
        <w:t>Abstract</w:t>
      </w:r>
    </w:p>
    <w:p w14:paraId="36589CBE" w14:textId="786BD0E5" w:rsidR="004F6DA0" w:rsidRDefault="00396C99" w:rsidP="004F6DA0">
      <w:r>
        <w:t xml:space="preserve">Current state-of-the-art freight transport models capture </w:t>
      </w:r>
      <w:r w:rsidR="007B0C77">
        <w:t>behaviour</w:t>
      </w:r>
      <w:r>
        <w:t>-level processes</w:t>
      </w:r>
      <w:r w:rsidR="00894CB7">
        <w:t xml:space="preserve"> driven by decisions on logistics aspects</w:t>
      </w:r>
      <w:r w:rsidR="0057331A">
        <w:t xml:space="preserve"> (i.e. choice of transport chain)</w:t>
      </w:r>
      <w:r w:rsidR="00894CB7">
        <w:t xml:space="preserve"> and micro-level terminal operations</w:t>
      </w:r>
      <w:r w:rsidR="0057331A">
        <w:t xml:space="preserve"> (i.e. crane operation)</w:t>
      </w:r>
      <w:r w:rsidR="00894CB7">
        <w:t>. Yet, models with this resolution rely on data</w:t>
      </w:r>
      <w:r w:rsidR="00A217DE">
        <w:t xml:space="preserve"> resources </w:t>
      </w:r>
      <w:r w:rsidR="00894CB7">
        <w:t xml:space="preserve">that </w:t>
      </w:r>
      <w:r w:rsidR="00A217DE">
        <w:t>are often scarce</w:t>
      </w:r>
      <w:r w:rsidR="00261205">
        <w:t xml:space="preserve">, as </w:t>
      </w:r>
      <w:r w:rsidR="00D068B1">
        <w:t xml:space="preserve">freight commodity </w:t>
      </w:r>
      <w:r w:rsidR="00261205">
        <w:t>surveys are costly and need to overcome confidentiality issues</w:t>
      </w:r>
      <w:r w:rsidR="00261205" w:rsidRPr="00034755">
        <w:t xml:space="preserve">. </w:t>
      </w:r>
      <w:r w:rsidRPr="00034755">
        <w:t>This paper</w:t>
      </w:r>
      <w:r w:rsidR="00313407" w:rsidRPr="00034755">
        <w:t xml:space="preserve"> addresses this limitation and </w:t>
      </w:r>
      <w:r w:rsidRPr="00034755">
        <w:t>proposes</w:t>
      </w:r>
      <w:r w:rsidR="00313407" w:rsidRPr="00034755">
        <w:t xml:space="preserve"> a methodology to disaggregate interregional production-consumption matrices into facility-to-facility matrices as a preliminary process for the construction of an agent based freight model. The method takes the form of a</w:t>
      </w:r>
      <w:r w:rsidR="00A217DE" w:rsidRPr="00034755">
        <w:t xml:space="preserve"> set of </w:t>
      </w:r>
      <w:r w:rsidR="00313407" w:rsidRPr="00034755">
        <w:t xml:space="preserve">transport </w:t>
      </w:r>
      <w:r w:rsidR="00A217DE" w:rsidRPr="00034755">
        <w:t>distribution modelling approaches. This model is applied to wood</w:t>
      </w:r>
      <w:r w:rsidR="00D068B1" w:rsidRPr="00034755">
        <w:t>-based</w:t>
      </w:r>
      <w:r w:rsidR="00A217DE" w:rsidRPr="00034755">
        <w:t xml:space="preserve"> products </w:t>
      </w:r>
      <w:r w:rsidR="00D068B1" w:rsidRPr="00034755">
        <w:t>in New Zealand</w:t>
      </w:r>
      <w:r w:rsidR="00A217DE" w:rsidRPr="00034755">
        <w:t>.</w:t>
      </w:r>
      <w:r w:rsidR="0059241B" w:rsidRPr="00034755">
        <w:t xml:space="preserve"> We used the inter-regional tables from the </w:t>
      </w:r>
      <w:r w:rsidR="002559EA" w:rsidRPr="00034755">
        <w:t>latest National Freight Demand Study</w:t>
      </w:r>
      <w:r w:rsidR="0059241B" w:rsidRPr="00034755">
        <w:t xml:space="preserve">, information on the demand for logs from different industries, and open source geographic data to </w:t>
      </w:r>
      <w:r w:rsidR="004F6DA0" w:rsidRPr="00034755">
        <w:t xml:space="preserve">generate </w:t>
      </w:r>
      <w:r w:rsidR="006B08C1" w:rsidRPr="00034755">
        <w:t xml:space="preserve">firm-to-firm </w:t>
      </w:r>
      <w:r w:rsidR="004F6DA0" w:rsidRPr="00034755">
        <w:t xml:space="preserve">OD tables. </w:t>
      </w:r>
      <w:r w:rsidR="003C0727" w:rsidRPr="00034755">
        <w:t xml:space="preserve">The method </w:t>
      </w:r>
      <w:r w:rsidR="0043030E">
        <w:t>uses</w:t>
      </w:r>
      <w:r w:rsidR="0043030E" w:rsidRPr="00034755">
        <w:t xml:space="preserve"> </w:t>
      </w:r>
      <w:r w:rsidR="003C0727" w:rsidRPr="00034755">
        <w:t xml:space="preserve">three stages. </w:t>
      </w:r>
      <w:r w:rsidR="005556BE">
        <w:t>First</w:t>
      </w:r>
      <w:r w:rsidR="003C0727" w:rsidRPr="00034755">
        <w:t xml:space="preserve">, </w:t>
      </w:r>
      <w:r w:rsidR="005556BE">
        <w:t>OD pairs</w:t>
      </w:r>
      <w:r w:rsidR="003C0727" w:rsidRPr="00034755">
        <w:t xml:space="preserve"> from the interregional matrices are adjusted </w:t>
      </w:r>
      <w:r w:rsidR="006B08C1" w:rsidRPr="00034755">
        <w:t xml:space="preserve">through iterative proportional fitting </w:t>
      </w:r>
      <w:r w:rsidR="003C0727" w:rsidRPr="00034755">
        <w:t>to match totals reported for every sector</w:t>
      </w:r>
      <w:r w:rsidR="00107537" w:rsidRPr="00034755">
        <w:t xml:space="preserve"> (Timber, Wood Panel, and Pulp production) and for every stage within the value chain of forestry</w:t>
      </w:r>
      <w:r w:rsidR="00D068B1" w:rsidRPr="00034755">
        <w:t>-</w:t>
      </w:r>
      <w:r w:rsidR="00107537" w:rsidRPr="00034755">
        <w:t xml:space="preserve">based products. </w:t>
      </w:r>
      <w:r w:rsidR="005556BE">
        <w:t>Next</w:t>
      </w:r>
      <w:r w:rsidR="00107537" w:rsidRPr="00034755">
        <w:t xml:space="preserve">, </w:t>
      </w:r>
      <w:r w:rsidR="005556BE">
        <w:t>adjusted matrices</w:t>
      </w:r>
      <w:r w:rsidR="00107537" w:rsidRPr="00034755">
        <w:t xml:space="preserve">, sector specific statistics and routed distances between facilities are used to calibrate </w:t>
      </w:r>
      <w:r w:rsidR="004F6DA0" w:rsidRPr="00034755">
        <w:t>spatial interaction models.</w:t>
      </w:r>
      <w:r w:rsidR="00107537" w:rsidRPr="00034755">
        <w:t xml:space="preserve"> New interregional matrices are generated upon the application of gravity models and </w:t>
      </w:r>
      <w:r w:rsidR="005556BE">
        <w:t>are used</w:t>
      </w:r>
      <w:r w:rsidR="00D068B1" w:rsidRPr="00034755">
        <w:t xml:space="preserve"> to formulate a linear programming problem that distributes interregional flows amongst relevant facilities without compromising the original pattern of movements.</w:t>
      </w:r>
      <w:r w:rsidR="004F6DA0" w:rsidRPr="00034755">
        <w:t xml:space="preserve"> The results provide a geographic representation of movements between forests, sawmills, panel-manufacturing plants, pulp-manufacturing plants, wood product retail stores and ports.</w:t>
      </w:r>
      <w:r w:rsidR="004F6DA0">
        <w:t xml:space="preserve">           </w:t>
      </w:r>
    </w:p>
    <w:p w14:paraId="0081E8D6" w14:textId="77777777" w:rsidR="004F6DA0" w:rsidRDefault="004F6DA0" w:rsidP="004F6DA0">
      <w:pPr>
        <w:pStyle w:val="Heading2"/>
      </w:pPr>
      <w:r w:rsidRPr="0046738E">
        <w:t>Introduction</w:t>
      </w:r>
    </w:p>
    <w:p w14:paraId="12CE1BFB" w14:textId="029E02F6" w:rsidR="004F6DA0" w:rsidRDefault="004F6DA0" w:rsidP="004F6DA0">
      <w:r>
        <w:t xml:space="preserve">Freight transport models have historically lacked the capability to capture </w:t>
      </w:r>
      <w:r w:rsidR="007B0C77">
        <w:t>behaviour</w:t>
      </w:r>
      <w:r>
        <w:t>-level processes that occur within different parts of the supply chain in a regional freight system.</w:t>
      </w:r>
      <w:r w:rsidR="005D01E9">
        <w:t xml:space="preserve"> They have traditionally assumed interacti</w:t>
      </w:r>
      <w:r w:rsidR="00F86BF2">
        <w:t>ons on a zone-to-zone level, focused on shipper</w:t>
      </w:r>
      <w:r w:rsidR="005D01E9">
        <w:t xml:space="preserve"> </w:t>
      </w:r>
      <w:r w:rsidR="00F86BF2">
        <w:t xml:space="preserve">behaviour, dismissing </w:t>
      </w:r>
      <w:r w:rsidR="0057331A">
        <w:t xml:space="preserve">observations at the level of the traveller and lacking logistics elements like the use of distribution centres and </w:t>
      </w:r>
      <w:r w:rsidR="00F86BF2">
        <w:t xml:space="preserve">handling </w:t>
      </w:r>
      <w:r w:rsidR="0057331A">
        <w:t>operations</w:t>
      </w:r>
      <w:r w:rsidR="00F86BF2">
        <w:t xml:space="preserve"> </w:t>
      </w:r>
      <w:r w:rsidR="00F86BF2">
        <w:fldChar w:fldCharType="begin">
          <w:fldData xml:space="preserve">PEVuZE5vdGU+PENpdGU+PEF1dGhvcj5CZW4tQWtpdmE8L0F1dGhvcj48WWVhcj4yMDEzPC9ZZWFy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</w:fldData>
        </w:fldChar>
      </w:r>
      <w:r w:rsidR="00BF7BFD">
        <w:instrText xml:space="preserve"> ADDIN EN.CITE </w:instrText>
      </w:r>
      <w:r w:rsidR="00BF7BFD">
        <w:fldChar w:fldCharType="begin">
          <w:fldData xml:space="preserve">PEVuZE5vdGU+PENpdGU+PEF1dGhvcj5CZW4tQWtpdmE8L0F1dGhvcj48WWVhcj4yMDEzPC9ZZWFy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</w:fldData>
        </w:fldChar>
      </w:r>
      <w:r w:rsidR="00BF7BFD">
        <w:instrText xml:space="preserve"> ADDIN EN.CITE.DATA </w:instrText>
      </w:r>
      <w:r w:rsidR="00BF7BFD">
        <w:fldChar w:fldCharType="end"/>
      </w:r>
      <w:r w:rsidR="00F86BF2">
        <w:fldChar w:fldCharType="separate"/>
      </w:r>
      <w:r w:rsidR="00BF7BFD">
        <w:rPr>
          <w:noProof/>
        </w:rPr>
        <w:t>(Ben-Akiva and de Jong, 2013, Baindur and Viegas, 2011)</w:t>
      </w:r>
      <w:r w:rsidR="00F86BF2">
        <w:fldChar w:fldCharType="end"/>
      </w:r>
      <w:r w:rsidR="00F86BF2">
        <w:t>.</w:t>
      </w:r>
      <w:r w:rsidR="00520941">
        <w:t xml:space="preserve"> </w:t>
      </w:r>
      <w:r>
        <w:t xml:space="preserve"> In response to these limitations, recent approaches incorporat</w:t>
      </w:r>
      <w:r w:rsidR="00396C99">
        <w:t>e</w:t>
      </w:r>
      <w:r>
        <w:t xml:space="preserve"> schemes that capture the market structures and </w:t>
      </w:r>
      <w:r w:rsidR="007B0C77">
        <w:t>behaviour</w:t>
      </w:r>
      <w:r>
        <w:t xml:space="preserve"> of the agents involved in the freight system </w:t>
      </w:r>
      <w:r>
        <w:fldChar w:fldCharType="begin">
          <w:fldData xml:space="preserve">PEVuZE5vdGU+PENpdGU+PEF1dGhvcj5CYWluZHVyPC9BdXRob3I+PFllYXI+MjAxMTwvWWVhcj48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</w:fldData>
        </w:fldChar>
      </w:r>
      <w:r w:rsidR="00BF7BFD">
        <w:instrText xml:space="preserve"> ADDIN EN.CITE </w:instrText>
      </w:r>
      <w:r w:rsidR="00BF7BFD">
        <w:fldChar w:fldCharType="begin">
          <w:fldData xml:space="preserve">PEVuZE5vdGU+PENpdGU+PEF1dGhvcj5CYWluZHVyPC9BdXRob3I+PFllYXI+MjAxMTwvWWVhcj48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</w:fldData>
        </w:fldChar>
      </w:r>
      <w:r w:rsidR="00BF7BFD">
        <w:instrText xml:space="preserve"> ADDIN EN.CITE.DATA </w:instrText>
      </w:r>
      <w:r w:rsidR="00BF7BFD">
        <w:fldChar w:fldCharType="end"/>
      </w:r>
      <w:r>
        <w:fldChar w:fldCharType="separate"/>
      </w:r>
      <w:r w:rsidR="00BF7BFD">
        <w:rPr>
          <w:noProof/>
        </w:rPr>
        <w:t>(Baindur and Viegas, 2011, Reis, 2014, Holmgren et al., 2012, Liedtke, 2009)</w:t>
      </w:r>
      <w:r>
        <w:fldChar w:fldCharType="end"/>
      </w:r>
      <w:r>
        <w:t xml:space="preserve">. Yet, the models still rely on accessibility to micro-data, which is often scarce as commodity flow surveys are costly and infrequent </w:t>
      </w:r>
      <w:r>
        <w:fldChar w:fldCharType="begin"/>
      </w:r>
      <w:r>
        <w:instrText xml:space="preserve"> ADDIN EN.CITE &lt;EndNote&gt;&lt;Cite&gt;&lt;Author&gt;Ben-Akiva&lt;/Author&gt;&lt;Year&gt;2016&lt;/Year&gt;&lt;RecNum&gt;259&lt;/RecNum&gt;&lt;DisplayText&gt;(Ben-Akiva et al., 2016)&lt;/DisplayText&gt;&lt;record&gt;&lt;rec-number&gt;259&lt;/rec-number&gt;&lt;foreign-keys&gt;&lt;key app="EN" db-id="t2tttt5z4vw0z3etadq5px5k0a5wraw2d092" timestamp="1569280487"&gt;259&lt;/key&gt;&lt;/foreign-keys&gt;&lt;ref-type name="Journal Article"&gt;17&lt;/ref-type&gt;&lt;contributors&gt;&lt;authors&gt;&lt;author&gt;Ben-Akiva, M. E.&lt;/author&gt;&lt;author&gt;Toledo, T.&lt;/author&gt;&lt;author&gt;Santos, J.&lt;/author&gt;&lt;author&gt;Cox, N.&lt;/author&gt;&lt;author&gt;Zhao, F.&lt;/author&gt;&lt;author&gt;Lee, Y. J.&lt;/author&gt;&lt;author&gt;Marzano, V.&lt;/author&gt;&lt;/authors&gt;&lt;/contributors&gt;&lt;auth-address&gt;MIT, Intelligent Transportat Syst Lab, 77 Massachusetts Ave, Cambridge, MA 02139 USA&amp;#xD;Technion Israel Inst Technol, Haifa, Israel&amp;#xD;Singapore MIT Alliance Res &amp;amp; Technol SMART MIT, Singapore, Singapore&amp;#xD;Univ Naples Federico II, Dept Civil Architectural &amp;amp; Environm Engn, Via Claudio 21, I-80125 Naples, Italy&lt;/auth-address&gt;&lt;titles&gt;&lt;title&gt;Freight data collection using GPS and web-based surveys: Insights from US truck drivers&amp;apos; survey and perspectives for urban freight&lt;/title&gt;&lt;secondary-title&gt;Case Studies on Transport Policy&lt;/secondary-title&gt;&lt;alt-title&gt;Case Stud Transp Pol&lt;/alt-title&gt;&lt;/titles&gt;&lt;periodical&gt;&lt;full-title&gt;Case Studies on Transport Policy&lt;/full-title&gt;&lt;/periodical&gt;&lt;pages&gt;38-44&lt;/pages&gt;&lt;volume&gt;4&lt;/volume&gt;&lt;number&gt;1&lt;/number&gt;&lt;keywords&gt;&lt;keyword&gt;gps tracking&lt;/keyword&gt;&lt;keyword&gt;intercity freight route choice&lt;/keyword&gt;&lt;keyword&gt;urban freight modeling&lt;/keyword&gt;&lt;/keywords&gt;&lt;dates&gt;&lt;year&gt;2016&lt;/year&gt;&lt;pub-dates&gt;&lt;date&gt;Mar&lt;/date&gt;&lt;/pub-dates&gt;&lt;/dates&gt;&lt;isbn&gt;2213-624x&lt;/isbn&gt;&lt;accession-num&gt;WOS:000372465400008&lt;/accession-num&gt;&lt;urls&gt;&lt;related-urls&gt;&lt;url&gt;&amp;lt;Go to ISI&amp;gt;://WOS:000372465400008&lt;/url&gt;&lt;/related-urls&gt;&lt;/urls&gt;&lt;electronic-resource-num&gt;10.1016/j.cstp.2015.11.005&lt;/electronic-resource-num&gt;&lt;language&gt;English&lt;/language&gt;&lt;/record&gt;&lt;/Cite&gt;&lt;/EndNote&gt;</w:instrText>
      </w:r>
      <w:r>
        <w:fldChar w:fldCharType="separate"/>
      </w:r>
      <w:r>
        <w:rPr>
          <w:noProof/>
        </w:rPr>
        <w:t>(Ben-Akiva et al., 2016)</w:t>
      </w:r>
      <w:r>
        <w:fldChar w:fldCharType="end"/>
      </w:r>
      <w:r>
        <w:t>. Moreover</w:t>
      </w:r>
      <w:r w:rsidR="006E0CF6">
        <w:t>, data on individual shipments are</w:t>
      </w:r>
      <w:r>
        <w:t xml:space="preserve"> usually proprietary and firms are often reluctant to disclose this information to clients, competitors and the public </w:t>
      </w:r>
      <w:r>
        <w:fldChar w:fldCharType="begin"/>
      </w:r>
      <w:r>
        <w:instrText xml:space="preserve"> ADDIN EN.CITE &lt;EndNote&gt;&lt;Cite&gt;&lt;Author&gt;Tavasszy&lt;/Author&gt;&lt;Year&gt;2014&lt;/Year&gt;&lt;RecNum&gt;260&lt;/RecNum&gt;&lt;DisplayText&gt;(Tavasszy and de Jong, 2014)&lt;/DisplayText&gt;&lt;record&gt;&lt;rec-number&gt;260&lt;/rec-number&gt;&lt;foreign-keys&gt;&lt;key app="EN" db-id="t2tttt5z4vw0z3etadq5px5k0a5wraw2d092" timestamp="1569280926"&gt;260&lt;/key&gt;&lt;/foreign-keys&gt;&lt;ref-type name="Book Section"&gt;5&lt;/ref-type&gt;&lt;contributors&gt;&lt;authors&gt;&lt;author&gt;Tavasszy, Lóránt&lt;/author&gt;&lt;author&gt;de Jong, Gerard&lt;/author&gt;&lt;/authors&gt;&lt;/contributors&gt;&lt;titles&gt;&lt;title&gt;Data availability and model form&lt;/title&gt;&lt;secondary-title&gt;Modelling freight transport&lt;/secondary-title&gt;&lt;/titles&gt;&lt;pages&gt;229-244&lt;/pages&gt;&lt;dates&gt;&lt;year&gt;2014&lt;/year&gt;&lt;/dates&gt;&lt;publisher&gt;Elsevier&lt;/publisher&gt;&lt;urls&gt;&lt;/urls&gt;&lt;/record&gt;&lt;/Cite&gt;&lt;/EndNote&gt;</w:instrText>
      </w:r>
      <w:r>
        <w:fldChar w:fldCharType="separate"/>
      </w:r>
      <w:r>
        <w:rPr>
          <w:noProof/>
        </w:rPr>
        <w:t>(Tavasszy and de Jong, 2014)</w:t>
      </w:r>
      <w:r>
        <w:fldChar w:fldCharType="end"/>
      </w:r>
      <w:r>
        <w:t>. A new approach is needed to generate freight traffic data for better safety and efficient management of supply chain capacity. In this paper, the methods and results of a freight distribution exercise that led to the generation of firm-to-firm matrices</w:t>
      </w:r>
      <w:r w:rsidR="00965A71">
        <w:t xml:space="preserve"> are reported</w:t>
      </w:r>
      <w:r>
        <w:t xml:space="preserve">. </w:t>
      </w:r>
      <w:r w:rsidR="00965A71">
        <w:t xml:space="preserve">This </w:t>
      </w:r>
      <w:r>
        <w:t xml:space="preserve">case of study </w:t>
      </w:r>
      <w:r w:rsidR="00965A71">
        <w:t>focussed on</w:t>
      </w:r>
      <w:r>
        <w:t xml:space="preserve"> </w:t>
      </w:r>
      <w:r w:rsidR="00965A71">
        <w:t xml:space="preserve">forestry sector </w:t>
      </w:r>
      <w:r>
        <w:t xml:space="preserve">commodities. </w:t>
      </w:r>
    </w:p>
    <w:p w14:paraId="59D23C64" w14:textId="77777777" w:rsidR="004533CB" w:rsidRDefault="004533CB" w:rsidP="004F6DA0"/>
    <w:p w14:paraId="0814358B" w14:textId="6A6104B0" w:rsidR="004F6DA0" w:rsidRDefault="00B72583" w:rsidP="004F6DA0">
      <w:r w:rsidRPr="00082E5A">
        <w:t>The</w:t>
      </w:r>
      <w:r w:rsidR="004F6DA0" w:rsidRPr="0059046A">
        <w:t xml:space="preserve"> underlying structure of flows within logistic chains </w:t>
      </w:r>
      <w:r w:rsidR="00965A71">
        <w:t>for forestry derived resources</w:t>
      </w:r>
      <w:r>
        <w:t xml:space="preserve"> was</w:t>
      </w:r>
      <w:r w:rsidR="004F6DA0">
        <w:t xml:space="preserve"> linked </w:t>
      </w:r>
      <w:r>
        <w:t xml:space="preserve">to </w:t>
      </w:r>
      <w:r w:rsidR="004F6DA0">
        <w:t>raw material</w:t>
      </w:r>
      <w:r w:rsidR="00965A71">
        <w:t xml:space="preserve"> sources</w:t>
      </w:r>
      <w:r w:rsidR="004F6DA0">
        <w:t>, processing facilities, points of sale and ports. A key feature</w:t>
      </w:r>
      <w:r w:rsidR="00561AF8">
        <w:t xml:space="preserve"> is the thorough allocation of </w:t>
      </w:r>
      <w:r w:rsidR="004F6DA0">
        <w:t>raw material</w:t>
      </w:r>
      <w:r w:rsidR="00561AF8">
        <w:t xml:space="preserve"> production </w:t>
      </w:r>
      <w:r w:rsidR="00D34729">
        <w:t>to</w:t>
      </w:r>
      <w:r w:rsidR="004F6DA0">
        <w:t xml:space="preserve"> representative locations in the network</w:t>
      </w:r>
      <w:r w:rsidR="006E0CF6">
        <w:t>.</w:t>
      </w:r>
      <w:r w:rsidR="004F6DA0">
        <w:t xml:space="preserve"> </w:t>
      </w:r>
      <w:r w:rsidR="006E0CF6">
        <w:t>U</w:t>
      </w:r>
      <w:r w:rsidR="004F6DA0">
        <w:t xml:space="preserve">pon this estimate, we can appraise commodity flows from the downstream legs using optimization techniques </w:t>
      </w:r>
      <w:r w:rsidR="00066DA7">
        <w:t>and</w:t>
      </w:r>
      <w:r w:rsidR="004F6DA0">
        <w:t xml:space="preserve"> knowledge of the underlying </w:t>
      </w:r>
      <w:r w:rsidR="00D34729">
        <w:t>value chains</w:t>
      </w:r>
      <w:r w:rsidR="004F6DA0">
        <w:t xml:space="preserve">. In cases where the underlying aggregated pattern of flows is vague or missing, we resorted to iterative proportional fitting and </w:t>
      </w:r>
      <w:r w:rsidR="00066DA7">
        <w:t xml:space="preserve">the </w:t>
      </w:r>
      <w:r w:rsidR="004F6DA0">
        <w:t xml:space="preserve">calibration of spatial interaction models.      </w:t>
      </w:r>
    </w:p>
    <w:p w14:paraId="666FA742" w14:textId="77777777" w:rsidR="004533CB" w:rsidRDefault="004533CB" w:rsidP="004F6DA0"/>
    <w:p w14:paraId="0A56CDCF" w14:textId="0824F40A" w:rsidR="004F6DA0" w:rsidRDefault="004F6DA0" w:rsidP="004F6DA0">
      <w:r>
        <w:t xml:space="preserve">The paper is organized as follows. Section </w:t>
      </w:r>
      <w:r>
        <w:fldChar w:fldCharType="begin"/>
      </w:r>
      <w:r>
        <w:instrText xml:space="preserve"> REF _Ref20237911 \r \h </w:instrText>
      </w:r>
      <w:r>
        <w:fldChar w:fldCharType="separate"/>
      </w:r>
      <w:r w:rsidR="0057331A">
        <w:t>2</w:t>
      </w:r>
      <w:r>
        <w:fldChar w:fldCharType="end"/>
      </w:r>
      <w:r>
        <w:t xml:space="preserve"> presents a brief literature review on freight distribution models. Section </w:t>
      </w:r>
      <w:r>
        <w:fldChar w:fldCharType="begin"/>
      </w:r>
      <w:r>
        <w:instrText xml:space="preserve"> REF _Ref20238225 \r \h </w:instrText>
      </w:r>
      <w:r>
        <w:fldChar w:fldCharType="separate"/>
      </w:r>
      <w:r w:rsidR="0057331A">
        <w:t>3</w:t>
      </w:r>
      <w:r>
        <w:fldChar w:fldCharType="end"/>
      </w:r>
      <w:r>
        <w:t xml:space="preserve"> covers the sources of information, the structure of </w:t>
      </w:r>
      <w:r w:rsidR="00D34729">
        <w:t>value</w:t>
      </w:r>
      <w:r>
        <w:t xml:space="preserve"> chains covered in our study and the methods covered within the freight distribution exercise. </w:t>
      </w:r>
      <w:r w:rsidR="00B72583">
        <w:t>In Section 4</w:t>
      </w:r>
      <w:r w:rsidR="008C73C5">
        <w:t xml:space="preserve"> t</w:t>
      </w:r>
      <w:r>
        <w:t>he results in the form of firm-to-firm matrices are geographically represented and discussed</w:t>
      </w:r>
      <w:r w:rsidR="008C73C5">
        <w:t>. Section 5 includes the</w:t>
      </w:r>
      <w:r w:rsidR="00B72583">
        <w:t xml:space="preserve"> </w:t>
      </w:r>
      <w:r w:rsidR="008C73C5">
        <w:t>c</w:t>
      </w:r>
      <w:r>
        <w:t xml:space="preserve">onclusions and recommendations </w:t>
      </w:r>
      <w:r w:rsidR="008C73C5">
        <w:t>for</w:t>
      </w:r>
      <w:r>
        <w:t xml:space="preserve"> future areas </w:t>
      </w:r>
      <w:r w:rsidR="008C73C5">
        <w:t>of</w:t>
      </w:r>
      <w:r>
        <w:t xml:space="preserve"> research</w:t>
      </w:r>
      <w:r w:rsidR="008C73C5">
        <w:t>.</w:t>
      </w:r>
      <w:r>
        <w:t xml:space="preserve">     </w:t>
      </w:r>
    </w:p>
    <w:p w14:paraId="0CB2CE32" w14:textId="40567800" w:rsidR="00561AF8" w:rsidRDefault="00561AF8" w:rsidP="004F6DA0"/>
    <w:p w14:paraId="5046797B" w14:textId="77777777" w:rsidR="00561AF8" w:rsidRDefault="00561AF8" w:rsidP="004F6DA0"/>
    <w:p w14:paraId="3F2231CA" w14:textId="77777777" w:rsidR="004F6DA0" w:rsidRDefault="004F6DA0" w:rsidP="004F6DA0">
      <w:pPr>
        <w:pStyle w:val="Heading2"/>
      </w:pPr>
      <w:bookmarkStart w:id="0" w:name="_Ref20237911"/>
      <w:r w:rsidRPr="00E10B58">
        <w:lastRenderedPageBreak/>
        <w:t>Literature Review</w:t>
      </w:r>
      <w:bookmarkEnd w:id="0"/>
    </w:p>
    <w:p w14:paraId="1DDCDB54" w14:textId="6E983B1E" w:rsidR="004F6DA0" w:rsidRDefault="004F6DA0" w:rsidP="004F6DA0">
      <w:r>
        <w:fldChar w:fldCharType="begin"/>
      </w:r>
      <w:r>
        <w:instrText xml:space="preserve"> ADDIN EN.CITE &lt;EndNote&gt;&lt;Cite AuthorYear="1"&gt;&lt;Author&gt;Friedrich&lt;/Author&gt;&lt;Year&gt;2014&lt;/Year&gt;&lt;RecNum&gt;243&lt;/RecNum&gt;&lt;DisplayText&gt;Friedrich et al. (2014)&lt;/DisplayText&gt;&lt;record&gt;&lt;rec-number&gt;243&lt;/rec-number&gt;&lt;foreign-keys&gt;&lt;key app="EN" db-id="t2tttt5z4vw0z3etadq5px5k0a5wraw2d092" timestamp="1564373050"&gt;243&lt;/key&gt;&lt;/foreign-keys&gt;&lt;ref-type name="Book Section"&gt;5&lt;/ref-type&gt;&lt;contributors&gt;&lt;authors&gt;&lt;author&gt;Friedrich, Hanno&lt;/author&gt;&lt;author&gt;Tavasszy, Lóránt&lt;/author&gt;&lt;author&gt;Davydenko, Igor&lt;/author&gt;&lt;/authors&gt;&lt;/contributors&gt;&lt;titles&gt;&lt;title&gt;Distribution structures&lt;/title&gt;&lt;secondary-title&gt;Modelling freight transport&lt;/secondary-title&gt;&lt;/titles&gt;&lt;pages&gt;65-87&lt;/pages&gt;&lt;dates&gt;&lt;year&gt;2014&lt;/year&gt;&lt;/dates&gt;&lt;publisher&gt;Elsevier&lt;/publisher&gt;&lt;urls&gt;&lt;/urls&gt;&lt;/record&gt;&lt;/Cite&gt;&lt;/EndNote&gt;</w:instrText>
      </w:r>
      <w:r>
        <w:fldChar w:fldCharType="separate"/>
      </w:r>
      <w:r>
        <w:rPr>
          <w:noProof/>
        </w:rPr>
        <w:t>Friedrich et al. (2014)</w:t>
      </w:r>
      <w:r>
        <w:fldChar w:fldCharType="end"/>
      </w:r>
      <w:r>
        <w:t xml:space="preserve"> presented a review on micro and macro freight distribution structures, along with corresponding </w:t>
      </w:r>
      <w:r w:rsidR="00DE49BF">
        <w:t>modelling</w:t>
      </w:r>
      <w:r>
        <w:t xml:space="preserve"> approaches. At the micro level, transport demand is represented by commodity flows between production establishments, points of sale, consumption locations, warehouses and terminals. At this level, decisions</w:t>
      </w:r>
      <w:r w:rsidR="009C50F5">
        <w:t xml:space="preserve"> often</w:t>
      </w:r>
      <w:r>
        <w:t xml:space="preserve"> target supply paths with the minimum logistic costs</w:t>
      </w:r>
      <w:r w:rsidR="009C50F5">
        <w:t>,</w:t>
      </w:r>
      <w:r w:rsidR="00034755">
        <w:t xml:space="preserve"> with some exceptions on commodities </w:t>
      </w:r>
      <w:r w:rsidR="00066DA7">
        <w:t xml:space="preserve">of </w:t>
      </w:r>
      <w:r w:rsidR="00034755">
        <w:t>high value or subject to perishability issues</w:t>
      </w:r>
      <w:r>
        <w:t xml:space="preserve">. The determination of a distribution structure involves a combination of multiple problems. This is known as the transportation-allocation problem, which is a generalization of both the classic transportation problem and  the location-allocation problem </w:t>
      </w:r>
      <w:r>
        <w:fldChar w:fldCharType="begin"/>
      </w:r>
      <w:r>
        <w:instrText xml:space="preserve"> ADDIN EN.CITE &lt;EndNote&gt;&lt;Cite&gt;&lt;Author&gt;Cooper&lt;/Author&gt;&lt;Year&gt;1972&lt;/Year&gt;&lt;RecNum&gt;262&lt;/RecNum&gt;&lt;DisplayText&gt;(Cooper, 1972)&lt;/DisplayText&gt;&lt;record&gt;&lt;rec-number&gt;262&lt;/rec-number&gt;&lt;foreign-keys&gt;&lt;key app="EN" db-id="t2tttt5z4vw0z3etadq5px5k0a5wraw2d092" timestamp="1571956959"&gt;262&lt;/key&gt;&lt;/foreign-keys&gt;&lt;ref-type name="Journal Article"&gt;17&lt;/ref-type&gt;&lt;contributors&gt;&lt;authors&gt;&lt;author&gt;Cooper, Leon&lt;/author&gt;&lt;/authors&gt;&lt;/contributors&gt;&lt;titles&gt;&lt;title&gt;The transportation-location problem&lt;/title&gt;&lt;secondary-title&gt;Operations Research&lt;/secondary-title&gt;&lt;/titles&gt;&lt;periodical&gt;&lt;full-title&gt;Operations Research&lt;/full-title&gt;&lt;/periodical&gt;&lt;pages&gt;94-108&lt;/pages&gt;&lt;volume&gt;20&lt;/volume&gt;&lt;number&gt;1&lt;/number&gt;&lt;dates&gt;&lt;year&gt;1972&lt;/year&gt;&lt;/dates&gt;&lt;isbn&gt;0030-364X&lt;/isbn&gt;&lt;urls&gt;&lt;/urls&gt;&lt;/record&gt;&lt;/Cite&gt;&lt;/EndNote&gt;</w:instrText>
      </w:r>
      <w:r>
        <w:fldChar w:fldCharType="separate"/>
      </w:r>
      <w:r>
        <w:rPr>
          <w:noProof/>
        </w:rPr>
        <w:t>(Cooper, 1972)</w:t>
      </w:r>
      <w:r>
        <w:fldChar w:fldCharType="end"/>
      </w:r>
      <w:r>
        <w:t xml:space="preserve">. </w:t>
      </w:r>
      <w:r w:rsidR="00034755">
        <w:t>In its most simple form, t</w:t>
      </w:r>
      <w:r>
        <w:t>he objective of the transportation problem is to find a</w:t>
      </w:r>
      <w:r w:rsidR="00D0480A">
        <w:t>n</w:t>
      </w:r>
      <w:r w:rsidR="00561AF8">
        <w:t xml:space="preserve"> OD</w:t>
      </w:r>
      <w:r>
        <w:t xml:space="preserve"> matrix of flows that minimizes total transport costs under demand and capacity constraints. Since its origin, variations have been introduced to add constraints and cover more than one commodity type </w:t>
      </w:r>
      <w:r>
        <w:fldChar w:fldCharType="begin">
          <w:fldData xml:space="preserve">PEVuZE5vdGU+PENpdGU+PEF1dGhvcj5LaHVyYW5hPC9BdXRob3I+PFllYXI+MjAxODwvWWVhcj48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</w:fldData>
        </w:fldChar>
      </w:r>
      <w:r w:rsidR="00BF7BFD">
        <w:instrText xml:space="preserve"> ADDIN EN.CITE </w:instrText>
      </w:r>
      <w:r w:rsidR="00BF7BFD">
        <w:fldChar w:fldCharType="begin">
          <w:fldData xml:space="preserve">PEVuZE5vdGU+PENpdGU+PEF1dGhvcj5LaHVyYW5hPC9BdXRob3I+PFllYXI+MjAxODwvWWVhcj48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</w:fldData>
        </w:fldChar>
      </w:r>
      <w:r w:rsidR="00BF7BFD">
        <w:instrText xml:space="preserve"> ADDIN EN.CITE.DATA </w:instrText>
      </w:r>
      <w:r w:rsidR="00BF7BFD">
        <w:fldChar w:fldCharType="end"/>
      </w:r>
      <w:r>
        <w:fldChar w:fldCharType="separate"/>
      </w:r>
      <w:r w:rsidR="00BF7BFD">
        <w:rPr>
          <w:noProof/>
        </w:rPr>
        <w:t>(Khurana et al., 2018, Evans, 1983)</w:t>
      </w:r>
      <w:r>
        <w:fldChar w:fldCharType="end"/>
      </w:r>
      <w:r>
        <w:t xml:space="preserve">. </w:t>
      </w:r>
      <w:r w:rsidR="00731F8A">
        <w:t>Aside the optimal distribution of flows, fac</w:t>
      </w:r>
      <w:r>
        <w:t xml:space="preserve">ility location problems, are concerned with finding the number, location and size of the sources that will optimally supply a given set of destinations </w:t>
      </w:r>
      <w:r>
        <w:fldChar w:fldCharType="begin"/>
      </w:r>
      <w:r>
        <w:instrText xml:space="preserve"> ADDIN EN.CITE &lt;EndNote&gt;&lt;Cite&gt;&lt;Author&gt;Cooper&lt;/Author&gt;&lt;Year&gt;1963&lt;/Year&gt;&lt;RecNum&gt;263&lt;/RecNum&gt;&lt;DisplayText&gt;(Cooper, 1963)&lt;/DisplayText&gt;&lt;record&gt;&lt;rec-number&gt;263&lt;/rec-number&gt;&lt;foreign-keys&gt;&lt;key app="EN" db-id="t2tttt5z4vw0z3etadq5px5k0a5wraw2d092" timestamp="1571958021"&gt;263&lt;/key&gt;&lt;/foreign-keys&gt;&lt;ref-type name="Journal Article"&gt;17&lt;/ref-type&gt;&lt;contributors&gt;&lt;authors&gt;&lt;author&gt;Cooper, L.&lt;/author&gt;&lt;/authors&gt;&lt;/contributors&gt;&lt;titles&gt;&lt;title&gt;Location-Allocation Problems&lt;/title&gt;&lt;secondary-title&gt;Operations Research&lt;/secondary-title&gt;&lt;alt-title&gt;Oper Res&lt;/alt-title&gt;&lt;/titles&gt;&lt;periodical&gt;&lt;full-title&gt;Operations Research&lt;/full-title&gt;&lt;/periodical&gt;&lt;pages&gt;331-343&lt;/pages&gt;&lt;volume&gt;11&lt;/volume&gt;&lt;number&gt;3&lt;/number&gt;&lt;dates&gt;&lt;year&gt;1963&lt;/year&gt;&lt;/dates&gt;&lt;isbn&gt;0030-364x&lt;/isbn&gt;&lt;accession-num&gt;WOS:A1963XF15500003&lt;/accession-num&gt;&lt;urls&gt;&lt;related-urls&gt;&lt;url&gt;&amp;lt;Go to ISI&amp;gt;://WOS:A1963XF15500003&lt;/url&gt;&lt;/related-urls&gt;&lt;/urls&gt;&lt;electronic-resource-num&gt;DOI 10.1287/opre.11.3.331&lt;/electronic-resource-num&gt;&lt;language&gt;English&lt;/language&gt;&lt;/record&gt;&lt;/Cite&gt;&lt;/EndNote&gt;</w:instrText>
      </w:r>
      <w:r>
        <w:fldChar w:fldCharType="separate"/>
      </w:r>
      <w:r>
        <w:rPr>
          <w:noProof/>
        </w:rPr>
        <w:t>(Cooper, 1963)</w:t>
      </w:r>
      <w:r>
        <w:fldChar w:fldCharType="end"/>
      </w:r>
      <w:r>
        <w:t xml:space="preserve">. When the </w:t>
      </w:r>
      <w:r w:rsidR="0057331A">
        <w:t xml:space="preserve">facilities </w:t>
      </w:r>
      <w:r>
        <w:t xml:space="preserve">are to be located within a continuous space, the problems are referred as “site-generating” models, in contrast to the discrete space counterpart known as “site-selection” models </w:t>
      </w:r>
      <w:r>
        <w:fldChar w:fldCharType="begin"/>
      </w:r>
      <w:r>
        <w:instrText xml:space="preserve"> ADDIN EN.CITE &lt;EndNote&gt;&lt;Cite&gt;&lt;Author&gt;Brimberg&lt;/Author&gt;&lt;Year&gt;2008&lt;/Year&gt;&lt;RecNum&gt;265&lt;/RecNum&gt;&lt;DisplayText&gt;(Brimberg et al., 2008)&lt;/DisplayText&gt;&lt;record&gt;&lt;rec-number&gt;265&lt;/rec-number&gt;&lt;foreign-keys&gt;&lt;key app="EN" db-id="t2tttt5z4vw0z3etadq5px5k0a5wraw2d092" timestamp="1571969315"&gt;265&lt;/key&gt;&lt;/foreign-keys&gt;&lt;ref-type name="Journal Article"&gt;17&lt;/ref-type&gt;&lt;contributors&gt;&lt;authors&gt;&lt;author&gt;Brimberg, Jack&lt;/author&gt;&lt;author&gt;Hansen, Pierre&lt;/author&gt;&lt;author&gt;Mladonovic, Nenad&lt;/author&gt;&lt;author&gt;Salhi, Said&lt;/author&gt;&lt;/authors&gt;&lt;/contributors&gt;&lt;titles&gt;&lt;title&gt;A survey of solution methods for the continuous location allocation problem&lt;/title&gt;&lt;secondary-title&gt;International Journal of Operations Research&lt;/secondary-title&gt;&lt;/titles&gt;&lt;periodical&gt;&lt;full-title&gt;International Journal of Operations Research&lt;/full-title&gt;&lt;/periodical&gt;&lt;pages&gt;1-12&lt;/pages&gt;&lt;volume&gt;5&lt;/volume&gt;&lt;number&gt;1&lt;/number&gt;&lt;dates&gt;&lt;year&gt;2008&lt;/year&gt;&lt;/dates&gt;&lt;isbn&gt;0711-2440&lt;/isbn&gt;&lt;urls&gt;&lt;/urls&gt;&lt;/record&gt;&lt;/Cite&gt;&lt;/EndNote&gt;</w:instrText>
      </w:r>
      <w:r>
        <w:fldChar w:fldCharType="separate"/>
      </w:r>
      <w:r>
        <w:rPr>
          <w:noProof/>
        </w:rPr>
        <w:t>(Brimberg et al., 2008)</w:t>
      </w:r>
      <w:r>
        <w:fldChar w:fldCharType="end"/>
      </w:r>
      <w:r>
        <w:t xml:space="preserve">. </w:t>
      </w:r>
      <w:r w:rsidR="00731F8A">
        <w:t xml:space="preserve">Network data is at the core of spatial decision problems, hence </w:t>
      </w:r>
      <w:r>
        <w:t xml:space="preserve">Geographic Information Systems (GIS) play a significant role, </w:t>
      </w:r>
      <w:r w:rsidR="0057331A">
        <w:t>especially</w:t>
      </w:r>
      <w:r>
        <w:t xml:space="preserve"> aiding the assessment of market areas for present and future logistic centers </w:t>
      </w:r>
      <w:r>
        <w:fldChar w:fldCharType="begin"/>
      </w:r>
      <w:r>
        <w:instrText xml:space="preserve"> ADDIN EN.CITE &lt;EndNote&gt;&lt;Cite&gt;&lt;Author&gt;Macharis&lt;/Author&gt;&lt;Year&gt;2009&lt;/Year&gt;&lt;RecNum&gt;32&lt;/RecNum&gt;&lt;DisplayText&gt;(Macharis and Pekin, 2009)&lt;/DisplayText&gt;&lt;record&gt;&lt;rec-number&gt;32&lt;/rec-number&gt;&lt;foreign-keys&gt;&lt;key app="EN" db-id="t2tttt5z4vw0z3etadq5px5k0a5wraw2d092" timestamp="1538087623"&gt;32&lt;/key&gt;&lt;/foreign-keys&gt;&lt;ref-type name="Journal Article"&gt;17&lt;/ref-type&gt;&lt;contributors&gt;&lt;authors&gt;&lt;author&gt;Macharis, C.&lt;/author&gt;&lt;author&gt;Pekin, E.&lt;/author&gt;&lt;/authors&gt;&lt;/contributors&gt;&lt;titles&gt;&lt;title&gt;Assessing policy measures for the stimulation of intermodal transport: a GIS-based policy analysis&lt;/title&gt;&lt;secondary-title&gt;Journal of Transport Geography&lt;/secondary-title&gt;&lt;/titles&gt;&lt;periodical&gt;&lt;full-title&gt;Journal of Transport Geography&lt;/full-title&gt;&lt;/periodical&gt;&lt;pages&gt;500-508&lt;/pages&gt;&lt;volume&gt;17&lt;/volume&gt;&lt;number&gt;6&lt;/number&gt;&lt;keywords&gt;&lt;keyword&gt;GIS network model&lt;/keyword&gt;&lt;keyword&gt;Intermodal transport policies&lt;/keyword&gt;&lt;keyword&gt;Location analysis&lt;/keyword&gt;&lt;/keywords&gt;&lt;dates&gt;&lt;year&gt;2009&lt;/year&gt;&lt;/dates&gt;&lt;publisher&gt;Elsevier Ltd&lt;/publisher&gt;&lt;isbn&gt;0966-6923&lt;/isbn&gt;&lt;urls&gt;&lt;related-urls&gt;&lt;url&gt;http://dx.doi.org/10.1016/j.jtrangeo.2008.10.004&lt;/url&gt;&lt;/related-urls&gt;&lt;/urls&gt;&lt;electronic-resource-num&gt;10.1016/j.jtrangeo.2008.10.004&lt;/electronic-resource-num&gt;&lt;/record&gt;&lt;/Cite&gt;&lt;/EndNote&gt;</w:instrText>
      </w:r>
      <w:r>
        <w:fldChar w:fldCharType="separate"/>
      </w:r>
      <w:r>
        <w:rPr>
          <w:noProof/>
        </w:rPr>
        <w:t>(Macharis and Pekin, 2009)</w:t>
      </w:r>
      <w:r>
        <w:fldChar w:fldCharType="end"/>
      </w:r>
      <w:r>
        <w:t xml:space="preserve">. Moreover, recent approaches have complemented the GIS-based approach with multi-criteria decision analysis </w:t>
      </w:r>
      <w:r>
        <w:fldChar w:fldCharType="begin"/>
      </w:r>
      <w:r>
        <w:instrText xml:space="preserve"> ADDIN EN.CITE &lt;EndNote&gt;&lt;Cite&gt;&lt;Author&gt;Özceylan&lt;/Author&gt;&lt;Year&gt;2016&lt;/Year&gt;&lt;RecNum&gt;248&lt;/RecNum&gt;&lt;DisplayText&gt;(Özceylan et al., 2016)&lt;/DisplayText&gt;&lt;record&gt;&lt;rec-number&gt;248&lt;/rec-number&gt;&lt;foreign-keys&gt;&lt;key app="EN" db-id="t2tttt5z4vw0z3etadq5px5k0a5wraw2d092" timestamp="1564630950"&gt;248&lt;/key&gt;&lt;/foreign-keys&gt;&lt;ref-type name="Journal Article"&gt;17&lt;/ref-type&gt;&lt;contributors&gt;&lt;authors&gt;&lt;author&gt;Özceylan, Eren&lt;/author&gt;&lt;author&gt;Erbaş, Mehmet&lt;/author&gt;&lt;author&gt;Tolon, Mert&lt;/author&gt;&lt;author&gt;Kabak, Mehmet&lt;/author&gt;&lt;author&gt;Durğut, Temel&lt;/author&gt;&lt;/authors&gt;&lt;/contributors&gt;&lt;titles&gt;&lt;title&gt;Evaluation of freight villages: A GIS-based multi-criteria decision analysis&lt;/title&gt;&lt;secondary-title&gt;Computers in Industry&lt;/secondary-title&gt;&lt;/titles&gt;&lt;periodical&gt;&lt;full-title&gt;Computers in Industry&lt;/full-title&gt;&lt;/periodical&gt;&lt;pages&gt;38-52&lt;/pages&gt;&lt;volume&gt;76&lt;/volume&gt;&lt;keywords&gt;&lt;keyword&gt;ANP&lt;/keyword&gt;&lt;keyword&gt;Case study&lt;/keyword&gt;&lt;keyword&gt;Evaluation&lt;/keyword&gt;&lt;keyword&gt;Freight village&lt;/keyword&gt;&lt;keyword&gt;Geographic information system&lt;/keyword&gt;&lt;keyword&gt;TOPSIS&lt;/keyword&gt;&lt;/keywords&gt;&lt;dates&gt;&lt;year&gt;2016&lt;/year&gt;&lt;pub-dates&gt;&lt;date&gt;2016/02/01/&lt;/date&gt;&lt;/pub-dates&gt;&lt;/dates&gt;&lt;isbn&gt;0166-3615&lt;/isbn&gt;&lt;urls&gt;&lt;related-urls&gt;&lt;url&gt;http://www.sciencedirect.com/science/article/pii/S016636151530066X&lt;/url&gt;&lt;/related-urls&gt;&lt;/urls&gt;&lt;electronic-resource-num&gt;https://doi.org/10.1016/j.compind.2015.12.003&lt;/electronic-resource-num&gt;&lt;/record&gt;&lt;/Cite&gt;&lt;/EndNote&gt;</w:instrText>
      </w:r>
      <w:r>
        <w:fldChar w:fldCharType="separate"/>
      </w:r>
      <w:r>
        <w:rPr>
          <w:noProof/>
        </w:rPr>
        <w:t>(Özceylan et al., 2016)</w:t>
      </w:r>
      <w:r>
        <w:fldChar w:fldCharType="end"/>
      </w:r>
      <w:r>
        <w:t xml:space="preserve">.   </w:t>
      </w:r>
    </w:p>
    <w:p w14:paraId="28735482" w14:textId="77777777" w:rsidR="004533CB" w:rsidRDefault="004533CB" w:rsidP="004F6DA0"/>
    <w:p w14:paraId="3CD6E581" w14:textId="630DE35C" w:rsidR="004F6DA0" w:rsidRDefault="00364A0A" w:rsidP="004F6DA0">
      <w:r w:rsidRPr="00364A0A">
        <w:t xml:space="preserve">The traditional approach to deal with transportation systems is the four step aggregate demand model </w:t>
      </w:r>
      <w:r w:rsidRPr="00364A0A">
        <w:fldChar w:fldCharType="begin"/>
      </w:r>
      <w:r>
        <w:instrText xml:space="preserve"> ADDIN EN.CITE &lt;EndNote&gt;&lt;Cite&gt;&lt;Author&gt;Ortuzar&lt;/Author&gt;&lt;Year&gt;2011&lt;/Year&gt;&lt;RecNum&gt;93&lt;/RecNum&gt;&lt;DisplayText&gt;(Ortuzar and Willumsen, 2011)&lt;/DisplayText&gt;&lt;record&gt;&lt;rec-number&gt;93&lt;/rec-number&gt;&lt;foreign-keys&gt;&lt;key app="EN" db-id="t2tttt5z4vw0z3etadq5px5k0a5wraw2d092" timestamp="1538087624"&gt;93&lt;/key&gt;&lt;/foreign-keys&gt;&lt;ref-type name="Book"&gt;6&lt;/ref-type&gt;&lt;contributors&gt;&lt;authors&gt;&lt;author&gt;Ortuzar, Juan de Dios&lt;/author&gt;&lt;author&gt;Willumsen, Luis G.&lt;/author&gt;&lt;/authors&gt;&lt;/contributors&gt;&lt;titles&gt;&lt;title&gt;Modelling Transport&lt;/title&gt;&lt;/titles&gt;&lt;pages&gt;607-607&lt;/pages&gt;&lt;dates&gt;&lt;year&gt;2011&lt;/year&gt;&lt;/dates&gt;&lt;isbn&gt;9780470760390&lt;/isbn&gt;&lt;urls&gt;&lt;/urls&gt;&lt;electronic-resource-num&gt;10.1002/9781119993308&lt;/electronic-resource-num&gt;&lt;/record&gt;&lt;/Cite&gt;&lt;/EndNote&gt;</w:instrText>
      </w:r>
      <w:r w:rsidRPr="00364A0A">
        <w:fldChar w:fldCharType="separate"/>
      </w:r>
      <w:r w:rsidRPr="00364A0A">
        <w:rPr>
          <w:noProof/>
        </w:rPr>
        <w:t>(Ortuzar and Willumsen, 2011)</w:t>
      </w:r>
      <w:r w:rsidRPr="00364A0A">
        <w:fldChar w:fldCharType="end"/>
      </w:r>
      <w:r w:rsidR="00DC471C">
        <w:t xml:space="preserve">. </w:t>
      </w:r>
      <w:r w:rsidR="002A0105">
        <w:t>On the spatial distribution side,</w:t>
      </w:r>
      <w:r w:rsidR="004F6DA0">
        <w:t xml:space="preserve"> data </w:t>
      </w:r>
      <w:r w:rsidR="002A0105">
        <w:t xml:space="preserve">is </w:t>
      </w:r>
      <w:r w:rsidR="004F6DA0">
        <w:t xml:space="preserve">aggregated over several geographical zones, and follow assumptions that are reasonable for flows with an interregional resolution </w:t>
      </w:r>
      <w:r w:rsidR="004F6DA0">
        <w:fldChar w:fldCharType="begin"/>
      </w:r>
      <w:r w:rsidR="004F6DA0">
        <w:instrText xml:space="preserve"> ADDIN EN.CITE &lt;EndNote&gt;&lt;Cite&gt;&lt;Author&gt;de Grange&lt;/Author&gt;&lt;Year&gt;2010&lt;/Year&gt;&lt;RecNum&gt;261&lt;/RecNum&gt;&lt;DisplayText&gt;(de Grange et al., 2010)&lt;/DisplayText&gt;&lt;record&gt;&lt;rec-number&gt;261&lt;/rec-number&gt;&lt;foreign-keys&gt;&lt;key app="EN" db-id="t2tttt5z4vw0z3etadq5px5k0a5wraw2d092" timestamp="1571273543"&gt;261&lt;/key&gt;&lt;/foreign-keys&gt;&lt;ref-type name="Journal Article"&gt;17&lt;/ref-type&gt;&lt;contributors&gt;&lt;authors&gt;&lt;author&gt;de Grange, L.&lt;/author&gt;&lt;author&gt;Fernandez, E.&lt;/author&gt;&lt;author&gt;de Cea, J.&lt;/author&gt;&lt;/authors&gt;&lt;/contributors&gt;&lt;auth-address&gt;Diego Port Univ, Dept Ind Engn, Santiago 432, Chile&amp;#xD;Pontificia Univ Catolica Chile, Dept Transport Engn &amp;amp; Logist, Santiago 4860, Chile&lt;/auth-address&gt;&lt;titles&gt;&lt;title&gt;A consolidated model of trip distribution&lt;/title&gt;&lt;secondary-title&gt;Transportation Research Part E-Logistics and Transportation Review&lt;/secondary-title&gt;&lt;alt-title&gt;Transport Res E-Log&lt;/alt-title&gt;&lt;/titles&gt;&lt;periodical&gt;&lt;full-title&gt;Transportation Research Part E-Logistics and Transportation Review&lt;/full-title&gt;&lt;abbr-1&gt;Transport Res E-Log&lt;/abbr-1&gt;&lt;/periodical&gt;&lt;alt-periodical&gt;&lt;full-title&gt;Transportation Research Part E-Logistics and Transportation Review&lt;/full-title&gt;&lt;abbr-1&gt;Transport Res E-Log&lt;/abbr-1&gt;&lt;/alt-periodical&gt;&lt;pages&gt;61-75&lt;/pages&gt;&lt;volume&gt;46&lt;/volume&gt;&lt;number&gt;1&lt;/number&gt;&lt;keywords&gt;&lt;keyword&gt;trip distribution&lt;/keyword&gt;&lt;keyword&gt;multi-objective optimization&lt;/keyword&gt;&lt;keyword&gt;gravity model&lt;/keyword&gt;&lt;keyword&gt;entropy&lt;/keyword&gt;&lt;keyword&gt;maximum likelihood&lt;/keyword&gt;&lt;keyword&gt;spatial aggregation&lt;/keyword&gt;&lt;keyword&gt;intervening opportunities&lt;/keyword&gt;&lt;keyword&gt;competing destinations&lt;/keyword&gt;&lt;keyword&gt;flows&lt;/keyword&gt;&lt;keyword&gt;parameters&lt;/keyword&gt;&lt;/keywords&gt;&lt;dates&gt;&lt;year&gt;2010&lt;/year&gt;&lt;pub-dates&gt;&lt;date&gt;Jan&lt;/date&gt;&lt;/pub-dates&gt;&lt;/dates&gt;&lt;isbn&gt;1366-5545&lt;/isbn&gt;&lt;accession-num&gt;WOS:000271409100005&lt;/accession-num&gt;&lt;urls&gt;&lt;related-urls&gt;&lt;url&gt;&amp;lt;Go to ISI&amp;gt;://WOS:000271409100005&lt;/url&gt;&lt;/related-urls&gt;&lt;/urls&gt;&lt;electronic-resource-num&gt;10.1016/j.tre.2009.06.001&lt;/electronic-resource-num&gt;&lt;language&gt;English&lt;/language&gt;&lt;/record&gt;&lt;/Cite&gt;&lt;/EndNote&gt;</w:instrText>
      </w:r>
      <w:r w:rsidR="004F6DA0">
        <w:fldChar w:fldCharType="separate"/>
      </w:r>
      <w:r w:rsidR="004F6DA0">
        <w:rPr>
          <w:noProof/>
        </w:rPr>
        <w:t>(de Grange et al., 2010)</w:t>
      </w:r>
      <w:r w:rsidR="004F6DA0">
        <w:fldChar w:fldCharType="end"/>
      </w:r>
      <w:r w:rsidR="004F6DA0">
        <w:t xml:space="preserve">. </w:t>
      </w:r>
      <w:r w:rsidR="004F6DA0">
        <w:fldChar w:fldCharType="begin"/>
      </w:r>
      <w:r w:rsidR="004F6DA0">
        <w:instrText xml:space="preserve"> ADDIN EN.CITE &lt;EndNote&gt;&lt;Cite AuthorYear="1"&gt;&lt;Author&gt;Wilson&lt;/Author&gt;&lt;Year&gt;1971&lt;/Year&gt;&lt;RecNum&gt;241&lt;/RecNum&gt;&lt;DisplayText&gt;Wilson (1971)&lt;/DisplayText&gt;&lt;record&gt;&lt;rec-number&gt;241&lt;/rec-number&gt;&lt;foreign-keys&gt;&lt;key app="EN" db-id="t2tttt5z4vw0z3etadq5px5k0a5wraw2d092" timestamp="1564372731"&gt;241&lt;/key&gt;&lt;/foreign-keys&gt;&lt;ref-type name="Journal Article"&gt;17&lt;/ref-type&gt;&lt;contributors&gt;&lt;authors&gt;&lt;author&gt;Wilson, Alan Geoffrey&lt;/author&gt;&lt;/authors&gt;&lt;/contributors&gt;&lt;titles&gt;&lt;title&gt;A family of spatial interaction models, and associated developments&lt;/title&gt;&lt;secondary-title&gt;Environment and Planning A&lt;/secondary-title&gt;&lt;/titles&gt;&lt;periodical&gt;&lt;full-title&gt;Environment and Planning A&lt;/full-title&gt;&lt;/periodical&gt;&lt;pages&gt;1-32&lt;/pages&gt;&lt;volume&gt;3&lt;/volume&gt;&lt;number&gt;1&lt;/number&gt;&lt;dates&gt;&lt;year&gt;1971&lt;/year&gt;&lt;/dates&gt;&lt;isbn&gt;0308-518X&lt;/isbn&gt;&lt;urls&gt;&lt;/urls&gt;&lt;/record&gt;&lt;/Cite&gt;&lt;/EndNote&gt;</w:instrText>
      </w:r>
      <w:r w:rsidR="004F6DA0">
        <w:fldChar w:fldCharType="separate"/>
      </w:r>
      <w:r w:rsidR="004F6DA0">
        <w:rPr>
          <w:noProof/>
        </w:rPr>
        <w:t>Wilson (1971)</w:t>
      </w:r>
      <w:r w:rsidR="004F6DA0">
        <w:fldChar w:fldCharType="end"/>
      </w:r>
      <w:r w:rsidR="004F6DA0">
        <w:t xml:space="preserve"> derived a family of spatial interaction models upon the gravity model. This family of models has become the main framework for </w:t>
      </w:r>
      <w:r w:rsidR="00082E5A">
        <w:t>modelling</w:t>
      </w:r>
      <w:r w:rsidR="004F6DA0">
        <w:t xml:space="preserve"> aggregated distribution structures. </w:t>
      </w:r>
      <w:r w:rsidR="006E0CF6">
        <w:t>The m</w:t>
      </w:r>
      <w:r w:rsidR="004F6DA0">
        <w:t xml:space="preserve">odel form depends on additional knowledge about the interaction variables, and the distribution matrices can be estimated upon the execution of an entropy maximizing method given a set of knowledge-based constraints </w:t>
      </w:r>
      <w:r w:rsidR="004F6DA0">
        <w:fldChar w:fldCharType="begin"/>
      </w:r>
      <w:r w:rsidR="004F6DA0">
        <w:instrText xml:space="preserve"> ADDIN EN.CITE &lt;EndNote&gt;&lt;Cite&gt;&lt;Author&gt;Wilson&lt;/Author&gt;&lt;Year&gt;1971&lt;/Year&gt;&lt;RecNum&gt;241&lt;/RecNum&gt;&lt;DisplayText&gt;(Wilson, 1971)&lt;/DisplayText&gt;&lt;record&gt;&lt;rec-number&gt;241&lt;/rec-number&gt;&lt;foreign-keys&gt;&lt;key app="EN" db-id="t2tttt5z4vw0z3etadq5px5k0a5wraw2d092" timestamp="1564372731"&gt;241&lt;/key&gt;&lt;/foreign-keys&gt;&lt;ref-type name="Journal Article"&gt;17&lt;/ref-type&gt;&lt;contributors&gt;&lt;authors&gt;&lt;author&gt;Wilson, Alan Geoffrey&lt;/author&gt;&lt;/authors&gt;&lt;/contributors&gt;&lt;titles&gt;&lt;title&gt;A family of spatial interaction models, and associated developments&lt;/title&gt;&lt;secondary-title&gt;Environment and Planning A&lt;/secondary-title&gt;&lt;/titles&gt;&lt;periodical&gt;&lt;full-title&gt;Environment and Planning A&lt;/full-title&gt;&lt;/periodical&gt;&lt;pages&gt;1-32&lt;/pages&gt;&lt;volume&gt;3&lt;/volume&gt;&lt;number&gt;1&lt;/number&gt;&lt;dates&gt;&lt;year&gt;1971&lt;/year&gt;&lt;/dates&gt;&lt;isbn&gt;0308-518X&lt;/isbn&gt;&lt;urls&gt;&lt;/urls&gt;&lt;/record&gt;&lt;/Cite&gt;&lt;/EndNote&gt;</w:instrText>
      </w:r>
      <w:r w:rsidR="004F6DA0">
        <w:fldChar w:fldCharType="separate"/>
      </w:r>
      <w:r w:rsidR="004F6DA0">
        <w:rPr>
          <w:noProof/>
        </w:rPr>
        <w:t>(Wilson, 1971)</w:t>
      </w:r>
      <w:r w:rsidR="004F6DA0">
        <w:fldChar w:fldCharType="end"/>
      </w:r>
      <w:r w:rsidR="004F6DA0">
        <w:t xml:space="preserve">. </w:t>
      </w:r>
      <w:r w:rsidR="004F6DA0">
        <w:fldChar w:fldCharType="begin"/>
      </w:r>
      <w:r w:rsidR="004F6DA0">
        <w:instrText xml:space="preserve"> ADDIN EN.CITE &lt;EndNote&gt;&lt;Cite AuthorYear="1"&gt;&lt;Author&gt;Fotheringham&lt;/Author&gt;&lt;Year&gt;1983&lt;/Year&gt;&lt;RecNum&gt;266&lt;/RecNum&gt;&lt;DisplayText&gt;Fotheringham (1983)&lt;/DisplayText&gt;&lt;record&gt;&lt;rec-number&gt;266&lt;/rec-number&gt;&lt;foreign-keys&gt;&lt;key app="EN" db-id="t2tttt5z4vw0z3etadq5px5k0a5wraw2d092" timestamp="1572318081"&gt;266&lt;/key&gt;&lt;/foreign-keys&gt;&lt;ref-type name="Journal Article"&gt;17&lt;/ref-type&gt;&lt;contributors&gt;&lt;authors&gt;&lt;author&gt;Fotheringham, A S&lt;/author&gt;&lt;/authors&gt;&lt;/contributors&gt;&lt;titles&gt;&lt;title&gt;A New Set of Spatial-Interaction Models: The Theory of Competing Destinations&lt;/title&gt;&lt;secondary-title&gt;Environment and Planning A: Economy and Space&lt;/secondary-title&gt;&lt;/titles&gt;&lt;periodical&gt;&lt;full-title&gt;Environment and Planning A: Economy and Space&lt;/full-title&gt;&lt;/periodical&gt;&lt;pages&gt;15-36&lt;/pages&gt;&lt;volume&gt;15&lt;/volume&gt;&lt;number&gt;1&lt;/number&gt;&lt;dates&gt;&lt;year&gt;1983&lt;/year&gt;&lt;/dates&gt;&lt;urls&gt;&lt;related-urls&gt;&lt;url&gt;https://journals.sagepub.com/doi/abs/10.1177/0308518X8301500103&lt;/url&gt;&lt;/related-urls&gt;&lt;/urls&gt;&lt;electronic-resource-num&gt;10.1177/0308518x8301500103&lt;/electronic-resource-num&gt;&lt;/record&gt;&lt;/Cite&gt;&lt;/EndNote&gt;</w:instrText>
      </w:r>
      <w:r w:rsidR="004F6DA0">
        <w:fldChar w:fldCharType="separate"/>
      </w:r>
      <w:r w:rsidR="004F6DA0">
        <w:rPr>
          <w:noProof/>
        </w:rPr>
        <w:t>Fotheringham (1983)</w:t>
      </w:r>
      <w:r w:rsidR="004F6DA0">
        <w:fldChar w:fldCharType="end"/>
      </w:r>
      <w:r w:rsidR="004F6DA0">
        <w:t xml:space="preserve"> later acknowledged spatial-structure effects in the estimation of distance decay parameters, as interactions are often the result of a two-stage decision-making process, and proposed a new set of spatial interaction models referred as competing destination models. </w:t>
      </w:r>
      <w:r w:rsidR="004F6DA0">
        <w:fldChar w:fldCharType="begin"/>
      </w:r>
      <w:r w:rsidR="004F6DA0">
        <w:instrText xml:space="preserve"> ADDIN EN.CITE &lt;EndNote&gt;&lt;Cite AuthorYear="1"&gt;&lt;Author&gt;Fang&lt;/Author&gt;&lt;Year&gt;1995&lt;/Year&gt;&lt;RecNum&gt;267&lt;/RecNum&gt;&lt;DisplayText&gt;Fang and Tsao (1995)&lt;/DisplayText&gt;&lt;record&gt;&lt;rec-number&gt;267&lt;/rec-number&gt;&lt;foreign-keys&gt;&lt;key app="EN" db-id="t2tttt5z4vw0z3etadq5px5k0a5wraw2d092" timestamp="1572320368"&gt;267&lt;/key&gt;&lt;/foreign-keys&gt;&lt;ref-type name="Journal Article"&gt;17&lt;/ref-type&gt;&lt;contributors&gt;&lt;authors&gt;&lt;author&gt;Fang, S. C.&lt;/author&gt;&lt;author&gt;Tsao, H. S. J.&lt;/author&gt;&lt;/authors&gt;&lt;/contributors&gt;&lt;titles&gt;&lt;title&gt;Linearly-Constrained Entropy Maximization Problem with Quadratic Cost and Its Applications to Transportation Planning Problems&lt;/title&gt;&lt;secondary-title&gt;Transportation Science&lt;/secondary-title&gt;&lt;/titles&gt;&lt;periodical&gt;&lt;full-title&gt;Transportation Science&lt;/full-title&gt;&lt;/periodical&gt;&lt;pages&gt;353-365&lt;/pages&gt;&lt;volume&gt;29&lt;/volume&gt;&lt;number&gt;4&lt;/number&gt;&lt;dates&gt;&lt;year&gt;1995&lt;/year&gt;&lt;/dates&gt;&lt;publisher&gt;INFORMS&lt;/publisher&gt;&lt;isbn&gt;00411655, 15265447&lt;/isbn&gt;&lt;urls&gt;&lt;related-urls&gt;&lt;url&gt;http://www.jstor.org.ezproxy.canterbury.ac.nz/stable/25768703&lt;/url&gt;&lt;/related-urls&gt;&lt;/urls&gt;&lt;custom1&gt;Full publication date: November 1995&lt;/custom1&gt;&lt;remote-database-name&gt;JSTOR&lt;/remote-database-name&gt;&lt;/record&gt;&lt;/Cite&gt;&lt;/EndNote&gt;</w:instrText>
      </w:r>
      <w:r w:rsidR="004F6DA0">
        <w:fldChar w:fldCharType="separate"/>
      </w:r>
      <w:r w:rsidR="004F6DA0">
        <w:rPr>
          <w:noProof/>
        </w:rPr>
        <w:t>Fang and Tsao (1995)</w:t>
      </w:r>
      <w:r w:rsidR="004F6DA0">
        <w:fldChar w:fldCharType="end"/>
      </w:r>
      <w:r w:rsidR="004F6DA0">
        <w:t xml:space="preserve"> proposed the self-deterrent gravity formulation where the cost term takes a quadratic form in order to reflect the impact of congestion. </w:t>
      </w:r>
      <w:r w:rsidR="004F6DA0">
        <w:fldChar w:fldCharType="begin"/>
      </w:r>
      <w:r w:rsidR="004F6DA0">
        <w:instrText xml:space="preserve"> ADDIN EN.CITE &lt;EndNote&gt;&lt;Cite AuthorYear="1"&gt;&lt;Author&gt;de Grange&lt;/Author&gt;&lt;Year&gt;2010&lt;/Year&gt;&lt;RecNum&gt;261&lt;/RecNum&gt;&lt;DisplayText&gt;de Grange et al. (2010)&lt;/DisplayText&gt;&lt;record&gt;&lt;rec-number&gt;261&lt;/rec-number&gt;&lt;foreign-keys&gt;&lt;key app="EN" db-id="t2tttt5z4vw0z3etadq5px5k0a5wraw2d092" timestamp="1571273543"&gt;261&lt;/key&gt;&lt;/foreign-keys&gt;&lt;ref-type name="Journal Article"&gt;17&lt;/ref-type&gt;&lt;contributors&gt;&lt;authors&gt;&lt;author&gt;de Grange, L.&lt;/author&gt;&lt;author&gt;Fernandez, E.&lt;/author&gt;&lt;author&gt;de Cea, J.&lt;/author&gt;&lt;/authors&gt;&lt;/contributors&gt;&lt;auth-address&gt;Diego Port Univ, Dept Ind Engn, Santiago 432, Chile&amp;#xD;Pontificia Univ Catolica Chile, Dept Transport Engn &amp;amp; Logist, Santiago 4860, Chile&lt;/auth-address&gt;&lt;titles&gt;&lt;title&gt;A consolidated model of trip distribution&lt;/title&gt;&lt;secondary-title&gt;Transportation Research Part E-Logistics and Transportation Review&lt;/secondary-title&gt;&lt;alt-title&gt;Transport Res E-Log&lt;/alt-title&gt;&lt;/titles&gt;&lt;periodical&gt;&lt;full-title&gt;Transportation Research Part E-Logistics and Transportation Review&lt;/full-title&gt;&lt;abbr-1&gt;Transport Res E-Log&lt;/abbr-1&gt;&lt;/periodical&gt;&lt;alt-periodical&gt;&lt;full-title&gt;Transportation Research Part E-Logistics and Transportation Review&lt;/full-title&gt;&lt;abbr-1&gt;Transport Res E-Log&lt;/abbr-1&gt;&lt;/alt-periodical&gt;&lt;pages&gt;61-75&lt;/pages&gt;&lt;volume&gt;46&lt;/volume&gt;&lt;number&gt;1&lt;/number&gt;&lt;keywords&gt;&lt;keyword&gt;trip distribution&lt;/keyword&gt;&lt;keyword&gt;multi-objective optimization&lt;/keyword&gt;&lt;keyword&gt;gravity model&lt;/keyword&gt;&lt;keyword&gt;entropy&lt;/keyword&gt;&lt;keyword&gt;maximum likelihood&lt;/keyword&gt;&lt;keyword&gt;spatial aggregation&lt;/keyword&gt;&lt;keyword&gt;intervening opportunities&lt;/keyword&gt;&lt;keyword&gt;competing destinations&lt;/keyword&gt;&lt;keyword&gt;flows&lt;/keyword&gt;&lt;keyword&gt;parameters&lt;/keyword&gt;&lt;/keywords&gt;&lt;dates&gt;&lt;year&gt;2010&lt;/year&gt;&lt;pub-dates&gt;&lt;date&gt;Jan&lt;/date&gt;&lt;/pub-dates&gt;&lt;/dates&gt;&lt;isbn&gt;1366-5545&lt;/isbn&gt;&lt;accession-num&gt;WOS:000271409100005&lt;/accession-num&gt;&lt;urls&gt;&lt;related-urls&gt;&lt;url&gt;&amp;lt;Go to ISI&amp;gt;://WOS:000271409100005&lt;/url&gt;&lt;/related-urls&gt;&lt;/urls&gt;&lt;electronic-resource-num&gt;10.1016/j.tre.2009.06.001&lt;/electronic-resource-num&gt;&lt;language&gt;English&lt;/language&gt;&lt;/record&gt;&lt;/Cite&gt;&lt;/EndNote&gt;</w:instrText>
      </w:r>
      <w:r w:rsidR="004F6DA0">
        <w:fldChar w:fldCharType="separate"/>
      </w:r>
      <w:r w:rsidR="004F6DA0">
        <w:rPr>
          <w:noProof/>
        </w:rPr>
        <w:t>de Grange et al. (2010)</w:t>
      </w:r>
      <w:r w:rsidR="004F6DA0">
        <w:fldChar w:fldCharType="end"/>
      </w:r>
      <w:r w:rsidR="004F6DA0">
        <w:t xml:space="preserve"> proposed a consolidated model (CM) that embraced the most important features of the aforementioned spatial interaction models. The CM form provided the most accurate trip estimations in comparison to other gravity based formulations, and proved to be particularly useful when working with data with a high level of zone aggregation </w:t>
      </w:r>
      <w:r w:rsidR="004F6DA0">
        <w:fldChar w:fldCharType="begin"/>
      </w:r>
      <w:r w:rsidR="004F6DA0">
        <w:instrText xml:space="preserve"> ADDIN EN.CITE &lt;EndNote&gt;&lt;Cite&gt;&lt;Author&gt;de Grange&lt;/Author&gt;&lt;Year&gt;2010&lt;/Year&gt;&lt;RecNum&gt;261&lt;/RecNum&gt;&lt;DisplayText&gt;(de Grange et al., 2010)&lt;/DisplayText&gt;&lt;record&gt;&lt;rec-number&gt;261&lt;/rec-number&gt;&lt;foreign-keys&gt;&lt;key app="EN" db-id="t2tttt5z4vw0z3etadq5px5k0a5wraw2d092" timestamp="1571273543"&gt;261&lt;/key&gt;&lt;/foreign-keys&gt;&lt;ref-type name="Journal Article"&gt;17&lt;/ref-type&gt;&lt;contributors&gt;&lt;authors&gt;&lt;author&gt;de Grange, L.&lt;/author&gt;&lt;author&gt;Fernandez, E.&lt;/author&gt;&lt;author&gt;de Cea, J.&lt;/author&gt;&lt;/authors&gt;&lt;/contributors&gt;&lt;auth-address&gt;Diego Port Univ, Dept Ind Engn, Santiago 432, Chile&amp;#xD;Pontificia Univ Catolica Chile, Dept Transport Engn &amp;amp; Logist, Santiago 4860, Chile&lt;/auth-address&gt;&lt;titles&gt;&lt;title&gt;A consolidated model of trip distribution&lt;/title&gt;&lt;secondary-title&gt;Transportation Research Part E-Logistics and Transportation Review&lt;/secondary-title&gt;&lt;alt-title&gt;Transport Res E-Log&lt;/alt-title&gt;&lt;/titles&gt;&lt;periodical&gt;&lt;full-title&gt;Transportation Research Part E-Logistics and Transportation Review&lt;/full-title&gt;&lt;abbr-1&gt;Transport Res E-Log&lt;/abbr-1&gt;&lt;/periodical&gt;&lt;alt-periodical&gt;&lt;full-title&gt;Transportation Research Part E-Logistics and Transportation Review&lt;/full-title&gt;&lt;abbr-1&gt;Transport Res E-Log&lt;/abbr-1&gt;&lt;/alt-periodical&gt;&lt;pages&gt;61-75&lt;/pages&gt;&lt;volume&gt;46&lt;/volume&gt;&lt;number&gt;1&lt;/number&gt;&lt;keywords&gt;&lt;keyword&gt;trip distribution&lt;/keyword&gt;&lt;keyword&gt;multi-objective optimization&lt;/keyword&gt;&lt;keyword&gt;gravity model&lt;/keyword&gt;&lt;keyword&gt;entropy&lt;/keyword&gt;&lt;keyword&gt;maximum likelihood&lt;/keyword&gt;&lt;keyword&gt;spatial aggregation&lt;/keyword&gt;&lt;keyword&gt;intervening opportunities&lt;/keyword&gt;&lt;keyword&gt;competing destinations&lt;/keyword&gt;&lt;keyword&gt;flows&lt;/keyword&gt;&lt;keyword&gt;parameters&lt;/keyword&gt;&lt;/keywords&gt;&lt;dates&gt;&lt;year&gt;2010&lt;/year&gt;&lt;pub-dates&gt;&lt;date&gt;Jan&lt;/date&gt;&lt;/pub-dates&gt;&lt;/dates&gt;&lt;isbn&gt;1366-5545&lt;/isbn&gt;&lt;accession-num&gt;WOS:000271409100005&lt;/accession-num&gt;&lt;urls&gt;&lt;related-urls&gt;&lt;url&gt;&amp;lt;Go to ISI&amp;gt;://WOS:000271409100005&lt;/url&gt;&lt;/related-urls&gt;&lt;/urls&gt;&lt;electronic-resource-num&gt;10.1016/j.tre.2009.06.001&lt;/electronic-resource-num&gt;&lt;language&gt;English&lt;/language&gt;&lt;/record&gt;&lt;/Cite&gt;&lt;/EndNote&gt;</w:instrText>
      </w:r>
      <w:r w:rsidR="004F6DA0">
        <w:fldChar w:fldCharType="separate"/>
      </w:r>
      <w:r w:rsidR="004F6DA0">
        <w:rPr>
          <w:noProof/>
        </w:rPr>
        <w:t>(de Grange et al., 2010)</w:t>
      </w:r>
      <w:r w:rsidR="004F6DA0">
        <w:fldChar w:fldCharType="end"/>
      </w:r>
      <w:r w:rsidR="004F6DA0">
        <w:t xml:space="preserve">.   </w:t>
      </w:r>
    </w:p>
    <w:p w14:paraId="405C8EFE" w14:textId="77777777" w:rsidR="00731F8A" w:rsidRDefault="00731F8A" w:rsidP="004F6DA0"/>
    <w:p w14:paraId="0429860C" w14:textId="7519A00E" w:rsidR="004F6DA0" w:rsidRDefault="00C07999" w:rsidP="004F6DA0">
      <w:r>
        <w:t xml:space="preserve">Adapting the classic approach to the freight context implies substantive changes in order to account for inventory and transport logistics services </w:t>
      </w:r>
      <w:r>
        <w:fldChar w:fldCharType="begin"/>
      </w:r>
      <w:r>
        <w:instrText xml:space="preserve"> ADDIN EN.CITE &lt;EndNote&gt;&lt;Cite&gt;&lt;Author&gt;Tavasszy&lt;/Author&gt;&lt;Year&gt;2013&lt;/Year&gt;&lt;RecNum&gt;92&lt;/RecNum&gt;&lt;DisplayText&gt;(Tavasszy and de Jong, 2013)&lt;/DisplayText&gt;&lt;record&gt;&lt;rec-number&gt;92&lt;/rec-number&gt;&lt;foreign-keys&gt;&lt;key app="EN" db-id="t2tttt5z4vw0z3etadq5px5k0a5wraw2d092" timestamp="1538087624"&gt;92&lt;/key&gt;&lt;/foreign-keys&gt;&lt;ref-type name="Book Section"&gt;5&lt;/ref-type&gt;&lt;contributors&gt;&lt;authors&gt;&lt;author&gt;Tavasszy, Lorant&lt;/author&gt;&lt;author&gt;de Jong, Gerard&lt;/author&gt;&lt;/authors&gt;&lt;/contributors&gt;&lt;titles&gt;&lt;title&gt;Introduction&lt;/title&gt;&lt;secondary-title&gt;Modelling freight transport&lt;/secondary-title&gt;&lt;/titles&gt;&lt;pages&gt;1-12&lt;/pages&gt;&lt;dates&gt;&lt;year&gt;2013&lt;/year&gt;&lt;/dates&gt;&lt;publisher&gt;Elsevier&lt;/publisher&gt;&lt;isbn&gt;9780124104006&lt;/isbn&gt;&lt;urls&gt;&lt;/urls&gt;&lt;electronic-resource-num&gt;10.1016/C2012-0-06032-2&lt;/electronic-resource-num&gt;&lt;/record&gt;&lt;/Cite&gt;&lt;/EndNote&gt;</w:instrText>
      </w:r>
      <w:r>
        <w:fldChar w:fldCharType="separate"/>
      </w:r>
      <w:r>
        <w:rPr>
          <w:noProof/>
        </w:rPr>
        <w:t>(Tavasszy and de Jong, 2013)</w:t>
      </w:r>
      <w:r>
        <w:fldChar w:fldCharType="end"/>
      </w:r>
      <w:r>
        <w:t xml:space="preserve">. </w:t>
      </w:r>
      <w:r w:rsidR="004F6DA0">
        <w:t>Aggregate data often fail</w:t>
      </w:r>
      <w:r w:rsidR="002A0105">
        <w:t>s</w:t>
      </w:r>
      <w:r w:rsidR="004F6DA0">
        <w:t xml:space="preserve"> to describe the structure underlying logistic</w:t>
      </w:r>
      <w:r w:rsidR="006E0CF6">
        <w:t>s</w:t>
      </w:r>
      <w:r w:rsidR="004F6DA0">
        <w:t xml:space="preserve"> operations, as the pattern of shipments within a freight system is lost and replaced by patterns that respond differently to changes in transportation attributes </w:t>
      </w:r>
      <w:r w:rsidR="004F6DA0">
        <w:fldChar w:fldCharType="begin"/>
      </w:r>
      <w:r w:rsidR="004F6DA0">
        <w:instrText xml:space="preserve"> ADDIN EN.CITE &lt;EndNote&gt;&lt;Cite&gt;&lt;Author&gt;Friedrich&lt;/Author&gt;&lt;Year&gt;2014&lt;/Year&gt;&lt;RecNum&gt;243&lt;/RecNum&gt;&lt;DisplayText&gt;(Friedrich et al., 2014)&lt;/DisplayText&gt;&lt;record&gt;&lt;rec-number&gt;243&lt;/rec-number&gt;&lt;foreign-keys&gt;&lt;key app="EN" db-id="t2tttt5z4vw0z3etadq5px5k0a5wraw2d092" timestamp="1564373050"&gt;243&lt;/key&gt;&lt;/foreign-keys&gt;&lt;ref-type name="Book Section"&gt;5&lt;/ref-type&gt;&lt;contributors&gt;&lt;authors&gt;&lt;author&gt;Friedrich, Hanno&lt;/author&gt;&lt;author&gt;Tavasszy, Lóránt&lt;/author&gt;&lt;author&gt;Davydenko, Igor&lt;/author&gt;&lt;/authors&gt;&lt;/contributors&gt;&lt;titles&gt;&lt;title&gt;Distribution structures&lt;/title&gt;&lt;secondary-title&gt;Modelling freight transport&lt;/secondary-title&gt;&lt;/titles&gt;&lt;pages&gt;65-87&lt;/pages&gt;&lt;dates&gt;&lt;year&gt;2014&lt;/year&gt;&lt;/dates&gt;&lt;publisher&gt;Elsevier&lt;/publisher&gt;&lt;urls&gt;&lt;/urls&gt;&lt;/record&gt;&lt;/Cite&gt;&lt;/EndNote&gt;</w:instrText>
      </w:r>
      <w:r w:rsidR="004F6DA0">
        <w:fldChar w:fldCharType="separate"/>
      </w:r>
      <w:r w:rsidR="004F6DA0">
        <w:rPr>
          <w:noProof/>
        </w:rPr>
        <w:t>(Friedrich et al., 2014)</w:t>
      </w:r>
      <w:r w:rsidR="004F6DA0">
        <w:fldChar w:fldCharType="end"/>
      </w:r>
      <w:r w:rsidR="004F6DA0">
        <w:t xml:space="preserve">.  </w:t>
      </w:r>
      <w:r w:rsidR="004F6DA0">
        <w:fldChar w:fldCharType="begin"/>
      </w:r>
      <w:r w:rsidR="004F6DA0">
        <w:instrText xml:space="preserve"> ADDIN EN.CITE &lt;EndNote&gt;&lt;Cite AuthorYear="1"&gt;&lt;Author&gt;Davydenko&lt;/Author&gt;&lt;Year&gt;2013&lt;/Year&gt;&lt;RecNum&gt;268&lt;/RecNum&gt;&lt;DisplayText&gt;Davydenko and Tavasszy (2013)&lt;/DisplayText&gt;&lt;record&gt;&lt;rec-number&gt;268&lt;/rec-number&gt;&lt;foreign-keys&gt;&lt;key app="EN" db-id="t2tttt5z4vw0z3etadq5px5k0a5wraw2d092" timestamp="1572472579"&gt;268&lt;/key&gt;&lt;/foreign-keys&gt;&lt;ref-type name="Journal Article"&gt;17&lt;/ref-type&gt;&lt;contributors&gt;&lt;authors&gt;&lt;author&gt;Davydenko, Igor Y&lt;/author&gt;&lt;author&gt;Tavasszy, Lóránt A&lt;/author&gt;&lt;/authors&gt;&lt;/contributors&gt;&lt;titles&gt;&lt;title&gt;Estimation of warehouse throughput in freight transport demand model for the Netherlands&lt;/title&gt;&lt;secondary-title&gt;Transportation Research Record&lt;/secondary-title&gt;&lt;/titles&gt;&lt;periodical&gt;&lt;full-title&gt;Transportation Research Record&lt;/full-title&gt;&lt;/periodical&gt;&lt;pages&gt;9-17&lt;/pages&gt;&lt;volume&gt;2379&lt;/volume&gt;&lt;number&gt;1&lt;/number&gt;&lt;dates&gt;&lt;year&gt;2013&lt;/year&gt;&lt;/dates&gt;&lt;isbn&gt;0361-1981&lt;/isbn&gt;&lt;urls&gt;&lt;/urls&gt;&lt;/record&gt;&lt;/Cite&gt;&lt;/EndNote&gt;</w:instrText>
      </w:r>
      <w:r w:rsidR="004F6DA0">
        <w:fldChar w:fldCharType="separate"/>
      </w:r>
      <w:r w:rsidR="004F6DA0">
        <w:rPr>
          <w:noProof/>
        </w:rPr>
        <w:t>Davydenko and Tavasszy (2013)</w:t>
      </w:r>
      <w:r w:rsidR="004F6DA0">
        <w:fldChar w:fldCharType="end"/>
      </w:r>
      <w:r w:rsidR="004F6DA0">
        <w:t xml:space="preserve"> addressed the challenge of capturing logistics aspects, and proposed a model that integrates an intermediate step to the traditional four-step framework. The model uses discrete choice methods, as part of a logistics chain model that determines the probability of goods being shipped directly or through intermediate distribution </w:t>
      </w:r>
      <w:r>
        <w:t>centres</w:t>
      </w:r>
      <w:r w:rsidR="004F6DA0">
        <w:t xml:space="preserve"> and warehouses </w:t>
      </w:r>
      <w:r w:rsidR="004F6DA0">
        <w:fldChar w:fldCharType="begin"/>
      </w:r>
      <w:r w:rsidR="004F6DA0">
        <w:instrText xml:space="preserve"> ADDIN EN.CITE &lt;EndNote&gt;&lt;Cite&gt;&lt;Author&gt;Davydenko&lt;/Author&gt;&lt;Year&gt;2013&lt;/Year&gt;&lt;RecNum&gt;268&lt;/RecNum&gt;&lt;DisplayText&gt;(Davydenko and Tavasszy, 2013)&lt;/DisplayText&gt;&lt;record&gt;&lt;rec-number&gt;268&lt;/rec-number&gt;&lt;foreign-keys&gt;&lt;key app="EN" db-id="t2tttt5z4vw0z3etadq5px5k0a5wraw2d092" timestamp="1572472579"&gt;268&lt;/key&gt;&lt;/foreign-keys&gt;&lt;ref-type name="Journal Article"&gt;17&lt;/ref-type&gt;&lt;contributors&gt;&lt;authors&gt;&lt;author&gt;Davydenko, Igor Y&lt;/author&gt;&lt;author&gt;Tavasszy, Lóránt A&lt;/author&gt;&lt;/authors&gt;&lt;/contributors&gt;&lt;titles&gt;&lt;title&gt;Estimation of warehouse throughput in freight transport demand model for the Netherlands&lt;/title&gt;&lt;secondary-title&gt;Transportation Research Record&lt;/secondary-title&gt;&lt;/titles&gt;&lt;periodical&gt;&lt;full-title&gt;Transportation Research Record&lt;/full-title&gt;&lt;/periodical&gt;&lt;pages&gt;9-17&lt;/pages&gt;&lt;volume&gt;2379&lt;/volume&gt;&lt;number&gt;1&lt;/number&gt;&lt;dates&gt;&lt;year&gt;2013&lt;/year&gt;&lt;/dates&gt;&lt;isbn&gt;0361-1981&lt;/isbn&gt;&lt;urls&gt;&lt;/urls&gt;&lt;/record&gt;&lt;/Cite&gt;&lt;/EndNote&gt;</w:instrText>
      </w:r>
      <w:r w:rsidR="004F6DA0">
        <w:fldChar w:fldCharType="separate"/>
      </w:r>
      <w:r w:rsidR="004F6DA0">
        <w:rPr>
          <w:noProof/>
        </w:rPr>
        <w:t>(Davydenko and Tavasszy, 2013)</w:t>
      </w:r>
      <w:r w:rsidR="004F6DA0">
        <w:fldChar w:fldCharType="end"/>
      </w:r>
      <w:r w:rsidR="004F6DA0">
        <w:t xml:space="preserve">. </w:t>
      </w:r>
      <w:r w:rsidR="004F6DA0">
        <w:fldChar w:fldCharType="begin"/>
      </w:r>
      <w:r w:rsidR="004F6DA0">
        <w:instrText xml:space="preserve"> ADDIN EN.CITE &lt;EndNote&gt;&lt;Cite AuthorYear="1"&gt;&lt;Author&gt;Maurer&lt;/Author&gt;&lt;Year&gt;2008&lt;/Year&gt;&lt;RecNum&gt;269&lt;/RecNum&gt;&lt;DisplayText&gt;Maurer (2008)&lt;/DisplayText&gt;&lt;record&gt;&lt;rec-number&gt;269&lt;/rec-number&gt;&lt;foreign-keys&gt;&lt;key app="EN" db-id="t2tttt5z4vw0z3etadq5px5k0a5wraw2d092" timestamp="1572475907"&gt;269&lt;/key&gt;&lt;/foreign-keys&gt;&lt;ref-type name="Thesis"&gt;32&lt;/ref-type&gt;&lt;contributors&gt;&lt;authors&gt;&lt;author&gt;Maurer, Hedwig Hildegard&lt;/author&gt;&lt;/authors&gt;&lt;/contributors&gt;&lt;titles&gt;&lt;title&gt;Development of an integrated model for estimating emissions from freight transport&lt;/title&gt;&lt;/titles&gt;&lt;dates&gt;&lt;year&gt;2008&lt;/year&gt;&lt;/dates&gt;&lt;publisher&gt;University of Leeds (Institute for Transport Studies)&lt;/publisher&gt;&lt;urls&gt;&lt;/urls&gt;&lt;/record&gt;&lt;/Cite&gt;&lt;/EndNote&gt;</w:instrText>
      </w:r>
      <w:r w:rsidR="004F6DA0">
        <w:fldChar w:fldCharType="separate"/>
      </w:r>
      <w:r w:rsidR="004F6DA0">
        <w:rPr>
          <w:noProof/>
        </w:rPr>
        <w:t>Maurer (2008)</w:t>
      </w:r>
      <w:r w:rsidR="004F6DA0">
        <w:fldChar w:fldCharType="end"/>
      </w:r>
      <w:r w:rsidR="004F6DA0">
        <w:t xml:space="preserve"> developed an integrated model </w:t>
      </w:r>
      <w:r>
        <w:t>that</w:t>
      </w:r>
      <w:r w:rsidR="004F6DA0">
        <w:t xml:space="preserve"> contemplates a logistics module that takes a production consumption matrix as input and transforms it into an </w:t>
      </w:r>
      <w:r w:rsidR="0057331A">
        <w:t>OD</w:t>
      </w:r>
      <w:r w:rsidR="004F6DA0">
        <w:t xml:space="preserve"> matrix through the execution of a network optimization model with transportation and inventory costs as variables </w:t>
      </w:r>
      <w:r w:rsidR="004F6DA0">
        <w:fldChar w:fldCharType="begin"/>
      </w:r>
      <w:r w:rsidR="004F6DA0">
        <w:instrText xml:space="preserve"> ADDIN EN.CITE &lt;EndNote&gt;&lt;Cite&gt;&lt;Author&gt;Maurer&lt;/Author&gt;&lt;Year&gt;2008&lt;/Year&gt;&lt;RecNum&gt;269&lt;/RecNum&gt;&lt;DisplayText&gt;(Maurer, 2008)&lt;/DisplayText&gt;&lt;record&gt;&lt;rec-number&gt;269&lt;/rec-number&gt;&lt;foreign-keys&gt;&lt;key app="EN" db-id="t2tttt5z4vw0z3etadq5px5k0a5wraw2d092" timestamp="1572475907"&gt;269&lt;/key&gt;&lt;/foreign-keys&gt;&lt;ref-type name="Thesis"&gt;32&lt;/ref-type&gt;&lt;contributors&gt;&lt;authors&gt;&lt;author&gt;Maurer, Hedwig Hildegard&lt;/author&gt;&lt;/authors&gt;&lt;/contributors&gt;&lt;titles&gt;&lt;title&gt;Development of an integrated model for estimating emissions from freight transport&lt;/title&gt;&lt;/titles&gt;&lt;dates&gt;&lt;year&gt;2008&lt;/year&gt;&lt;/dates&gt;&lt;publisher&gt;University of Leeds (Institute for Transport Studies)&lt;/publisher&gt;&lt;urls&gt;&lt;/urls&gt;&lt;/record&gt;&lt;/Cite&gt;&lt;/EndNote&gt;</w:instrText>
      </w:r>
      <w:r w:rsidR="004F6DA0">
        <w:fldChar w:fldCharType="separate"/>
      </w:r>
      <w:r w:rsidR="004F6DA0">
        <w:rPr>
          <w:noProof/>
        </w:rPr>
        <w:t>(Maurer, 2008)</w:t>
      </w:r>
      <w:r w:rsidR="004F6DA0">
        <w:fldChar w:fldCharType="end"/>
      </w:r>
      <w:r w:rsidR="004F6DA0">
        <w:t>.</w:t>
      </w:r>
      <w:r>
        <w:t xml:space="preserve"> </w:t>
      </w:r>
      <w:r w:rsidR="004F6DA0">
        <w:t>Bridging the gap between micro and macro distribution structures is a relatively new area of research in regards to freight transport modelling. In this paper, an approach</w:t>
      </w:r>
      <w:r w:rsidR="00411E8D">
        <w:t xml:space="preserve"> is presented</w:t>
      </w:r>
      <w:r w:rsidR="004F6DA0">
        <w:t xml:space="preserve"> to </w:t>
      </w:r>
      <w:r w:rsidR="00411E8D">
        <w:t xml:space="preserve">address </w:t>
      </w:r>
      <w:r w:rsidR="004F6DA0">
        <w:t xml:space="preserve">this gap. Distribution structures often focus on specific commodities and model formulations have overlooked the interdependencies between raw inputs and final products. In this paper, we address this challenge using known </w:t>
      </w:r>
      <w:r w:rsidR="004F6DA0">
        <w:lastRenderedPageBreak/>
        <w:t>distribution modelling methods along with open source geographic data, geoprocessing tasks and knowledge of the underlying market structure of forestry related products.</w:t>
      </w:r>
    </w:p>
    <w:p w14:paraId="48083A6C" w14:textId="77777777" w:rsidR="004F6DA0" w:rsidRDefault="004F6DA0" w:rsidP="004F6DA0">
      <w:pPr>
        <w:pStyle w:val="Heading2"/>
      </w:pPr>
      <w:bookmarkStart w:id="1" w:name="_Ref20238225"/>
      <w:r w:rsidRPr="00E10B58">
        <w:t>Methodology</w:t>
      </w:r>
      <w:bookmarkEnd w:id="1"/>
      <w:r w:rsidRPr="00E10B58">
        <w:t xml:space="preserve"> </w:t>
      </w:r>
    </w:p>
    <w:p w14:paraId="7EB626AF" w14:textId="2233404E" w:rsidR="004F6DA0" w:rsidRDefault="003E6BD1" w:rsidP="004F6DA0">
      <w:r>
        <w:t>T</w:t>
      </w:r>
      <w:r w:rsidR="004F6DA0" w:rsidRPr="000C0744">
        <w:t>his study</w:t>
      </w:r>
      <w:r>
        <w:t xml:space="preserve"> </w:t>
      </w:r>
      <w:r w:rsidR="004F6DA0" w:rsidRPr="000C0744">
        <w:t>take</w:t>
      </w:r>
      <w:r>
        <w:t>s</w:t>
      </w:r>
      <w:r w:rsidR="004F6DA0" w:rsidRPr="000C0744">
        <w:t xml:space="preserve"> the inter-regional tonnage totals reported in the </w:t>
      </w:r>
      <w:r w:rsidR="0057331A">
        <w:t>New Zealand Freight Demand Study (</w:t>
      </w:r>
      <w:r w:rsidR="004F6DA0" w:rsidRPr="000C0744">
        <w:t>NFDS</w:t>
      </w:r>
      <w:r w:rsidR="0057331A">
        <w:t>)</w:t>
      </w:r>
      <w:r w:rsidR="004F6DA0" w:rsidRPr="000C0744">
        <w:t xml:space="preserve"> as estimates for freight generation amongst forestry</w:t>
      </w:r>
      <w:r w:rsidR="006E0CF6">
        <w:t>-</w:t>
      </w:r>
      <w:r w:rsidR="004F6DA0" w:rsidRPr="000C0744">
        <w:t>related supply chains, and execute</w:t>
      </w:r>
      <w:r>
        <w:t>s</w:t>
      </w:r>
      <w:r w:rsidR="004F6DA0" w:rsidRPr="000C0744">
        <w:t xml:space="preserve"> a freight distribution model. Tables from the </w:t>
      </w:r>
      <w:r w:rsidR="002A0105">
        <w:t xml:space="preserve">NFDS </w:t>
      </w:r>
      <w:r w:rsidR="004F6DA0" w:rsidRPr="000C0744">
        <w:t>report describe movements linked to local consumption and export movements of logs, timber products, panel and pulp products</w:t>
      </w:r>
      <w:r w:rsidR="004F6DA0">
        <w:t xml:space="preserve"> </w:t>
      </w:r>
      <w:r w:rsidR="004F6DA0">
        <w:fldChar w:fldCharType="begin"/>
      </w:r>
      <w:r w:rsidR="004F6DA0">
        <w:instrText xml:space="preserve"> ADDIN EN.CITE &lt;EndNote&gt;&lt;Cite&gt;&lt;Author&gt;Deloitte&lt;/Author&gt;&lt;Year&gt;2014&lt;/Year&gt;&lt;RecNum&gt;127&lt;/RecNum&gt;&lt;DisplayText&gt;(Deloitte et al., 2014)&lt;/DisplayText&gt;&lt;record&gt;&lt;rec-number&gt;127&lt;/rec-number&gt;&lt;foreign-keys&gt;&lt;key app="EN" db-id="t2tttt5z4vw0z3etadq5px5k0a5wraw2d092" timestamp="1538455999"&gt;127&lt;/key&gt;&lt;/foreign-keys&gt;&lt;ref-type name="Report"&gt;27&lt;/ref-type&gt;&lt;contributors&gt;&lt;authors&gt;&lt;author&gt;Deloitte,&lt;/author&gt;&lt;author&gt;Richard Paling Consulting,&lt;/author&gt;&lt;author&gt;Murray King &amp;amp; Francis Small Consulting,&lt;/author&gt;&lt;author&gt;Cooper Associates,&lt;/author&gt;&lt;/authors&gt;&lt;/contributors&gt;&lt;titles&gt;&lt;title&gt;National Freight Demand Study&lt;/title&gt;&lt;/titles&gt;&lt;dates&gt;&lt;year&gt;2014&lt;/year&gt;&lt;/dates&gt;&lt;publisher&gt;Ministry of Transport&lt;/publisher&gt;&lt;urls&gt;&lt;/urls&gt;&lt;/record&gt;&lt;/Cite&gt;&lt;/EndNote&gt;</w:instrText>
      </w:r>
      <w:r w:rsidR="004F6DA0">
        <w:fldChar w:fldCharType="separate"/>
      </w:r>
      <w:r w:rsidR="004F6DA0">
        <w:rPr>
          <w:noProof/>
        </w:rPr>
        <w:t>(Deloitte et al., 2014)</w:t>
      </w:r>
      <w:r w:rsidR="004F6DA0">
        <w:fldChar w:fldCharType="end"/>
      </w:r>
      <w:r w:rsidR="004F6DA0" w:rsidRPr="000C0744">
        <w:t xml:space="preserve">. Section </w:t>
      </w:r>
      <w:r w:rsidR="004F6DA0" w:rsidRPr="000C0744">
        <w:fldChar w:fldCharType="begin"/>
      </w:r>
      <w:r w:rsidR="004F6DA0" w:rsidRPr="000C0744">
        <w:instrText xml:space="preserve"> REF _Ref14096138 \r \h  \* MERGEFORMAT </w:instrText>
      </w:r>
      <w:r w:rsidR="004F6DA0" w:rsidRPr="000C0744">
        <w:fldChar w:fldCharType="separate"/>
      </w:r>
      <w:r w:rsidR="0057331A">
        <w:t>3.1</w:t>
      </w:r>
      <w:r w:rsidR="004F6DA0" w:rsidRPr="000C0744">
        <w:fldChar w:fldCharType="end"/>
      </w:r>
      <w:r w:rsidR="004F6DA0" w:rsidRPr="000C0744">
        <w:t xml:space="preserve"> covers the methods employed to map the corresponding origins and destinations.</w:t>
      </w:r>
      <w:r w:rsidR="004F6DA0">
        <w:t xml:space="preserve"> </w:t>
      </w:r>
    </w:p>
    <w:p w14:paraId="330B6E7C" w14:textId="77777777" w:rsidR="004533CB" w:rsidRDefault="004533CB" w:rsidP="004F6DA0"/>
    <w:p w14:paraId="2CF70588" w14:textId="20428595" w:rsidR="004F6DA0" w:rsidRDefault="004F6DA0" w:rsidP="004F6DA0">
      <w:r>
        <w:fldChar w:fldCharType="begin"/>
      </w:r>
      <w:r>
        <w:instrText xml:space="preserve"> REF _Ref14096328 \h </w:instrText>
      </w:r>
      <w:r>
        <w:fldChar w:fldCharType="separate"/>
      </w:r>
      <w:r w:rsidR="0057331A">
        <w:t xml:space="preserve">Figure </w:t>
      </w:r>
      <w:r w:rsidR="0057331A">
        <w:rPr>
          <w:noProof/>
        </w:rPr>
        <w:t>1</w:t>
      </w:r>
      <w:r>
        <w:fldChar w:fldCharType="end"/>
      </w:r>
      <w:r>
        <w:t xml:space="preserve"> describes the structure of flows within sectors covered in the study. Logs are either exported or transported to different processing facilities including sawmills, panel and pulp factories. Sawn timber, panels and pulp are moved from processing facilities to either ports or retail locations throughout New Zealand. Other movements not considered in our study are associated to the transportation of wood chips and poles. </w:t>
      </w:r>
    </w:p>
    <w:p w14:paraId="3E16ADB1" w14:textId="77777777" w:rsidR="004533CB" w:rsidRDefault="004533CB" w:rsidP="004F6DA0"/>
    <w:p w14:paraId="1B9BF2EC" w14:textId="192F1956" w:rsidR="004F6DA0" w:rsidRDefault="004F6DA0" w:rsidP="004F6DA0">
      <w:r>
        <w:t xml:space="preserve">In some cases, the tables from the NFDS, report multiregional movements of commodities between two types of facilities. This is the case for the transportation of logs from </w:t>
      </w:r>
      <w:r w:rsidR="006E0CF6">
        <w:t xml:space="preserve">the </w:t>
      </w:r>
      <w:r>
        <w:t xml:space="preserve">forest to ports (Log Exports) or from forests to sawmills. These tables are used in the formulation of a set of </w:t>
      </w:r>
      <w:r w:rsidR="00D043B8">
        <w:t>Linear Programming (</w:t>
      </w:r>
      <w:r>
        <w:t>LP</w:t>
      </w:r>
      <w:r w:rsidR="00D043B8">
        <w:t>)</w:t>
      </w:r>
      <w:r>
        <w:t xml:space="preserve"> problems that are described in Section </w:t>
      </w:r>
      <w:r>
        <w:fldChar w:fldCharType="begin"/>
      </w:r>
      <w:r>
        <w:instrText xml:space="preserve"> REF _Ref14164596 \r \h </w:instrText>
      </w:r>
      <w:r>
        <w:fldChar w:fldCharType="separate"/>
      </w:r>
      <w:r w:rsidR="0057331A">
        <w:t>3.2</w:t>
      </w:r>
      <w:r>
        <w:fldChar w:fldCharType="end"/>
      </w:r>
      <w:r>
        <w:t xml:space="preserve">. For sawn timber, panel and pulp products, the NFDS describes flows in a broad manner, where only multi-regional inputs and outputs are reported. Section </w:t>
      </w:r>
      <w:r>
        <w:fldChar w:fldCharType="begin"/>
      </w:r>
      <w:r>
        <w:instrText xml:space="preserve"> REF _Ref14164692 \r \h </w:instrText>
      </w:r>
      <w:r>
        <w:fldChar w:fldCharType="separate"/>
      </w:r>
      <w:r w:rsidR="0057331A">
        <w:t>3.3</w:t>
      </w:r>
      <w:r>
        <w:fldChar w:fldCharType="end"/>
      </w:r>
      <w:r>
        <w:t xml:space="preserve"> describes the approach taken under these circumstances, where in addition to LP formulations, the disaggregation exercise involves the application of an iterative bi-proportional fitting method and calibration of production-constrained gravity models.             </w:t>
      </w:r>
    </w:p>
    <w:p w14:paraId="03D6A532" w14:textId="77777777" w:rsidR="0059046A" w:rsidRDefault="0059046A" w:rsidP="004F6DA0"/>
    <w:p w14:paraId="48C30A45" w14:textId="77777777" w:rsidR="004F6DA0" w:rsidRDefault="004F6DA0" w:rsidP="004F6DA0">
      <w:pPr>
        <w:pStyle w:val="Caption"/>
      </w:pPr>
      <w:bookmarkStart w:id="2" w:name="_Ref13753878"/>
      <w:r w:rsidRPr="004D7BC6">
        <w:rPr>
          <w:noProof/>
        </w:rPr>
        <w:drawing>
          <wp:inline distT="0" distB="0" distL="0" distR="0" wp14:anchorId="24769F44" wp14:editId="7FF3AEB9">
            <wp:extent cx="4974962" cy="3867150"/>
            <wp:effectExtent l="0" t="0" r="0" b="0"/>
            <wp:docPr id="3" name="Picture 3" descr="C:\Scenario Based Anylogic Simulation\chart_images\Flow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enario Based Anylogic Simulation\chart_images\Flow diagr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226" cy="3886788"/>
                    </a:xfrm>
                    <a:prstGeom prst="rect">
                      <a:avLst/>
                    </a:prstGeom>
                    <a:noFill/>
                    <a:ln>
                      <a:noFill/>
                    </a:ln>
                  </pic:spPr>
                </pic:pic>
              </a:graphicData>
            </a:graphic>
          </wp:inline>
        </w:drawing>
      </w:r>
    </w:p>
    <w:p w14:paraId="7D6DDE4B" w14:textId="3F9557E8" w:rsidR="004F6DA0" w:rsidRDefault="004F6DA0" w:rsidP="004F6DA0">
      <w:pPr>
        <w:pStyle w:val="Caption"/>
        <w:rPr>
          <w:noProof/>
        </w:rPr>
      </w:pPr>
      <w:bookmarkStart w:id="3" w:name="_Ref14096328"/>
      <w:r>
        <w:t xml:space="preserve">Figure </w:t>
      </w:r>
      <w:r>
        <w:rPr>
          <w:noProof/>
        </w:rPr>
        <w:fldChar w:fldCharType="begin"/>
      </w:r>
      <w:r>
        <w:rPr>
          <w:noProof/>
        </w:rPr>
        <w:instrText xml:space="preserve"> SEQ Figure \* ARABIC </w:instrText>
      </w:r>
      <w:r>
        <w:rPr>
          <w:noProof/>
        </w:rPr>
        <w:fldChar w:fldCharType="separate"/>
      </w:r>
      <w:r w:rsidR="0057331A">
        <w:rPr>
          <w:noProof/>
        </w:rPr>
        <w:t>1</w:t>
      </w:r>
      <w:r>
        <w:rPr>
          <w:noProof/>
        </w:rPr>
        <w:fldChar w:fldCharType="end"/>
      </w:r>
      <w:bookmarkEnd w:id="2"/>
      <w:bookmarkEnd w:id="3"/>
      <w:r>
        <w:rPr>
          <w:noProof/>
        </w:rPr>
        <w:t xml:space="preserve"> Flow of forestry products in New Zealand (base year 2012) </w:t>
      </w:r>
    </w:p>
    <w:p w14:paraId="7AF5CC4B" w14:textId="77777777" w:rsidR="004F6DA0" w:rsidRPr="0046738E" w:rsidRDefault="004F6DA0" w:rsidP="004F6DA0">
      <w:pPr>
        <w:pStyle w:val="Heading3"/>
      </w:pPr>
      <w:bookmarkStart w:id="4" w:name="_Ref14096138"/>
      <w:r>
        <w:t>Origins and Destinations</w:t>
      </w:r>
      <w:bookmarkEnd w:id="4"/>
    </w:p>
    <w:p w14:paraId="39693C0A" w14:textId="50B5B2AC" w:rsidR="00D043B8" w:rsidRDefault="004F6DA0" w:rsidP="00CA2B7F">
      <w:r>
        <w:t xml:space="preserve">Logs are mostly harvested from exotic forests and transported to ports, sawmills, panel factories and pulp factories. The accurate geographic representation of the aforementioned entities is an essential </w:t>
      </w:r>
      <w:r>
        <w:lastRenderedPageBreak/>
        <w:t xml:space="preserve">step of our study. The New Zealand Land Cover Database (LCDB) is a </w:t>
      </w:r>
      <w:r w:rsidR="0057331A">
        <w:t>file with geographic data</w:t>
      </w:r>
      <w:r>
        <w:t xml:space="preserve"> that is available to the public through the Land Resource Information Systems (LRIS) Portal </w:t>
      </w:r>
      <w:r>
        <w:fldChar w:fldCharType="begin"/>
      </w:r>
      <w:r w:rsidR="0057331A">
        <w:instrText xml:space="preserve"> ADDIN EN.CITE &lt;EndNote&gt;&lt;Cite&gt;&lt;Author&gt;LRIS&lt;/Author&gt;&lt;Year&gt;2015&lt;/Year&gt;&lt;RecNum&gt;245&lt;/RecNum&gt;&lt;DisplayText&gt;(LRIS, 2015)&lt;/DisplayText&gt;&lt;record&gt;&lt;rec-number&gt;245&lt;/rec-number&gt;&lt;foreign-keys&gt;&lt;key app="EN" db-id="t2tttt5z4vw0z3etadq5px5k0a5wraw2d092" timestamp="1564376187"&gt;245&lt;/key&gt;&lt;/foreign-keys&gt;&lt;ref-type name="Dataset"&gt;59&lt;/ref-type&gt;&lt;contributors&gt;&lt;authors&gt;&lt;author&gt;LRIS,&lt;/author&gt;&lt;/authors&gt;&lt;/contributors&gt;&lt;titles&gt;&lt;title&gt;Land Cover Database&lt;/title&gt;&lt;/titles&gt;&lt;edition&gt;4.1&lt;/edition&gt;&lt;dates&gt;&lt;year&gt;2015&lt;/year&gt;&lt;/dates&gt;&lt;pub-location&gt;New Zealand&lt;/pub-location&gt;&lt;reviewed-item&gt;New Zealand&lt;/reviewed-item&gt;&lt;urls&gt;&lt;related-urls&gt;&lt;url&gt;https://lris.scinfo.org.nz/&lt;/url&gt;&lt;/related-urls&gt;&lt;/urls&gt;&lt;custom3&gt;Vector Polygon&lt;/custom3&gt;&lt;/record&gt;&lt;/Cite&gt;&lt;/EndNote&gt;</w:instrText>
      </w:r>
      <w:r>
        <w:fldChar w:fldCharType="separate"/>
      </w:r>
      <w:r w:rsidR="0057331A">
        <w:rPr>
          <w:noProof/>
        </w:rPr>
        <w:t>(LRIS, 2015)</w:t>
      </w:r>
      <w:r>
        <w:fldChar w:fldCharType="end"/>
      </w:r>
      <w:r>
        <w:t xml:space="preserve">. The file contains 497,833 </w:t>
      </w:r>
      <w:r w:rsidR="0057331A">
        <w:t>features</w:t>
      </w:r>
      <w:r>
        <w:t xml:space="preserve">, from 33 thematic classifications for New Zealand’s land cover, 20% of which </w:t>
      </w:r>
      <w:r w:rsidR="004D6354">
        <w:t>is</w:t>
      </w:r>
      <w:r>
        <w:t xml:space="preserve"> exotic forest. </w:t>
      </w:r>
      <w:r w:rsidR="004D6354">
        <w:t>Given the wide spread of forests, r</w:t>
      </w:r>
      <w:r>
        <w:t xml:space="preserve">epresentative locations </w:t>
      </w:r>
      <w:r w:rsidR="004D6354">
        <w:t>were derived using the</w:t>
      </w:r>
      <w:r>
        <w:t xml:space="preserve"> original LCDB file. The procedure allowed for the identification of zones with a high density of forest areas, which became the input of a sampling procedure that led to the obtainment of 75 forest points. This involved the execution of several geoprocessing functions. </w:t>
      </w:r>
      <w:r>
        <w:fldChar w:fldCharType="begin"/>
      </w:r>
      <w:r>
        <w:instrText xml:space="preserve"> REF _Ref13759206 \h </w:instrText>
      </w:r>
      <w:r>
        <w:fldChar w:fldCharType="separate"/>
      </w:r>
      <w:r w:rsidR="0057331A">
        <w:t xml:space="preserve">Figure </w:t>
      </w:r>
      <w:r w:rsidR="0057331A">
        <w:rPr>
          <w:noProof/>
        </w:rPr>
        <w:t>2</w:t>
      </w:r>
      <w:r>
        <w:fldChar w:fldCharType="end"/>
      </w:r>
      <w:r>
        <w:t xml:space="preserve"> describes the most relevant steps. </w:t>
      </w:r>
      <w:bookmarkStart w:id="5" w:name="_Ref13759206"/>
    </w:p>
    <w:p w14:paraId="3039E06E" w14:textId="409A2809" w:rsidR="00CA2B7F" w:rsidRDefault="00CA2B7F" w:rsidP="00CA2B7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3038"/>
        <w:gridCol w:w="235"/>
        <w:gridCol w:w="1402"/>
        <w:gridCol w:w="1637"/>
        <w:gridCol w:w="3038"/>
      </w:tblGrid>
      <w:tr w:rsidR="00CA2B7F" w14:paraId="741452A3" w14:textId="77777777" w:rsidTr="00CA2B7F">
        <w:trPr>
          <w:jc w:val="center"/>
        </w:trPr>
        <w:tc>
          <w:tcPr>
            <w:tcW w:w="3038" w:type="dxa"/>
          </w:tcPr>
          <w:p w14:paraId="28BAD623" w14:textId="77777777" w:rsidR="00CA2B7F" w:rsidRDefault="00CA2B7F" w:rsidP="00BF7BFD">
            <w:pPr>
              <w:jc w:val="center"/>
            </w:pPr>
            <w:r w:rsidRPr="00D043B8">
              <w:rPr>
                <w:noProof/>
              </w:rPr>
              <w:drawing>
                <wp:inline distT="0" distB="0" distL="0" distR="0" wp14:anchorId="186F2ABC" wp14:editId="7BC72EF5">
                  <wp:extent cx="1751162" cy="247966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6740" cy="2487561"/>
                          </a:xfrm>
                          <a:prstGeom prst="rect">
                            <a:avLst/>
                          </a:prstGeom>
                          <a:noFill/>
                          <a:ln>
                            <a:noFill/>
                          </a:ln>
                        </pic:spPr>
                      </pic:pic>
                    </a:graphicData>
                  </a:graphic>
                </wp:inline>
              </w:drawing>
            </w:r>
          </w:p>
        </w:tc>
        <w:tc>
          <w:tcPr>
            <w:tcW w:w="235" w:type="dxa"/>
          </w:tcPr>
          <w:p w14:paraId="22B5D2F6" w14:textId="77777777" w:rsidR="00CA2B7F" w:rsidRPr="00E405D2" w:rsidRDefault="00CA2B7F" w:rsidP="00BF7BFD">
            <w:pPr>
              <w:jc w:val="center"/>
              <w:rPr>
                <w:noProof/>
              </w:rPr>
            </w:pPr>
          </w:p>
        </w:tc>
        <w:tc>
          <w:tcPr>
            <w:tcW w:w="3039" w:type="dxa"/>
            <w:gridSpan w:val="2"/>
          </w:tcPr>
          <w:p w14:paraId="346ADD77" w14:textId="77777777" w:rsidR="00CA2B7F" w:rsidRDefault="00CA2B7F" w:rsidP="00BF7BFD">
            <w:pPr>
              <w:jc w:val="center"/>
            </w:pPr>
            <w:r w:rsidRPr="00D043B8">
              <w:rPr>
                <w:noProof/>
              </w:rPr>
              <w:drawing>
                <wp:inline distT="0" distB="0" distL="0" distR="0" wp14:anchorId="236163D8" wp14:editId="6A400C3D">
                  <wp:extent cx="1708031" cy="2488842"/>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822"/>
                          <a:stretch/>
                        </pic:blipFill>
                        <pic:spPr bwMode="auto">
                          <a:xfrm>
                            <a:off x="0" y="0"/>
                            <a:ext cx="1713904" cy="24973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8" w:type="dxa"/>
          </w:tcPr>
          <w:p w14:paraId="02BEFD9E" w14:textId="77777777" w:rsidR="00CA2B7F" w:rsidRDefault="00CA2B7F" w:rsidP="00BF7BFD">
            <w:pPr>
              <w:jc w:val="center"/>
            </w:pPr>
            <w:r w:rsidRPr="00D043B8">
              <w:rPr>
                <w:noProof/>
              </w:rPr>
              <w:drawing>
                <wp:inline distT="0" distB="0" distL="0" distR="0" wp14:anchorId="362277E6" wp14:editId="635E7012">
                  <wp:extent cx="1708030" cy="2488995"/>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2829"/>
                          <a:stretch/>
                        </pic:blipFill>
                        <pic:spPr bwMode="auto">
                          <a:xfrm>
                            <a:off x="0" y="0"/>
                            <a:ext cx="1721173" cy="25081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2B7F" w14:paraId="5BE59BAE" w14:textId="77777777" w:rsidTr="00CA2B7F">
        <w:trPr>
          <w:jc w:val="center"/>
        </w:trPr>
        <w:tc>
          <w:tcPr>
            <w:tcW w:w="3038" w:type="dxa"/>
          </w:tcPr>
          <w:p w14:paraId="4AB338EB" w14:textId="77777777" w:rsidR="00CA2B7F" w:rsidRPr="007C3786" w:rsidRDefault="00CA2B7F" w:rsidP="00BF7BFD">
            <w:pPr>
              <w:jc w:val="center"/>
              <w:rPr>
                <w:noProof/>
              </w:rPr>
            </w:pPr>
            <w:r>
              <w:rPr>
                <w:noProof/>
              </w:rPr>
              <w:t>a)</w:t>
            </w:r>
          </w:p>
        </w:tc>
        <w:tc>
          <w:tcPr>
            <w:tcW w:w="235" w:type="dxa"/>
          </w:tcPr>
          <w:p w14:paraId="589B69F5" w14:textId="77777777" w:rsidR="00CA2B7F" w:rsidRDefault="00CA2B7F" w:rsidP="00BF7BFD">
            <w:pPr>
              <w:jc w:val="center"/>
              <w:rPr>
                <w:noProof/>
              </w:rPr>
            </w:pPr>
          </w:p>
        </w:tc>
        <w:tc>
          <w:tcPr>
            <w:tcW w:w="3039" w:type="dxa"/>
            <w:gridSpan w:val="2"/>
          </w:tcPr>
          <w:p w14:paraId="5D3CCCFF" w14:textId="77777777" w:rsidR="00CA2B7F" w:rsidRPr="00E405D2" w:rsidRDefault="00CA2B7F" w:rsidP="00BF7BFD">
            <w:pPr>
              <w:jc w:val="center"/>
              <w:rPr>
                <w:noProof/>
              </w:rPr>
            </w:pPr>
            <w:r>
              <w:rPr>
                <w:noProof/>
              </w:rPr>
              <w:t>b)</w:t>
            </w:r>
          </w:p>
        </w:tc>
        <w:tc>
          <w:tcPr>
            <w:tcW w:w="3038" w:type="dxa"/>
          </w:tcPr>
          <w:p w14:paraId="0091292F" w14:textId="77777777" w:rsidR="00CA2B7F" w:rsidRPr="00E405D2" w:rsidRDefault="00CA2B7F" w:rsidP="00BF7BFD">
            <w:pPr>
              <w:jc w:val="center"/>
              <w:rPr>
                <w:noProof/>
              </w:rPr>
            </w:pPr>
            <w:r>
              <w:rPr>
                <w:noProof/>
              </w:rPr>
              <w:t>c)</w:t>
            </w:r>
          </w:p>
        </w:tc>
      </w:tr>
      <w:tr w:rsidR="00CA2B7F" w14:paraId="1A117C48" w14:textId="77777777" w:rsidTr="00CA2B7F">
        <w:trPr>
          <w:jc w:val="center"/>
        </w:trPr>
        <w:tc>
          <w:tcPr>
            <w:tcW w:w="4675" w:type="dxa"/>
            <w:gridSpan w:val="3"/>
            <w:vAlign w:val="center"/>
          </w:tcPr>
          <w:p w14:paraId="1292577A" w14:textId="77777777" w:rsidR="00CA2B7F" w:rsidRDefault="00CA2B7F" w:rsidP="00BF7BFD">
            <w:pPr>
              <w:jc w:val="center"/>
            </w:pPr>
            <w:r w:rsidRPr="00D043B8">
              <w:rPr>
                <w:noProof/>
              </w:rPr>
              <w:drawing>
                <wp:inline distT="0" distB="0" distL="0" distR="0" wp14:anchorId="38FE4140" wp14:editId="0D19FE82">
                  <wp:extent cx="1802920" cy="2638152"/>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230"/>
                          <a:stretch/>
                        </pic:blipFill>
                        <pic:spPr bwMode="auto">
                          <a:xfrm>
                            <a:off x="0" y="0"/>
                            <a:ext cx="1812112" cy="2651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gridSpan w:val="2"/>
            <w:vAlign w:val="center"/>
          </w:tcPr>
          <w:p w14:paraId="1332AC87" w14:textId="77777777" w:rsidR="00CA2B7F" w:rsidRDefault="00CA2B7F" w:rsidP="00BF7BFD">
            <w:pPr>
              <w:jc w:val="center"/>
            </w:pPr>
            <w:r w:rsidRPr="00D043B8">
              <w:rPr>
                <w:noProof/>
              </w:rPr>
              <w:drawing>
                <wp:inline distT="0" distB="0" distL="0" distR="0" wp14:anchorId="394574EE" wp14:editId="38A38EAD">
                  <wp:extent cx="1811547" cy="26498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195"/>
                          <a:stretch/>
                        </pic:blipFill>
                        <pic:spPr bwMode="auto">
                          <a:xfrm>
                            <a:off x="0" y="0"/>
                            <a:ext cx="1820303" cy="2662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2B7F" w14:paraId="09017842" w14:textId="77777777" w:rsidTr="00CA2B7F">
        <w:trPr>
          <w:jc w:val="center"/>
        </w:trPr>
        <w:tc>
          <w:tcPr>
            <w:tcW w:w="4675" w:type="dxa"/>
            <w:gridSpan w:val="3"/>
          </w:tcPr>
          <w:p w14:paraId="2BD98357" w14:textId="77777777" w:rsidR="00CA2B7F" w:rsidRPr="00E405D2" w:rsidRDefault="00CA2B7F" w:rsidP="00BF7BFD">
            <w:pPr>
              <w:jc w:val="center"/>
              <w:rPr>
                <w:noProof/>
              </w:rPr>
            </w:pPr>
            <w:r>
              <w:rPr>
                <w:noProof/>
              </w:rPr>
              <w:t>d)</w:t>
            </w:r>
          </w:p>
        </w:tc>
        <w:tc>
          <w:tcPr>
            <w:tcW w:w="4675" w:type="dxa"/>
            <w:gridSpan w:val="2"/>
          </w:tcPr>
          <w:p w14:paraId="52906863" w14:textId="77777777" w:rsidR="00CA2B7F" w:rsidRPr="00E405D2" w:rsidRDefault="00CA2B7F" w:rsidP="00BF7BFD">
            <w:pPr>
              <w:jc w:val="center"/>
              <w:rPr>
                <w:noProof/>
              </w:rPr>
            </w:pPr>
            <w:r>
              <w:rPr>
                <w:noProof/>
              </w:rPr>
              <w:t>e)</w:t>
            </w:r>
          </w:p>
        </w:tc>
      </w:tr>
    </w:tbl>
    <w:p w14:paraId="74FEAFB7" w14:textId="77777777" w:rsidR="00CA2B7F" w:rsidRDefault="00CA2B7F" w:rsidP="00CA2B7F"/>
    <w:p w14:paraId="20ABACFD" w14:textId="77777777" w:rsidR="00CA2B7F" w:rsidRDefault="00CA2B7F" w:rsidP="00CA2B7F"/>
    <w:p w14:paraId="20C8180D" w14:textId="75B7E08D" w:rsidR="004F6DA0" w:rsidRDefault="004F6DA0" w:rsidP="004F6DA0">
      <w:pPr>
        <w:pStyle w:val="Caption"/>
      </w:pPr>
      <w:r>
        <w:t xml:space="preserve">Figure </w:t>
      </w:r>
      <w:r>
        <w:rPr>
          <w:noProof/>
        </w:rPr>
        <w:fldChar w:fldCharType="begin"/>
      </w:r>
      <w:r>
        <w:rPr>
          <w:noProof/>
        </w:rPr>
        <w:instrText xml:space="preserve"> SEQ Figure \* ARABIC </w:instrText>
      </w:r>
      <w:r>
        <w:rPr>
          <w:noProof/>
        </w:rPr>
        <w:fldChar w:fldCharType="separate"/>
      </w:r>
      <w:r w:rsidR="0057331A">
        <w:rPr>
          <w:noProof/>
        </w:rPr>
        <w:t>2</w:t>
      </w:r>
      <w:r>
        <w:rPr>
          <w:noProof/>
        </w:rPr>
        <w:fldChar w:fldCharType="end"/>
      </w:r>
      <w:bookmarkEnd w:id="5"/>
      <w:r>
        <w:t xml:space="preserve"> Forest Sampling Procedure: a) Original LCDB Forest Polygons; b) Binary Raster from application of Kernel Density; c) Polygons representing areas with high forest density; d) Generation of point grid with fishnet; e) Representative points for forest areas</w:t>
      </w:r>
    </w:p>
    <w:p w14:paraId="25353CC6" w14:textId="79BBF011" w:rsidR="00C3585D" w:rsidRDefault="004F6DA0" w:rsidP="004F6DA0">
      <w:r>
        <w:t xml:space="preserve">Forest points represent the origin of flows reported in different OD tables from the NFDS. </w:t>
      </w:r>
      <w:r>
        <w:fldChar w:fldCharType="begin"/>
      </w:r>
      <w:r>
        <w:instrText xml:space="preserve"> REF _Ref14096328 \h </w:instrText>
      </w:r>
      <w:r>
        <w:fldChar w:fldCharType="separate"/>
      </w:r>
      <w:r w:rsidR="0057331A">
        <w:t xml:space="preserve">Figure </w:t>
      </w:r>
      <w:r w:rsidR="0057331A">
        <w:rPr>
          <w:noProof/>
        </w:rPr>
        <w:t>1</w:t>
      </w:r>
      <w:r>
        <w:fldChar w:fldCharType="end"/>
      </w:r>
      <w:r>
        <w:t xml:space="preserve"> shows that logs are transported to ports, sawmills, panel and pulp factories. The geographic coordinates of all destinations were extracted through a Google Places API. The process was iterative, queries were composed by elements from lists of city and region names in New Zealand and case specific keywords including “ports” and “sawmills”. For panel and pulp companies, queries included relevant facility names mentioned in the NFDS and in the </w:t>
      </w:r>
      <w:r w:rsidR="001F7E80">
        <w:t xml:space="preserve">Facts and Figures (FF) </w:t>
      </w:r>
      <w:r>
        <w:t xml:space="preserve">Forest owners Association Report </w:t>
      </w:r>
      <w:r>
        <w:fldChar w:fldCharType="begin"/>
      </w:r>
      <w:r>
        <w:instrText xml:space="preserve"> ADDIN EN.CITE &lt;EndNote&gt;&lt;Cite&gt;&lt;Author&gt;New Zealand Forest Owners Association Inc.&lt;/Author&gt;&lt;Year&gt;2013&lt;/Year&gt;&lt;RecNum&gt;244&lt;/RecNum&gt;&lt;DisplayText&gt;(New Zealand Forest Owners Association Inc. and Ministry for Primary Industries, 2013)&lt;/DisplayText&gt;&lt;record&gt;&lt;rec-number&gt;244&lt;/rec-number&gt;&lt;foreign-keys&gt;&lt;key app="EN" db-id="t2tttt5z4vw0z3etadq5px5k0a5wraw2d092" timestamp="1564373548"&gt;244&lt;/key&gt;&lt;/foreign-keys&gt;&lt;ref-type name="Report"&gt;27&lt;/ref-type&gt;&lt;contributors&gt;&lt;authors&gt;&lt;author&gt;New Zealand Forest Owners Association Inc.,&lt;/author&gt;&lt;author&gt;Ministry for Primary Industries,&lt;/author&gt;&lt;/authors&gt;&lt;/contributors&gt;&lt;titles&gt;&lt;title&gt;New Zealand Plantation Forest Industry Facts &amp;amp; Figures&lt;/title&gt;&lt;/titles&gt;&lt;dates&gt;&lt;year&gt;2013&lt;/year&gt;&lt;/dates&gt;&lt;pub-location&gt;Wellington&lt;/pub-location&gt;&lt;urls&gt;&lt;related-urls&gt;&lt;url&gt;wwww.nzfoa.org.nz&lt;/url&gt;&lt;/related-urls&gt;&lt;/urls&gt;&lt;access-date&gt;7/29/2019&lt;/access-date&gt;&lt;/record&gt;&lt;/Cite&gt;&lt;/EndNote&gt;</w:instrText>
      </w:r>
      <w:r>
        <w:fldChar w:fldCharType="separate"/>
      </w:r>
      <w:r>
        <w:rPr>
          <w:noProof/>
        </w:rPr>
        <w:t xml:space="preserve">(New Zealand Forest Owners Association Inc. and Ministry for Primary </w:t>
      </w:r>
      <w:r>
        <w:rPr>
          <w:noProof/>
        </w:rPr>
        <w:lastRenderedPageBreak/>
        <w:t>Industries, 2013)</w:t>
      </w:r>
      <w:r>
        <w:fldChar w:fldCharType="end"/>
      </w:r>
      <w:r>
        <w:t xml:space="preserve">. Retail businesses associated with the wood products sector included the following keywords: lumber stores, timber stores, wood panel stores, plywood stores and hardware stores. </w:t>
      </w:r>
      <w:r>
        <w:fldChar w:fldCharType="begin"/>
      </w:r>
      <w:r>
        <w:instrText xml:space="preserve"> REF _Ref13823959 \h </w:instrText>
      </w:r>
      <w:r>
        <w:fldChar w:fldCharType="separate"/>
      </w:r>
      <w:r w:rsidR="0057331A">
        <w:t xml:space="preserve">Figure </w:t>
      </w:r>
      <w:r w:rsidR="0057331A">
        <w:rPr>
          <w:noProof/>
        </w:rPr>
        <w:t>3</w:t>
      </w:r>
      <w:r>
        <w:fldChar w:fldCharType="end"/>
      </w:r>
      <w:r>
        <w:t xml:space="preserve"> shows a geographic representation of entities considered in the study with their corresponding numbers.    </w:t>
      </w:r>
    </w:p>
    <w:p w14:paraId="374F7C9F" w14:textId="77EEF4E0" w:rsidR="004F6DA0" w:rsidRDefault="004F6DA0" w:rsidP="004F6DA0">
      <w:r>
        <w:t xml:space="preserve">   </w:t>
      </w:r>
    </w:p>
    <w:p w14:paraId="7F6CA7B0" w14:textId="77777777" w:rsidR="004F6DA0" w:rsidRDefault="004F6DA0" w:rsidP="004F6DA0">
      <w:pPr>
        <w:jc w:val="center"/>
      </w:pPr>
      <w:r w:rsidRPr="00EF642B">
        <w:rPr>
          <w:noProof/>
          <w:lang w:val="en-US"/>
        </w:rPr>
        <w:drawing>
          <wp:inline distT="0" distB="0" distL="0" distR="0" wp14:anchorId="38FCB07D" wp14:editId="4C11AF4E">
            <wp:extent cx="3200400" cy="45240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1022" cy="4637982"/>
                    </a:xfrm>
                    <a:prstGeom prst="rect">
                      <a:avLst/>
                    </a:prstGeom>
                    <a:noFill/>
                    <a:ln>
                      <a:noFill/>
                    </a:ln>
                  </pic:spPr>
                </pic:pic>
              </a:graphicData>
            </a:graphic>
          </wp:inline>
        </w:drawing>
      </w:r>
    </w:p>
    <w:p w14:paraId="066A1988" w14:textId="235B75A2" w:rsidR="004F6DA0" w:rsidRDefault="004F6DA0" w:rsidP="004F6DA0">
      <w:pPr>
        <w:pStyle w:val="Caption"/>
      </w:pPr>
      <w:bookmarkStart w:id="6" w:name="_Ref13823959"/>
      <w:r>
        <w:t xml:space="preserve">Figure </w:t>
      </w:r>
      <w:r>
        <w:rPr>
          <w:noProof/>
        </w:rPr>
        <w:fldChar w:fldCharType="begin"/>
      </w:r>
      <w:r>
        <w:rPr>
          <w:noProof/>
        </w:rPr>
        <w:instrText xml:space="preserve"> SEQ Figure \* ARABIC </w:instrText>
      </w:r>
      <w:r>
        <w:rPr>
          <w:noProof/>
        </w:rPr>
        <w:fldChar w:fldCharType="separate"/>
      </w:r>
      <w:r w:rsidR="0057331A">
        <w:rPr>
          <w:noProof/>
        </w:rPr>
        <w:t>3</w:t>
      </w:r>
      <w:r>
        <w:rPr>
          <w:noProof/>
        </w:rPr>
        <w:fldChar w:fldCharType="end"/>
      </w:r>
      <w:bookmarkEnd w:id="6"/>
      <w:r>
        <w:t xml:space="preserve"> Locations and network used in the study</w:t>
      </w:r>
    </w:p>
    <w:p w14:paraId="2F621CFF" w14:textId="68AF2FCE" w:rsidR="004F6DA0" w:rsidRPr="0046738E" w:rsidRDefault="004F6DA0" w:rsidP="004F6DA0">
      <w:pPr>
        <w:pStyle w:val="Heading3"/>
      </w:pPr>
      <w:bookmarkStart w:id="7" w:name="_Ref14164596"/>
      <w:r>
        <w:t>Disaggregation through Linear Programming based models</w:t>
      </w:r>
      <w:bookmarkEnd w:id="7"/>
    </w:p>
    <w:p w14:paraId="61FF2B04" w14:textId="77777777" w:rsidR="004F6DA0" w:rsidRDefault="004F6DA0" w:rsidP="004F6DA0">
      <w:pPr>
        <w:outlineLvl w:val="0"/>
        <w:rPr>
          <w:rFonts w:cs="Arial"/>
        </w:rPr>
      </w:pPr>
      <w:r>
        <w:rPr>
          <w:rFonts w:cs="Arial"/>
          <w:b/>
          <w:i/>
        </w:rPr>
        <w:t>Notation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7263"/>
      </w:tblGrid>
      <w:tr w:rsidR="004F6DA0" w14:paraId="3781BABD" w14:textId="77777777" w:rsidTr="008C73C5">
        <w:tc>
          <w:tcPr>
            <w:tcW w:w="2087" w:type="dxa"/>
          </w:tcPr>
          <w:p w14:paraId="15222421" w14:textId="77777777" w:rsidR="004F6DA0" w:rsidRPr="00B64651" w:rsidRDefault="004F6DA0" w:rsidP="008C73C5">
            <w:pPr>
              <w:outlineLvl w:val="0"/>
              <w:rPr>
                <w:rFonts w:cs="Arial"/>
              </w:rPr>
            </w:pPr>
            <m:oMathPara>
              <m:oMathParaPr>
                <m:jc m:val="left"/>
              </m:oMathParaPr>
              <m:oMath>
                <m:r>
                  <w:rPr>
                    <w:rFonts w:ascii="Cambria Math" w:hAnsi="Cambria Math" w:cs="Arial"/>
                  </w:rPr>
                  <m:t>i</m:t>
                </m:r>
                <m:r>
                  <m:rPr>
                    <m:sty m:val="p"/>
                  </m:rPr>
                  <w:rPr>
                    <w:rFonts w:ascii="Cambria Math" w:hAnsi="Cambria Math" w:cs="Arial"/>
                  </w:rPr>
                  <m:t xml:space="preserve">, </m:t>
                </m:r>
                <m:r>
                  <w:rPr>
                    <w:rFonts w:ascii="Cambria Math" w:hAnsi="Cambria Math" w:cs="Arial"/>
                  </w:rPr>
                  <m:t>j</m:t>
                </m:r>
              </m:oMath>
            </m:oMathPara>
          </w:p>
        </w:tc>
        <w:tc>
          <w:tcPr>
            <w:tcW w:w="7263" w:type="dxa"/>
          </w:tcPr>
          <w:p w14:paraId="59D0BA23" w14:textId="77777777" w:rsidR="004F6DA0" w:rsidRPr="008C01A3" w:rsidRDefault="004F6DA0" w:rsidP="008C73C5">
            <w:pPr>
              <w:outlineLvl w:val="0"/>
              <w:rPr>
                <w:rFonts w:cs="Arial"/>
                <w:i/>
              </w:rPr>
            </w:pPr>
            <w:r>
              <w:rPr>
                <w:rFonts w:cs="Arial"/>
                <w:i/>
              </w:rPr>
              <w:t>r</w:t>
            </w:r>
            <w:r w:rsidRPr="008C01A3">
              <w:rPr>
                <w:rFonts w:cs="Arial"/>
                <w:i/>
              </w:rPr>
              <w:t>egions</w:t>
            </w:r>
            <w:r>
              <w:rPr>
                <w:rFonts w:cs="Arial"/>
                <w:i/>
              </w:rPr>
              <w:t xml:space="preserve"> indexes</w:t>
            </w:r>
          </w:p>
        </w:tc>
      </w:tr>
      <w:tr w:rsidR="004F6DA0" w14:paraId="3C622C2C" w14:textId="77777777" w:rsidTr="008C73C5">
        <w:tc>
          <w:tcPr>
            <w:tcW w:w="2087" w:type="dxa"/>
          </w:tcPr>
          <w:p w14:paraId="06E5BF54" w14:textId="77777777" w:rsidR="004F6DA0" w:rsidRPr="000722C4" w:rsidRDefault="004F6DA0" w:rsidP="008C73C5">
            <w:pPr>
              <w:outlineLvl w:val="0"/>
              <w:rPr>
                <w:rFonts w:eastAsia="Calibri" w:cs="Arial"/>
              </w:rPr>
            </w:pPr>
            <m:oMathPara>
              <m:oMathParaPr>
                <m:jc m:val="left"/>
              </m:oMathParaPr>
              <m:oMath>
                <m:r>
                  <w:rPr>
                    <w:rFonts w:ascii="Cambria Math" w:eastAsia="Calibri" w:hAnsi="Cambria Math" w:cs="Arial"/>
                  </w:rPr>
                  <m:t>R</m:t>
                </m:r>
              </m:oMath>
            </m:oMathPara>
          </w:p>
        </w:tc>
        <w:tc>
          <w:tcPr>
            <w:tcW w:w="7263" w:type="dxa"/>
          </w:tcPr>
          <w:p w14:paraId="36E9A4C0" w14:textId="2ADA675E" w:rsidR="004F6DA0" w:rsidRDefault="0057331A" w:rsidP="0057331A">
            <w:pPr>
              <w:outlineLvl w:val="0"/>
              <w:rPr>
                <w:rFonts w:cs="Arial"/>
                <w:i/>
              </w:rPr>
            </w:pPr>
            <w:r>
              <w:rPr>
                <w:rFonts w:cs="Arial"/>
                <w:i/>
              </w:rPr>
              <w:t>se</w:t>
            </w:r>
            <w:r w:rsidR="004F6DA0">
              <w:rPr>
                <w:rFonts w:cs="Arial"/>
                <w:i/>
              </w:rPr>
              <w:t xml:space="preserve">t of </w:t>
            </w:r>
            <w:r>
              <w:rPr>
                <w:rFonts w:cs="Arial"/>
                <w:i/>
              </w:rPr>
              <w:t>r</w:t>
            </w:r>
            <w:r w:rsidR="004F6DA0">
              <w:rPr>
                <w:rFonts w:cs="Arial"/>
                <w:i/>
              </w:rPr>
              <w:t>egions</w:t>
            </w:r>
          </w:p>
        </w:tc>
      </w:tr>
      <w:tr w:rsidR="004F6DA0" w14:paraId="0F58317B" w14:textId="77777777" w:rsidTr="008C73C5">
        <w:tc>
          <w:tcPr>
            <w:tcW w:w="2087" w:type="dxa"/>
          </w:tcPr>
          <w:p w14:paraId="1D456655"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f</m:t>
                </m:r>
              </m:oMath>
            </m:oMathPara>
          </w:p>
        </w:tc>
        <w:tc>
          <w:tcPr>
            <w:tcW w:w="7263" w:type="dxa"/>
          </w:tcPr>
          <w:p w14:paraId="0A739643" w14:textId="77777777" w:rsidR="004F6DA0" w:rsidRPr="008C01A3" w:rsidRDefault="004F6DA0" w:rsidP="008C73C5">
            <w:pPr>
              <w:outlineLvl w:val="0"/>
              <w:rPr>
                <w:rFonts w:cs="Arial"/>
                <w:i/>
              </w:rPr>
            </w:pPr>
            <w:r>
              <w:rPr>
                <w:rFonts w:cs="Arial"/>
                <w:i/>
              </w:rPr>
              <w:t>forest index</w:t>
            </w:r>
          </w:p>
        </w:tc>
      </w:tr>
      <w:tr w:rsidR="004F6DA0" w14:paraId="63C172B3" w14:textId="77777777" w:rsidTr="008C73C5">
        <w:tc>
          <w:tcPr>
            <w:tcW w:w="2087" w:type="dxa"/>
          </w:tcPr>
          <w:p w14:paraId="456EE472"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p</m:t>
                </m:r>
              </m:oMath>
            </m:oMathPara>
          </w:p>
        </w:tc>
        <w:tc>
          <w:tcPr>
            <w:tcW w:w="7263" w:type="dxa"/>
          </w:tcPr>
          <w:p w14:paraId="4A3EBC0F" w14:textId="77777777" w:rsidR="004F6DA0" w:rsidRPr="008C01A3" w:rsidRDefault="004F6DA0" w:rsidP="008C73C5">
            <w:pPr>
              <w:outlineLvl w:val="0"/>
              <w:rPr>
                <w:rFonts w:cs="Arial"/>
                <w:i/>
              </w:rPr>
            </w:pPr>
            <w:r>
              <w:rPr>
                <w:rFonts w:cs="Arial"/>
                <w:i/>
              </w:rPr>
              <w:t>port index</w:t>
            </w:r>
          </w:p>
        </w:tc>
      </w:tr>
      <w:tr w:rsidR="004F6DA0" w14:paraId="22701A58" w14:textId="77777777" w:rsidTr="008C73C5">
        <w:tc>
          <w:tcPr>
            <w:tcW w:w="2087" w:type="dxa"/>
          </w:tcPr>
          <w:p w14:paraId="0F5A2269" w14:textId="77777777" w:rsidR="004F6DA0" w:rsidRPr="0029381C" w:rsidRDefault="00184C0D"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F</m:t>
                    </m:r>
                  </m:e>
                  <m:sub>
                    <m:r>
                      <w:rPr>
                        <w:rFonts w:ascii="Cambria Math" w:hAnsi="Cambria Math" w:cs="Arial"/>
                      </w:rPr>
                      <m:t>i</m:t>
                    </m:r>
                  </m:sub>
                </m:sSub>
              </m:oMath>
            </m:oMathPara>
          </w:p>
        </w:tc>
        <w:tc>
          <w:tcPr>
            <w:tcW w:w="7263" w:type="dxa"/>
          </w:tcPr>
          <w:p w14:paraId="0FE6C068" w14:textId="77777777" w:rsidR="004F6DA0" w:rsidRPr="008C01A3" w:rsidRDefault="004F6DA0" w:rsidP="008C73C5">
            <w:pPr>
              <w:outlineLvl w:val="0"/>
              <w:rPr>
                <w:rFonts w:cs="Arial"/>
                <w:i/>
              </w:rPr>
            </w:pPr>
            <w:r>
              <w:rPr>
                <w:rFonts w:cs="Arial"/>
                <w:i/>
              </w:rPr>
              <w:t>subset of forests (F) in region i</w:t>
            </w:r>
          </w:p>
        </w:tc>
      </w:tr>
      <w:tr w:rsidR="004F6DA0" w14:paraId="32F6681F" w14:textId="77777777" w:rsidTr="008C73C5">
        <w:tc>
          <w:tcPr>
            <w:tcW w:w="2087" w:type="dxa"/>
          </w:tcPr>
          <w:p w14:paraId="41AF5D2A" w14:textId="77777777" w:rsidR="004F6DA0" w:rsidRPr="0029381C" w:rsidRDefault="00184C0D"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oMath>
            </m:oMathPara>
          </w:p>
        </w:tc>
        <w:tc>
          <w:tcPr>
            <w:tcW w:w="7263" w:type="dxa"/>
          </w:tcPr>
          <w:p w14:paraId="7F95DAC3" w14:textId="77777777" w:rsidR="004F6DA0" w:rsidRPr="008C01A3" w:rsidRDefault="004F6DA0" w:rsidP="008C73C5">
            <w:pPr>
              <w:outlineLvl w:val="0"/>
              <w:rPr>
                <w:rFonts w:cs="Arial"/>
                <w:i/>
              </w:rPr>
            </w:pPr>
            <w:r>
              <w:rPr>
                <w:rFonts w:cs="Arial"/>
                <w:i/>
              </w:rPr>
              <w:t>subset of ports (P) in region i</w:t>
            </w:r>
          </w:p>
        </w:tc>
      </w:tr>
      <w:tr w:rsidR="004F6DA0" w14:paraId="160EB2E9" w14:textId="77777777" w:rsidTr="008C73C5">
        <w:tc>
          <w:tcPr>
            <w:tcW w:w="2087" w:type="dxa"/>
          </w:tcPr>
          <w:p w14:paraId="32053BB6" w14:textId="77777777" w:rsidR="004F6DA0" w:rsidRPr="00933C8E" w:rsidRDefault="00184C0D" w:rsidP="008C73C5">
            <w:pPr>
              <w:outlineLvl w:val="0"/>
              <w:rPr>
                <w:rFonts w:eastAsia="Calibri"/>
              </w:rPr>
            </w:pPr>
            <m:oMathPara>
              <m:oMathParaPr>
                <m:jc m:val="left"/>
              </m:oMathParaPr>
              <m:oMath>
                <m:sSub>
                  <m:sSubPr>
                    <m:ctrlPr>
                      <w:rPr>
                        <w:rFonts w:ascii="Cambria Math" w:hAnsi="Cambria Math" w:cs="Arial"/>
                        <w:i/>
                      </w:rPr>
                    </m:ctrlPr>
                  </m:sSubPr>
                  <m:e>
                    <m:r>
                      <w:rPr>
                        <w:rFonts w:ascii="Cambria Math" w:hAnsi="Cambria Math" w:cs="Arial"/>
                      </w:rPr>
                      <m:t>d</m:t>
                    </m:r>
                  </m:e>
                  <m:sub>
                    <m:r>
                      <w:rPr>
                        <w:rFonts w:ascii="Cambria Math" w:hAnsi="Cambria Math" w:cs="Arial"/>
                      </w:rPr>
                      <m:t>f,p</m:t>
                    </m:r>
                  </m:sub>
                </m:sSub>
              </m:oMath>
            </m:oMathPara>
          </w:p>
        </w:tc>
        <w:tc>
          <w:tcPr>
            <w:tcW w:w="7263" w:type="dxa"/>
          </w:tcPr>
          <w:p w14:paraId="0DD095C7" w14:textId="77777777" w:rsidR="004F6DA0" w:rsidRDefault="004F6DA0" w:rsidP="008C73C5">
            <w:pPr>
              <w:outlineLvl w:val="0"/>
              <w:rPr>
                <w:rFonts w:cs="Arial"/>
                <w:i/>
              </w:rPr>
            </w:pPr>
            <w:r>
              <w:rPr>
                <w:rFonts w:cs="Arial"/>
                <w:i/>
              </w:rPr>
              <w:t>routed road distance (km) from forest f to port p</w:t>
            </w:r>
          </w:p>
        </w:tc>
      </w:tr>
      <w:tr w:rsidR="004F6DA0" w14:paraId="7D6A264B" w14:textId="77777777" w:rsidTr="008C73C5">
        <w:tc>
          <w:tcPr>
            <w:tcW w:w="2087" w:type="dxa"/>
          </w:tcPr>
          <w:p w14:paraId="4CF25049" w14:textId="77777777" w:rsidR="004F6DA0" w:rsidRPr="0029381C" w:rsidRDefault="00184C0D"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a</m:t>
                    </m:r>
                  </m:e>
                  <m:sub>
                    <m:r>
                      <w:rPr>
                        <w:rFonts w:ascii="Cambria Math" w:hAnsi="Cambria Math" w:cs="Arial"/>
                      </w:rPr>
                      <m:t>i,j</m:t>
                    </m:r>
                  </m:sub>
                </m:sSub>
              </m:oMath>
            </m:oMathPara>
          </w:p>
        </w:tc>
        <w:tc>
          <w:tcPr>
            <w:tcW w:w="7263" w:type="dxa"/>
          </w:tcPr>
          <w:p w14:paraId="06FEF0D7" w14:textId="77777777" w:rsidR="004F6DA0" w:rsidRPr="008C01A3" w:rsidRDefault="004F6DA0" w:rsidP="008C73C5">
            <w:pPr>
              <w:outlineLvl w:val="0"/>
              <w:rPr>
                <w:rFonts w:cs="Arial"/>
                <w:i/>
              </w:rPr>
            </w:pPr>
            <w:r>
              <w:rPr>
                <w:rFonts w:cs="Arial"/>
                <w:i/>
              </w:rPr>
              <w:t xml:space="preserve">log flow (tonnes) from region i to region j </w:t>
            </w:r>
          </w:p>
        </w:tc>
      </w:tr>
      <w:tr w:rsidR="004F6DA0" w14:paraId="3E3EDA74" w14:textId="77777777" w:rsidTr="008C73C5">
        <w:tc>
          <w:tcPr>
            <w:tcW w:w="2087" w:type="dxa"/>
          </w:tcPr>
          <w:p w14:paraId="6C4C024E" w14:textId="77777777" w:rsidR="004F6DA0" w:rsidRPr="0029381C" w:rsidRDefault="00184C0D"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x</m:t>
                    </m:r>
                  </m:e>
                  <m:sub>
                    <m:r>
                      <w:rPr>
                        <w:rFonts w:ascii="Cambria Math" w:hAnsi="Cambria Math" w:cs="Arial"/>
                      </w:rPr>
                      <m:t>f,p</m:t>
                    </m:r>
                  </m:sub>
                </m:sSub>
              </m:oMath>
            </m:oMathPara>
          </w:p>
        </w:tc>
        <w:tc>
          <w:tcPr>
            <w:tcW w:w="7263" w:type="dxa"/>
          </w:tcPr>
          <w:p w14:paraId="3B015C4D" w14:textId="77777777" w:rsidR="004F6DA0" w:rsidRPr="008C01A3" w:rsidRDefault="004F6DA0" w:rsidP="008C73C5">
            <w:pPr>
              <w:outlineLvl w:val="0"/>
              <w:rPr>
                <w:rFonts w:cs="Arial"/>
                <w:i/>
              </w:rPr>
            </w:pPr>
            <w:r>
              <w:rPr>
                <w:rFonts w:cs="Arial"/>
                <w:i/>
              </w:rPr>
              <w:t>log flow (tonnes) from forest f to port p</w:t>
            </w:r>
          </w:p>
        </w:tc>
      </w:tr>
    </w:tbl>
    <w:p w14:paraId="0C4F5DE0" w14:textId="77777777" w:rsidR="004F6DA0" w:rsidRDefault="004F6DA0" w:rsidP="004F6DA0"/>
    <w:p w14:paraId="5BD103A9" w14:textId="02C17743" w:rsidR="004F6DA0" w:rsidRDefault="004F6DA0" w:rsidP="004F6DA0">
      <w:r>
        <w:t xml:space="preserve">Transportation of logs from forests to ports is at the bottom level of the tree in </w:t>
      </w:r>
      <w:r>
        <w:fldChar w:fldCharType="begin"/>
      </w:r>
      <w:r>
        <w:instrText xml:space="preserve"> REF _Ref14096328 \h </w:instrText>
      </w:r>
      <w:r>
        <w:fldChar w:fldCharType="separate"/>
      </w:r>
      <w:r w:rsidR="0057331A">
        <w:t xml:space="preserve">Figure </w:t>
      </w:r>
      <w:r w:rsidR="0057331A">
        <w:rPr>
          <w:noProof/>
        </w:rPr>
        <w:t>1</w:t>
      </w:r>
      <w:r>
        <w:fldChar w:fldCharType="end"/>
      </w:r>
      <w:r>
        <w:t xml:space="preserve"> and was the starting point of our assessment. </w:t>
      </w:r>
      <w:r w:rsidR="003E6BD1">
        <w:t xml:space="preserve">Regional flows </w:t>
      </w:r>
      <m:oMath>
        <m: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i,j</m:t>
            </m:r>
          </m:sub>
        </m:sSub>
        <m:r>
          <w:rPr>
            <w:rFonts w:ascii="Cambria Math" w:hAnsi="Cambria Math" w:cs="Arial"/>
          </w:rPr>
          <m:t>)</m:t>
        </m:r>
      </m:oMath>
      <w:r w:rsidR="003E6BD1">
        <w:t xml:space="preserve"> were </w:t>
      </w:r>
      <w:r>
        <w:t>disaggregate</w:t>
      </w:r>
      <w:r w:rsidR="003E6BD1">
        <w:t>d</w:t>
      </w:r>
      <w:r>
        <w:t xml:space="preserve"> into a facility-to-facility </w:t>
      </w:r>
      <m:oMath>
        <m:r>
          <w:rPr>
            <w:rFonts w:ascii="Cambria Math" w:hAnsi="Cambria Math" w:cs="Arial"/>
          </w:rPr>
          <m:t>(</m:t>
        </m:r>
        <m:sSub>
          <m:sSubPr>
            <m:ctrlPr>
              <w:rPr>
                <w:rFonts w:ascii="Cambria Math" w:hAnsi="Cambria Math" w:cs="Arial"/>
              </w:rPr>
            </m:ctrlPr>
          </m:sSubPr>
          <m:e>
            <m:r>
              <w:rPr>
                <w:rFonts w:ascii="Cambria Math" w:hAnsi="Cambria Math" w:cs="Arial"/>
              </w:rPr>
              <m:t>x</m:t>
            </m:r>
          </m:e>
          <m:sub>
            <m:r>
              <w:rPr>
                <w:rFonts w:ascii="Cambria Math" w:hAnsi="Cambria Math" w:cs="Arial"/>
              </w:rPr>
              <m:t>f,p</m:t>
            </m:r>
          </m:sub>
        </m:sSub>
        <m:r>
          <w:rPr>
            <w:rFonts w:ascii="Cambria Math" w:hAnsi="Cambria Math" w:cs="Arial"/>
          </w:rPr>
          <m:t>)</m:t>
        </m:r>
      </m:oMath>
      <w:r>
        <w:rPr>
          <w:rFonts w:eastAsiaTheme="minorEastAsia"/>
        </w:rPr>
        <w:t xml:space="preserve"> </w:t>
      </w:r>
      <w:r>
        <w:t>basis without compromising the original interregional pattern of movements. In the case of log exports, data from the original NFDS table was used to formulate a forests-to-ports LP problem in which the objective function was to minimize the total costs of transportation (</w:t>
      </w:r>
      <w:r>
        <w:fldChar w:fldCharType="begin"/>
      </w:r>
      <w:r>
        <w:instrText xml:space="preserve"> REF _Ref14100331 \h </w:instrText>
      </w:r>
      <w:r>
        <w:fldChar w:fldCharType="separate"/>
      </w:r>
      <w:r w:rsidR="0057331A">
        <w:t xml:space="preserve">Equation </w:t>
      </w:r>
      <w:r w:rsidR="0057331A">
        <w:rPr>
          <w:noProof/>
        </w:rPr>
        <w:t>1</w:t>
      </w:r>
      <w:r>
        <w:fldChar w:fldCharType="end"/>
      </w:r>
      <w:r>
        <w:t>).</w:t>
      </w:r>
      <w:r w:rsidR="002E2624">
        <w:t xml:space="preserve"> The formulation was based on the assumption that logs are shipped directly between forests to their final destinations (i.e. ports and processing facilities).</w:t>
      </w:r>
      <w:r>
        <w:t xml:space="preserve"> The transportation costs were calculated from the routed distances by road between forests and ports. The NZ Road Centrelines is available to the public through Land Information New Zealand (LINZ) </w:t>
      </w:r>
      <w:r>
        <w:fldChar w:fldCharType="begin"/>
      </w:r>
      <w:r w:rsidR="0057331A">
        <w:instrText xml:space="preserve"> ADDIN EN.CITE &lt;EndNote&gt;&lt;Cite&gt;&lt;Author&gt;LINZ&lt;/Author&gt;&lt;Year&gt;2019&lt;/Year&gt;&lt;RecNum&gt;246&lt;/RecNum&gt;&lt;DisplayText&gt;(LINZ, 2019)&lt;/DisplayText&gt;&lt;record&gt;&lt;rec-number&gt;246&lt;/rec-number&gt;&lt;foreign-keys&gt;&lt;key app="EN" db-id="t2tttt5z4vw0z3etadq5px5k0a5wraw2d092" timestamp="1564376516"&gt;246&lt;/key&gt;&lt;/foreign-keys&gt;&lt;ref-type name="Dataset"&gt;59&lt;/ref-type&gt;&lt;contributors&gt;&lt;authors&gt;&lt;author&gt;LINZ,&lt;/author&gt;&lt;/authors&gt;&lt;/contributors&gt;&lt;titles&gt;&lt;title&gt;NZ Road Centrelines (Topo, 1:50k)&lt;/title&gt;&lt;/titles&gt;&lt;dates&gt;&lt;year&gt;2019&lt;/year&gt;&lt;/dates&gt;&lt;pub-location&gt;New Zealand&lt;/pub-location&gt;&lt;urls&gt;&lt;/urls&gt;&lt;custom3&gt;Vector linestring&lt;/custom3&gt;&lt;/record&gt;&lt;/Cite&gt;&lt;/EndNote&gt;</w:instrText>
      </w:r>
      <w:r>
        <w:fldChar w:fldCharType="separate"/>
      </w:r>
      <w:r w:rsidR="0057331A">
        <w:rPr>
          <w:noProof/>
        </w:rPr>
        <w:t>(LINZ, 2019)</w:t>
      </w:r>
      <w:r>
        <w:fldChar w:fldCharType="end"/>
      </w:r>
      <w:r>
        <w:t xml:space="preserve">. The file was used to generate a </w:t>
      </w:r>
      <w:r>
        <w:lastRenderedPageBreak/>
        <w:t xml:space="preserve">network dataset after careful topological validation. The cost matrix was obtained through ArcGIS OD Cost Matrix using the network dataset and locations displayed in </w:t>
      </w:r>
      <w:r>
        <w:fldChar w:fldCharType="begin"/>
      </w:r>
      <w:r>
        <w:instrText xml:space="preserve"> REF _Ref13823959 \h </w:instrText>
      </w:r>
      <w:r>
        <w:fldChar w:fldCharType="separate"/>
      </w:r>
      <w:r w:rsidR="0057331A">
        <w:t xml:space="preserve">Figure </w:t>
      </w:r>
      <w:r w:rsidR="0057331A">
        <w:rPr>
          <w:noProof/>
        </w:rPr>
        <w:t>3</w:t>
      </w:r>
      <w:r>
        <w:fldChar w:fldCharType="end"/>
      </w:r>
      <w:r>
        <w:t>.</w:t>
      </w:r>
    </w:p>
    <w:p w14:paraId="7C864774" w14:textId="77777777" w:rsidR="004E6158" w:rsidRDefault="004E6158" w:rsidP="004F6DA0"/>
    <w:p w14:paraId="46701DE8" w14:textId="77777777" w:rsidR="004E6158" w:rsidRDefault="004E6158" w:rsidP="004F6DA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2030BE71" w14:textId="77777777" w:rsidTr="008C73C5">
        <w:trPr>
          <w:jc w:val="center"/>
        </w:trPr>
        <w:tc>
          <w:tcPr>
            <w:tcW w:w="4675" w:type="dxa"/>
          </w:tcPr>
          <w:p w14:paraId="5638355B" w14:textId="77777777" w:rsidR="004F6DA0" w:rsidRDefault="004F6DA0" w:rsidP="008C73C5">
            <m:oMathPara>
              <m:oMath>
                <m:r>
                  <w:rPr>
                    <w:rFonts w:ascii="Cambria Math" w:eastAsiaTheme="minorEastAsia" w:hAnsi="Cambria Math"/>
                  </w:rPr>
                  <m:t xml:space="preserve">Minimize Z= </m:t>
                </m:r>
                <m:nary>
                  <m:naryPr>
                    <m:chr m:val="∑"/>
                    <m:limLoc m:val="undOvr"/>
                    <m:supHide m:val="1"/>
                    <m:ctrlPr>
                      <w:rPr>
                        <w:rFonts w:ascii="Cambria Math" w:eastAsiaTheme="minorEastAsia" w:hAnsi="Cambria Math"/>
                        <w:i/>
                      </w:rPr>
                    </m:ctrlPr>
                  </m:naryPr>
                  <m:sub>
                    <m:r>
                      <w:rPr>
                        <w:rFonts w:ascii="Cambria Math" w:eastAsiaTheme="minorEastAsia" w:hAnsi="Cambria Math"/>
                      </w:rPr>
                      <m:t>f∈F</m:t>
                    </m:r>
                  </m:sub>
                  <m:sup/>
                  <m:e>
                    <m:nary>
                      <m:naryPr>
                        <m:chr m:val="∑"/>
                        <m:limLoc m:val="undOvr"/>
                        <m:supHide m:val="1"/>
                        <m:ctrlPr>
                          <w:rPr>
                            <w:rFonts w:ascii="Cambria Math" w:eastAsiaTheme="minorEastAsia" w:hAnsi="Cambria Math"/>
                            <w:i/>
                          </w:rPr>
                        </m:ctrlPr>
                      </m:naryPr>
                      <m:sub>
                        <m:r>
                          <w:rPr>
                            <w:rFonts w:ascii="Cambria Math" w:eastAsiaTheme="minorEastAsia" w:hAnsi="Cambria Math"/>
                          </w:rPr>
                          <m:t>p∈P</m:t>
                        </m:r>
                      </m:sub>
                      <m:sup/>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f,p</m:t>
                            </m:r>
                          </m:sub>
                        </m:sSub>
                      </m:e>
                    </m:nary>
                  </m:e>
                </m:nary>
              </m:oMath>
            </m:oMathPara>
          </w:p>
        </w:tc>
        <w:tc>
          <w:tcPr>
            <w:tcW w:w="2160" w:type="dxa"/>
            <w:vAlign w:val="center"/>
          </w:tcPr>
          <w:p w14:paraId="4563C95D" w14:textId="1F75BCD4" w:rsidR="004F6DA0" w:rsidRDefault="004F6DA0" w:rsidP="008C73C5">
            <w:pPr>
              <w:pStyle w:val="Caption"/>
            </w:pPr>
            <w:bookmarkStart w:id="8" w:name="_Ref14100331"/>
            <w:r>
              <w:t xml:space="preserve">Equation </w:t>
            </w:r>
            <w:r>
              <w:rPr>
                <w:noProof/>
              </w:rPr>
              <w:fldChar w:fldCharType="begin"/>
            </w:r>
            <w:r>
              <w:rPr>
                <w:noProof/>
              </w:rPr>
              <w:instrText xml:space="preserve"> SEQ Equation \* ARABIC </w:instrText>
            </w:r>
            <w:r>
              <w:rPr>
                <w:noProof/>
              </w:rPr>
              <w:fldChar w:fldCharType="separate"/>
            </w:r>
            <w:r w:rsidR="0057331A">
              <w:rPr>
                <w:noProof/>
              </w:rPr>
              <w:t>1</w:t>
            </w:r>
            <w:r>
              <w:rPr>
                <w:noProof/>
              </w:rPr>
              <w:fldChar w:fldCharType="end"/>
            </w:r>
            <w:bookmarkEnd w:id="8"/>
          </w:p>
        </w:tc>
      </w:tr>
    </w:tbl>
    <w:p w14:paraId="0906BDBC" w14:textId="77777777" w:rsidR="004F6DA0" w:rsidRDefault="004F6DA0" w:rsidP="004F6DA0"/>
    <w:p w14:paraId="62A9901D" w14:textId="66691F52" w:rsidR="004F6DA0" w:rsidRDefault="004F6DA0" w:rsidP="004F6DA0">
      <w:r>
        <w:t>For the supply constraint, the sum of each row was taken as the total production of logs in each region (</w:t>
      </w:r>
      <w:r>
        <w:fldChar w:fldCharType="begin"/>
      </w:r>
      <w:r>
        <w:instrText xml:space="preserve"> REF _Ref14081927 \h </w:instrText>
      </w:r>
      <w:r>
        <w:fldChar w:fldCharType="separate"/>
      </w:r>
      <w:r w:rsidR="0057331A">
        <w:t xml:space="preserve">Equation </w:t>
      </w:r>
      <w:r w:rsidR="0057331A">
        <w:rPr>
          <w:noProof/>
        </w:rPr>
        <w:t>2</w:t>
      </w:r>
      <w:r>
        <w:fldChar w:fldCharType="end"/>
      </w:r>
      <w:r>
        <w:t xml:space="preserve">). This total was allocated evenly amongst the forests that fall within the respective region. </w:t>
      </w:r>
    </w:p>
    <w:p w14:paraId="69E38978" w14:textId="77777777" w:rsidR="00683852" w:rsidRDefault="00683852" w:rsidP="004F6DA0"/>
    <w:p w14:paraId="1E0A98EE" w14:textId="77777777" w:rsidR="004F6DA0" w:rsidRPr="00262DBB" w:rsidRDefault="004F6DA0" w:rsidP="004F6DA0">
      <w:pPr>
        <w:rPr>
          <w:rFonts w:eastAsiaTheme="minorEastAsia"/>
        </w:rPr>
      </w:pPr>
      <m:oMathPara>
        <m:oMathParaPr>
          <m:jc m:val="left"/>
        </m:oMathParaPr>
        <m:oMath>
          <m:r>
            <w:rPr>
              <w:rFonts w:ascii="Cambria Math" w:hAnsi="Cambria Math"/>
            </w:rPr>
            <m:t>∀ i∈R</m:t>
          </m:r>
        </m:oMath>
      </m:oMathPara>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78171481" w14:textId="77777777" w:rsidTr="008C73C5">
        <w:trPr>
          <w:jc w:val="center"/>
        </w:trPr>
        <w:tc>
          <w:tcPr>
            <w:tcW w:w="4675" w:type="dxa"/>
          </w:tcPr>
          <w:p w14:paraId="1799A79F" w14:textId="77777777" w:rsidR="004F6DA0" w:rsidRDefault="00184C0D" w:rsidP="008C73C5">
            <m:oMathPara>
              <m:oMath>
                <m:nary>
                  <m:naryPr>
                    <m:chr m:val="∑"/>
                    <m:limLoc m:val="undOvr"/>
                    <m:supHide m:val="1"/>
                    <m:ctrlPr>
                      <w:rPr>
                        <w:rFonts w:ascii="Cambria Math" w:hAnsi="Cambria Math"/>
                        <w:i/>
                      </w:rPr>
                    </m:ctrlPr>
                  </m:naryPr>
                  <m:sub>
                    <m:r>
                      <w:rPr>
                        <w:rFonts w:ascii="Cambria Math" w:hAnsi="Cambria Math"/>
                      </w:rPr>
                      <m:t>j∈R</m:t>
                    </m:r>
                  </m:sub>
                  <m:sup/>
                  <m:e>
                    <m:sSub>
                      <m:sSubPr>
                        <m:ctrlPr>
                          <w:rPr>
                            <w:rFonts w:ascii="Cambria Math" w:hAnsi="Cambria Math" w:cs="Arial"/>
                          </w:rPr>
                        </m:ctrlPr>
                      </m:sSubPr>
                      <m:e>
                        <m:r>
                          <w:rPr>
                            <w:rFonts w:ascii="Cambria Math" w:hAnsi="Cambria Math" w:cs="Arial"/>
                          </w:rPr>
                          <m:t>a</m:t>
                        </m:r>
                      </m:e>
                      <m:sub>
                        <m:r>
                          <w:rPr>
                            <w:rFonts w:ascii="Cambria Math" w:hAnsi="Cambria Math" w:cs="Arial"/>
                          </w:rPr>
                          <m:t>i,j</m:t>
                        </m:r>
                      </m:sub>
                    </m:sSub>
                  </m:e>
                </m:nary>
                <m:r>
                  <w:rPr>
                    <w:rFonts w:ascii="Cambria Math" w:eastAsiaTheme="minorEastAsia" w:hAnsi="Cambria Math"/>
                  </w:rPr>
                  <m:t xml:space="preserve">= </m:t>
                </m:r>
                <m:nary>
                  <m:naryPr>
                    <m:chr m:val="∑"/>
                    <m:limLoc m:val="undOvr"/>
                    <m:supHide m:val="1"/>
                    <m:ctrlPr>
                      <w:rPr>
                        <w:rFonts w:ascii="Cambria Math" w:eastAsiaTheme="minorEastAsia" w:hAnsi="Cambria Math"/>
                        <w:i/>
                      </w:rPr>
                    </m:ctrlPr>
                  </m:naryPr>
                  <m:sub>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⊆F</m:t>
                    </m:r>
                  </m:sub>
                  <m:sup/>
                  <m:e>
                    <m:nary>
                      <m:naryPr>
                        <m:chr m:val="∑"/>
                        <m:limLoc m:val="undOvr"/>
                        <m:supHide m:val="1"/>
                        <m:ctrlPr>
                          <w:rPr>
                            <w:rFonts w:ascii="Cambria Math" w:eastAsiaTheme="minorEastAsia" w:hAnsi="Cambria Math"/>
                            <w:i/>
                          </w:rPr>
                        </m:ctrlPr>
                      </m:naryPr>
                      <m:sub>
                        <m:r>
                          <w:rPr>
                            <w:rFonts w:ascii="Cambria Math" w:eastAsiaTheme="minorEastAsia" w:hAnsi="Cambria Math"/>
                          </w:rPr>
                          <m:t>p∈P</m:t>
                        </m: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f,p</m:t>
                            </m:r>
                          </m:sub>
                        </m:sSub>
                      </m:e>
                    </m:nary>
                  </m:e>
                </m:nary>
              </m:oMath>
            </m:oMathPara>
          </w:p>
        </w:tc>
        <w:tc>
          <w:tcPr>
            <w:tcW w:w="2160" w:type="dxa"/>
            <w:vAlign w:val="center"/>
          </w:tcPr>
          <w:p w14:paraId="7CC04B56" w14:textId="7D1DD6FF" w:rsidR="004F6DA0" w:rsidRDefault="004F6DA0" w:rsidP="008C73C5">
            <w:pPr>
              <w:pStyle w:val="Equation"/>
            </w:pPr>
            <w:bookmarkStart w:id="9" w:name="_Ref14081927"/>
            <w:r>
              <w:t xml:space="preserve">Equation </w:t>
            </w:r>
            <w:r>
              <w:rPr>
                <w:noProof/>
              </w:rPr>
              <w:fldChar w:fldCharType="begin"/>
            </w:r>
            <w:r>
              <w:rPr>
                <w:noProof/>
              </w:rPr>
              <w:instrText xml:space="preserve"> SEQ Equation \* ARABIC </w:instrText>
            </w:r>
            <w:r>
              <w:rPr>
                <w:noProof/>
              </w:rPr>
              <w:fldChar w:fldCharType="separate"/>
            </w:r>
            <w:r w:rsidR="0057331A">
              <w:rPr>
                <w:noProof/>
              </w:rPr>
              <w:t>2</w:t>
            </w:r>
            <w:r>
              <w:rPr>
                <w:noProof/>
              </w:rPr>
              <w:fldChar w:fldCharType="end"/>
            </w:r>
            <w:bookmarkEnd w:id="9"/>
          </w:p>
        </w:tc>
      </w:tr>
    </w:tbl>
    <w:p w14:paraId="287A9938" w14:textId="77777777" w:rsidR="004F6DA0" w:rsidRDefault="004F6DA0" w:rsidP="004F6DA0"/>
    <w:p w14:paraId="0254B2AB" w14:textId="067ECB9D" w:rsidR="004F6DA0" w:rsidRDefault="004F6DA0" w:rsidP="004F6DA0">
      <w:r>
        <w:t xml:space="preserve">A similar approach was </w:t>
      </w:r>
      <w:r w:rsidR="0057331A">
        <w:t>adopted</w:t>
      </w:r>
      <w:r>
        <w:t xml:space="preserve"> for the demand constraint, so that, region column totals were allocated amongst the corresponding ports of a given region (</w:t>
      </w:r>
      <w:r>
        <w:fldChar w:fldCharType="begin"/>
      </w:r>
      <w:r>
        <w:instrText xml:space="preserve"> REF _Ref14082391 \h </w:instrText>
      </w:r>
      <w:r>
        <w:fldChar w:fldCharType="separate"/>
      </w:r>
      <w:r w:rsidR="0057331A">
        <w:t xml:space="preserve">Equation </w:t>
      </w:r>
      <w:r w:rsidR="0057331A">
        <w:rPr>
          <w:noProof/>
        </w:rPr>
        <w:t>3</w:t>
      </w:r>
      <w:r>
        <w:fldChar w:fldCharType="end"/>
      </w:r>
      <w:r>
        <w:t xml:space="preserve">). Generally, there is one port for each region, with the exceptions of Canterbury and TNM (Tasman, Nelson and Marlborough). In these cases, the demand (column total) was distributed in proportion to the log export values reported in the FF report. </w:t>
      </w:r>
    </w:p>
    <w:p w14:paraId="495607F9" w14:textId="77777777" w:rsidR="00683852" w:rsidRDefault="00683852" w:rsidP="004F6DA0"/>
    <w:p w14:paraId="0656FBE1" w14:textId="77777777" w:rsidR="004F6DA0" w:rsidRPr="00262DBB" w:rsidRDefault="004F6DA0" w:rsidP="004F6DA0">
      <w:pPr>
        <w:rPr>
          <w:rFonts w:eastAsiaTheme="minorEastAsia"/>
        </w:rPr>
      </w:pPr>
      <m:oMathPara>
        <m:oMathParaPr>
          <m:jc m:val="left"/>
        </m:oMathParaPr>
        <m:oMath>
          <m:r>
            <w:rPr>
              <w:rFonts w:ascii="Cambria Math" w:hAnsi="Cambria Math"/>
            </w:rPr>
            <m:t>∀ j∈R</m:t>
          </m:r>
        </m:oMath>
      </m:oMathPara>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54B19F35" w14:textId="77777777" w:rsidTr="008C73C5">
        <w:trPr>
          <w:jc w:val="center"/>
        </w:trPr>
        <w:tc>
          <w:tcPr>
            <w:tcW w:w="4675" w:type="dxa"/>
          </w:tcPr>
          <w:p w14:paraId="52098B3B" w14:textId="77777777" w:rsidR="004F6DA0" w:rsidRDefault="00184C0D" w:rsidP="008C73C5">
            <m:oMathPara>
              <m:oMath>
                <m:nary>
                  <m:naryPr>
                    <m:chr m:val="∑"/>
                    <m:limLoc m:val="undOvr"/>
                    <m:supHide m:val="1"/>
                    <m:ctrlPr>
                      <w:rPr>
                        <w:rFonts w:ascii="Cambria Math" w:hAnsi="Cambria Math"/>
                        <w:i/>
                      </w:rPr>
                    </m:ctrlPr>
                  </m:naryPr>
                  <m:sub>
                    <m:r>
                      <w:rPr>
                        <w:rFonts w:ascii="Cambria Math" w:hAnsi="Cambria Math"/>
                      </w:rPr>
                      <m:t>i∈R</m:t>
                    </m:r>
                  </m:sub>
                  <m:sup/>
                  <m:e>
                    <m:sSub>
                      <m:sSubPr>
                        <m:ctrlPr>
                          <w:rPr>
                            <w:rFonts w:ascii="Cambria Math" w:hAnsi="Cambria Math" w:cs="Arial"/>
                          </w:rPr>
                        </m:ctrlPr>
                      </m:sSubPr>
                      <m:e>
                        <m:r>
                          <w:rPr>
                            <w:rFonts w:ascii="Cambria Math" w:hAnsi="Cambria Math" w:cs="Arial"/>
                          </w:rPr>
                          <m:t>a</m:t>
                        </m:r>
                      </m:e>
                      <m:sub>
                        <m:r>
                          <w:rPr>
                            <w:rFonts w:ascii="Cambria Math" w:hAnsi="Cambria Math" w:cs="Arial"/>
                          </w:rPr>
                          <m:t>i,j</m:t>
                        </m:r>
                      </m:sub>
                    </m:sSub>
                  </m:e>
                </m:nary>
                <m:r>
                  <w:rPr>
                    <w:rFonts w:ascii="Cambria Math" w:eastAsiaTheme="minorEastAsia" w:hAnsi="Cambria Math"/>
                  </w:rPr>
                  <m:t xml:space="preserve">= </m:t>
                </m:r>
                <m:nary>
                  <m:naryPr>
                    <m:chr m:val="∑"/>
                    <m:limLoc m:val="undOvr"/>
                    <m:supHide m:val="1"/>
                    <m:ctrlPr>
                      <w:rPr>
                        <w:rFonts w:ascii="Cambria Math" w:eastAsiaTheme="minorEastAsia" w:hAnsi="Cambria Math"/>
                        <w:i/>
                      </w:rPr>
                    </m:ctrlPr>
                  </m:naryPr>
                  <m:sub>
                    <m:r>
                      <w:rPr>
                        <w:rFonts w:ascii="Cambria Math" w:eastAsiaTheme="minorEastAsia" w:hAnsi="Cambria Math"/>
                      </w:rPr>
                      <m:t>f∈F</m:t>
                    </m:r>
                  </m:sub>
                  <m:sup/>
                  <m:e>
                    <m:nary>
                      <m:naryPr>
                        <m:chr m:val="∑"/>
                        <m:limLoc m:val="undOvr"/>
                        <m:supHide m:val="1"/>
                        <m:ctrlPr>
                          <w:rPr>
                            <w:rFonts w:ascii="Cambria Math" w:eastAsiaTheme="minorEastAsia" w:hAnsi="Cambria Math"/>
                            <w:i/>
                          </w:rPr>
                        </m:ctrlPr>
                      </m:naryPr>
                      <m:sub>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⊆P</m:t>
                        </m: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f,p</m:t>
                            </m:r>
                          </m:sub>
                        </m:sSub>
                      </m:e>
                    </m:nary>
                  </m:e>
                </m:nary>
              </m:oMath>
            </m:oMathPara>
          </w:p>
        </w:tc>
        <w:tc>
          <w:tcPr>
            <w:tcW w:w="2160" w:type="dxa"/>
            <w:vAlign w:val="center"/>
          </w:tcPr>
          <w:p w14:paraId="532F3283" w14:textId="6179C2DD" w:rsidR="004F6DA0" w:rsidRDefault="004F6DA0" w:rsidP="008C73C5">
            <w:pPr>
              <w:pStyle w:val="Equation"/>
            </w:pPr>
            <w:bookmarkStart w:id="10" w:name="_Ref14082391"/>
            <w:r>
              <w:t xml:space="preserve">Equation </w:t>
            </w:r>
            <w:r>
              <w:rPr>
                <w:noProof/>
              </w:rPr>
              <w:fldChar w:fldCharType="begin"/>
            </w:r>
            <w:r>
              <w:rPr>
                <w:noProof/>
              </w:rPr>
              <w:instrText xml:space="preserve"> SEQ Equation \* ARABIC </w:instrText>
            </w:r>
            <w:r>
              <w:rPr>
                <w:noProof/>
              </w:rPr>
              <w:fldChar w:fldCharType="separate"/>
            </w:r>
            <w:r w:rsidR="0057331A">
              <w:rPr>
                <w:noProof/>
              </w:rPr>
              <w:t>3</w:t>
            </w:r>
            <w:r>
              <w:rPr>
                <w:noProof/>
              </w:rPr>
              <w:fldChar w:fldCharType="end"/>
            </w:r>
            <w:bookmarkEnd w:id="10"/>
          </w:p>
        </w:tc>
      </w:tr>
    </w:tbl>
    <w:p w14:paraId="3D35A95E" w14:textId="77777777" w:rsidR="004F6DA0" w:rsidRDefault="004F6DA0" w:rsidP="004F6DA0"/>
    <w:p w14:paraId="4EAF5151" w14:textId="6D8EAAE2" w:rsidR="004F6DA0" w:rsidRDefault="004F6DA0" w:rsidP="004F6DA0">
      <w:r>
        <w:t>A third constraint (</w:t>
      </w:r>
      <w:r>
        <w:fldChar w:fldCharType="begin"/>
      </w:r>
      <w:r>
        <w:instrText xml:space="preserve"> REF _Ref14083428 \h </w:instrText>
      </w:r>
      <w:r>
        <w:fldChar w:fldCharType="separate"/>
      </w:r>
      <w:r w:rsidR="0057331A">
        <w:t xml:space="preserve">Equation </w:t>
      </w:r>
      <w:r w:rsidR="0057331A">
        <w:rPr>
          <w:noProof/>
        </w:rPr>
        <w:t>4</w:t>
      </w:r>
      <w:r>
        <w:fldChar w:fldCharType="end"/>
      </w:r>
      <w:r>
        <w:t xml:space="preserve">) ensured that the inter-regional pattern of flows reported in the NFDS table was maintained between flows from forests-to-ports. Every cell value from the NFDS table represents the total log demand by ports from region </w:t>
      </w:r>
      <m:oMath>
        <m:r>
          <w:rPr>
            <w:rFonts w:ascii="Cambria Math" w:hAnsi="Cambria Math"/>
          </w:rPr>
          <m:t>j</m:t>
        </m:r>
      </m:oMath>
      <w:r>
        <w:t xml:space="preserve"> for logs from forests in region </w:t>
      </w:r>
      <m:oMath>
        <m:r>
          <w:rPr>
            <w:rFonts w:ascii="Cambria Math" w:hAnsi="Cambria Math"/>
          </w:rPr>
          <m:t>i</m:t>
        </m:r>
      </m:oMath>
      <w:r>
        <w:t>. The final constraint (</w:t>
      </w:r>
      <w:r>
        <w:fldChar w:fldCharType="begin"/>
      </w:r>
      <w:r>
        <w:instrText xml:space="preserve"> REF _Ref14085777 \h </w:instrText>
      </w:r>
      <w:r>
        <w:fldChar w:fldCharType="separate"/>
      </w:r>
      <w:r w:rsidR="0057331A">
        <w:t xml:space="preserve">Equation </w:t>
      </w:r>
      <w:r w:rsidR="0057331A">
        <w:rPr>
          <w:noProof/>
        </w:rPr>
        <w:t>5</w:t>
      </w:r>
      <w:r>
        <w:fldChar w:fldCharType="end"/>
      </w:r>
      <w:r>
        <w:t>) imposes a lower bound of zero on all variables.</w:t>
      </w:r>
    </w:p>
    <w:p w14:paraId="153E86D5" w14:textId="77777777" w:rsidR="00683852" w:rsidRDefault="00683852" w:rsidP="004F6DA0"/>
    <w:p w14:paraId="36CF65EB" w14:textId="77777777" w:rsidR="004F6DA0" w:rsidRPr="00735A2B" w:rsidRDefault="004F6DA0" w:rsidP="004F6DA0">
      <m:oMathPara>
        <m:oMathParaPr>
          <m:jc m:val="left"/>
        </m:oMathParaPr>
        <m:oMath>
          <m:r>
            <w:rPr>
              <w:rFonts w:ascii="Cambria Math" w:hAnsi="Cambria Math"/>
            </w:rPr>
            <m:t>∀ i, j∈R</m:t>
          </m:r>
        </m:oMath>
      </m:oMathPara>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7A01432A" w14:textId="77777777" w:rsidTr="008C73C5">
        <w:trPr>
          <w:jc w:val="center"/>
        </w:trPr>
        <w:tc>
          <w:tcPr>
            <w:tcW w:w="4675" w:type="dxa"/>
          </w:tcPr>
          <w:p w14:paraId="4D85CBE0" w14:textId="77777777" w:rsidR="004F6DA0" w:rsidRDefault="00184C0D" w:rsidP="008C73C5">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r>
                  <w:rPr>
                    <w:rFonts w:ascii="Cambria Math" w:eastAsiaTheme="minorEastAsia" w:hAnsi="Cambria Math"/>
                  </w:rPr>
                  <m:t xml:space="preserve">= </m:t>
                </m:r>
                <m:nary>
                  <m:naryPr>
                    <m:chr m:val="∑"/>
                    <m:limLoc m:val="undOvr"/>
                    <m:supHide m:val="1"/>
                    <m:ctrlPr>
                      <w:rPr>
                        <w:rFonts w:ascii="Cambria Math" w:eastAsiaTheme="minorEastAsia" w:hAnsi="Cambria Math"/>
                        <w:i/>
                      </w:rPr>
                    </m:ctrlPr>
                  </m:naryPr>
                  <m:sub>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⊆F</m:t>
                    </m:r>
                  </m:sub>
                  <m:sup/>
                  <m:e>
                    <m:nary>
                      <m:naryPr>
                        <m:chr m:val="∑"/>
                        <m:limLoc m:val="undOvr"/>
                        <m:supHide m:val="1"/>
                        <m:ctrlPr>
                          <w:rPr>
                            <w:rFonts w:ascii="Cambria Math" w:eastAsiaTheme="minorEastAsia" w:hAnsi="Cambria Math"/>
                            <w:i/>
                          </w:rPr>
                        </m:ctrlPr>
                      </m:naryPr>
                      <m:sub>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⊆P</m:t>
                        </m:r>
                      </m:sub>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f,p</m:t>
                            </m:r>
                          </m:sub>
                        </m:sSub>
                      </m:e>
                    </m:nary>
                  </m:e>
                </m:nary>
              </m:oMath>
            </m:oMathPara>
          </w:p>
        </w:tc>
        <w:tc>
          <w:tcPr>
            <w:tcW w:w="2160" w:type="dxa"/>
            <w:vAlign w:val="center"/>
          </w:tcPr>
          <w:p w14:paraId="20EB329C" w14:textId="2AA286D0" w:rsidR="004F6DA0" w:rsidRDefault="004F6DA0" w:rsidP="008C73C5">
            <w:pPr>
              <w:pStyle w:val="Equation"/>
            </w:pPr>
            <w:bookmarkStart w:id="11" w:name="_Ref14083428"/>
            <w:r>
              <w:t xml:space="preserve">Equation </w:t>
            </w:r>
            <w:r>
              <w:rPr>
                <w:noProof/>
              </w:rPr>
              <w:fldChar w:fldCharType="begin"/>
            </w:r>
            <w:r>
              <w:rPr>
                <w:noProof/>
              </w:rPr>
              <w:instrText xml:space="preserve"> SEQ Equation \* ARABIC </w:instrText>
            </w:r>
            <w:r>
              <w:rPr>
                <w:noProof/>
              </w:rPr>
              <w:fldChar w:fldCharType="separate"/>
            </w:r>
            <w:r w:rsidR="0057331A">
              <w:rPr>
                <w:noProof/>
              </w:rPr>
              <w:t>4</w:t>
            </w:r>
            <w:r>
              <w:rPr>
                <w:noProof/>
              </w:rPr>
              <w:fldChar w:fldCharType="end"/>
            </w:r>
            <w:bookmarkEnd w:id="11"/>
          </w:p>
        </w:tc>
      </w:tr>
      <w:tr w:rsidR="00683852" w14:paraId="27C8347B" w14:textId="77777777" w:rsidTr="008C73C5">
        <w:trPr>
          <w:jc w:val="center"/>
        </w:trPr>
        <w:tc>
          <w:tcPr>
            <w:tcW w:w="4675" w:type="dxa"/>
          </w:tcPr>
          <w:p w14:paraId="06F9BF9B" w14:textId="77777777" w:rsidR="00683852" w:rsidRDefault="00683852" w:rsidP="008C73C5"/>
        </w:tc>
        <w:tc>
          <w:tcPr>
            <w:tcW w:w="2160" w:type="dxa"/>
            <w:vAlign w:val="center"/>
          </w:tcPr>
          <w:p w14:paraId="36384552" w14:textId="77777777" w:rsidR="00683852" w:rsidRDefault="00683852" w:rsidP="008C73C5">
            <w:pPr>
              <w:pStyle w:val="Equation"/>
            </w:pPr>
          </w:p>
        </w:tc>
      </w:tr>
    </w:tbl>
    <w:p w14:paraId="1D7AA0D0" w14:textId="77777777" w:rsidR="004F6DA0" w:rsidRPr="00735A2B" w:rsidRDefault="004F6DA0" w:rsidP="004F6DA0">
      <m:oMathPara>
        <m:oMathParaPr>
          <m:jc m:val="left"/>
        </m:oMathParaPr>
        <m:oMath>
          <m:r>
            <w:rPr>
              <w:rFonts w:ascii="Cambria Math" w:hAnsi="Cambria Math"/>
            </w:rPr>
            <m:t>∀ f∈F ⋏ ∀ p∈P</m:t>
          </m:r>
        </m:oMath>
      </m:oMathPara>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4D781D56" w14:textId="77777777" w:rsidTr="008C73C5">
        <w:trPr>
          <w:jc w:val="center"/>
        </w:trPr>
        <w:tc>
          <w:tcPr>
            <w:tcW w:w="4675" w:type="dxa"/>
          </w:tcPr>
          <w:p w14:paraId="04781D77" w14:textId="77777777" w:rsidR="004F6DA0" w:rsidRDefault="00184C0D" w:rsidP="008C73C5">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f,p</m:t>
                    </m:r>
                  </m:sub>
                </m:sSub>
                <m:r>
                  <w:rPr>
                    <w:rFonts w:ascii="Cambria Math" w:eastAsiaTheme="minorEastAsia" w:hAnsi="Cambria Math"/>
                  </w:rPr>
                  <m:t>≥0</m:t>
                </m:r>
              </m:oMath>
            </m:oMathPara>
          </w:p>
        </w:tc>
        <w:tc>
          <w:tcPr>
            <w:tcW w:w="2160" w:type="dxa"/>
            <w:vAlign w:val="center"/>
          </w:tcPr>
          <w:p w14:paraId="0F0EFFCD" w14:textId="3EC3A4D0" w:rsidR="004F6DA0" w:rsidRDefault="004F6DA0" w:rsidP="008C73C5">
            <w:pPr>
              <w:pStyle w:val="Equation"/>
            </w:pPr>
            <w:bookmarkStart w:id="12" w:name="_Ref14085777"/>
            <w:r>
              <w:t xml:space="preserve">Equation </w:t>
            </w:r>
            <w:r>
              <w:rPr>
                <w:noProof/>
              </w:rPr>
              <w:fldChar w:fldCharType="begin"/>
            </w:r>
            <w:r>
              <w:rPr>
                <w:noProof/>
              </w:rPr>
              <w:instrText xml:space="preserve"> SEQ Equation \* ARABIC </w:instrText>
            </w:r>
            <w:r>
              <w:rPr>
                <w:noProof/>
              </w:rPr>
              <w:fldChar w:fldCharType="separate"/>
            </w:r>
            <w:r w:rsidR="0057331A">
              <w:rPr>
                <w:noProof/>
              </w:rPr>
              <w:t>5</w:t>
            </w:r>
            <w:r>
              <w:rPr>
                <w:noProof/>
              </w:rPr>
              <w:fldChar w:fldCharType="end"/>
            </w:r>
            <w:bookmarkEnd w:id="12"/>
          </w:p>
        </w:tc>
      </w:tr>
      <w:tr w:rsidR="00683852" w14:paraId="2DBECD40" w14:textId="77777777" w:rsidTr="008C73C5">
        <w:trPr>
          <w:jc w:val="center"/>
        </w:trPr>
        <w:tc>
          <w:tcPr>
            <w:tcW w:w="4675" w:type="dxa"/>
          </w:tcPr>
          <w:p w14:paraId="185101E8" w14:textId="77777777" w:rsidR="00683852" w:rsidRDefault="00683852" w:rsidP="008C73C5"/>
        </w:tc>
        <w:tc>
          <w:tcPr>
            <w:tcW w:w="2160" w:type="dxa"/>
            <w:vAlign w:val="center"/>
          </w:tcPr>
          <w:p w14:paraId="76C2E457" w14:textId="77777777" w:rsidR="00683852" w:rsidRDefault="00683852" w:rsidP="008C73C5">
            <w:pPr>
              <w:pStyle w:val="Equation"/>
            </w:pPr>
          </w:p>
        </w:tc>
      </w:tr>
    </w:tbl>
    <w:p w14:paraId="140A391F" w14:textId="32939CE4" w:rsidR="004F6DA0" w:rsidRDefault="004F6DA0" w:rsidP="004F6DA0">
      <w:r>
        <w:t>A similar LP formulation was applied for log movements between forests and sawmills. The table of regional flows was updated along with the respective OD cost matrix. The execution of the forests-to-sawmills LP optimization problem led to the quantification of logs that arrived at each sawmill location, where they are converted into different timber products and transported to either ports or retail locations throughout New Zealand. The NFDS and the FF reports provide information on the exports by port and commodity type. For sawn timber, the reported exports were distributed amongst sawmills in proportion to the logs that arrived at each of these facilities.</w:t>
      </w:r>
      <w:r w:rsidR="001F7E80">
        <w:t xml:space="preserve"> This was a key feature of our framework as it allowed to consolidate raw material inputs with products delivered to ports and retail facilities. </w:t>
      </w:r>
      <w:r>
        <w:t>A new sawmills-to-ports LP problem formulation used an updated OD cost matrix, the reported demands by port, and the estimated timber production by sawmill. The same method applied for the remaining chains and its application led to the estimation of the following inter-facility type tables: forests-to-panel factories, forests-to-pulp factories, panel factories-to-ports and pulp factories-to-ports. Unlike the case of log exports, these formulations did not include constrains of the types described in Equations 2, 3 and 4, meaning that the corresponding minimization problem was not subject to a predefined multiregional pattern</w:t>
      </w:r>
      <w:r w:rsidR="009402C7">
        <w:t>, and was only constrained by total production and demand.</w:t>
      </w:r>
      <w:r>
        <w:t xml:space="preserve">           </w:t>
      </w:r>
    </w:p>
    <w:p w14:paraId="00A8B7CF" w14:textId="5FCF1BD5" w:rsidR="004F6DA0" w:rsidRPr="0046738E" w:rsidRDefault="004F6DA0" w:rsidP="004F6DA0">
      <w:pPr>
        <w:pStyle w:val="Heading3"/>
      </w:pPr>
      <w:bookmarkStart w:id="13" w:name="_Ref14164692"/>
      <w:r>
        <w:lastRenderedPageBreak/>
        <w:t xml:space="preserve">LP Disaggregation complemented with Iterative Proportional Fitting Procedure (IPFP) and calibration of </w:t>
      </w:r>
      <w:r w:rsidR="009477EB">
        <w:t xml:space="preserve">production constrained </w:t>
      </w:r>
      <w:r>
        <w:t>gravity models</w:t>
      </w:r>
      <w:bookmarkEnd w:id="13"/>
    </w:p>
    <w:p w14:paraId="63A033F9" w14:textId="77777777" w:rsidR="004F6DA0" w:rsidRDefault="004F6DA0" w:rsidP="004F6DA0">
      <w:pPr>
        <w:outlineLvl w:val="0"/>
        <w:rPr>
          <w:rFonts w:cs="Arial"/>
        </w:rPr>
      </w:pPr>
      <w:r>
        <w:rPr>
          <w:rFonts w:cs="Arial"/>
          <w:b/>
          <w:i/>
        </w:rPr>
        <w:t>Notation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7263"/>
      </w:tblGrid>
      <w:tr w:rsidR="004F6DA0" w14:paraId="332D7301" w14:textId="77777777" w:rsidTr="008C73C5">
        <w:tc>
          <w:tcPr>
            <w:tcW w:w="2087" w:type="dxa"/>
          </w:tcPr>
          <w:p w14:paraId="13F6C502"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n</m:t>
                </m:r>
              </m:oMath>
            </m:oMathPara>
          </w:p>
        </w:tc>
        <w:tc>
          <w:tcPr>
            <w:tcW w:w="7263" w:type="dxa"/>
          </w:tcPr>
          <w:p w14:paraId="7CF08BBB" w14:textId="77777777" w:rsidR="004F6DA0" w:rsidRPr="008C01A3" w:rsidRDefault="004F6DA0" w:rsidP="008C73C5">
            <w:pPr>
              <w:outlineLvl w:val="0"/>
              <w:rPr>
                <w:rFonts w:cs="Arial"/>
                <w:i/>
              </w:rPr>
            </w:pPr>
            <w:r>
              <w:rPr>
                <w:rFonts w:cs="Arial"/>
                <w:i/>
              </w:rPr>
              <w:t>panel factory index</w:t>
            </w:r>
          </w:p>
        </w:tc>
      </w:tr>
      <w:tr w:rsidR="004F6DA0" w14:paraId="160FC61C" w14:textId="77777777" w:rsidTr="008C73C5">
        <w:tc>
          <w:tcPr>
            <w:tcW w:w="2087" w:type="dxa"/>
          </w:tcPr>
          <w:p w14:paraId="71A1C0C1" w14:textId="77777777" w:rsidR="004F6DA0" w:rsidRPr="0029381C" w:rsidRDefault="00184C0D"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oMath>
            </m:oMathPara>
          </w:p>
        </w:tc>
        <w:tc>
          <w:tcPr>
            <w:tcW w:w="7263" w:type="dxa"/>
          </w:tcPr>
          <w:p w14:paraId="656CB2AF" w14:textId="77777777" w:rsidR="004F6DA0" w:rsidRPr="008C01A3" w:rsidRDefault="004F6DA0" w:rsidP="008C73C5">
            <w:pPr>
              <w:outlineLvl w:val="0"/>
              <w:rPr>
                <w:rFonts w:cs="Arial"/>
                <w:i/>
              </w:rPr>
            </w:pPr>
            <w:r>
              <w:rPr>
                <w:rFonts w:cs="Arial"/>
                <w:i/>
              </w:rPr>
              <w:t>subset of panel factories (N) in region i</w:t>
            </w:r>
          </w:p>
        </w:tc>
      </w:tr>
      <w:tr w:rsidR="004F6DA0" w14:paraId="25691645" w14:textId="77777777" w:rsidTr="008C73C5">
        <w:tc>
          <w:tcPr>
            <w:tcW w:w="2087" w:type="dxa"/>
          </w:tcPr>
          <w:p w14:paraId="762FCE2D" w14:textId="77777777" w:rsidR="004F6DA0" w:rsidRPr="0029381C" w:rsidRDefault="00184C0D"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x</m:t>
                    </m:r>
                  </m:e>
                  <m:sub>
                    <m:r>
                      <w:rPr>
                        <w:rFonts w:ascii="Cambria Math" w:hAnsi="Cambria Math" w:cs="Arial"/>
                      </w:rPr>
                      <m:t>f,n</m:t>
                    </m:r>
                  </m:sub>
                </m:sSub>
              </m:oMath>
            </m:oMathPara>
          </w:p>
        </w:tc>
        <w:tc>
          <w:tcPr>
            <w:tcW w:w="7263" w:type="dxa"/>
          </w:tcPr>
          <w:p w14:paraId="2305826B" w14:textId="77777777" w:rsidR="004F6DA0" w:rsidRPr="008C01A3" w:rsidRDefault="004F6DA0" w:rsidP="008C73C5">
            <w:pPr>
              <w:outlineLvl w:val="0"/>
              <w:rPr>
                <w:rFonts w:cs="Arial"/>
                <w:i/>
              </w:rPr>
            </w:pPr>
            <w:r>
              <w:rPr>
                <w:rFonts w:cs="Arial"/>
                <w:i/>
              </w:rPr>
              <w:t>log flow (tonnes) from forest f to panel factory n</w:t>
            </w:r>
          </w:p>
        </w:tc>
      </w:tr>
      <w:tr w:rsidR="004F6DA0" w14:paraId="460809B8" w14:textId="77777777" w:rsidTr="008C73C5">
        <w:tc>
          <w:tcPr>
            <w:tcW w:w="2087" w:type="dxa"/>
          </w:tcPr>
          <w:p w14:paraId="4B880EE9" w14:textId="77777777" w:rsidR="004F6DA0" w:rsidRPr="00933C8E" w:rsidRDefault="00184C0D" w:rsidP="008C73C5">
            <w:pPr>
              <w:outlineLvl w:val="0"/>
              <w:rPr>
                <w:rFonts w:eastAsia="Calibri"/>
              </w:rPr>
            </w:pPr>
            <m:oMathPara>
              <m:oMathParaPr>
                <m:jc m:val="left"/>
              </m:oMathParaPr>
              <m:oMath>
                <m:sSub>
                  <m:sSubPr>
                    <m:ctrlPr>
                      <w:rPr>
                        <w:rFonts w:ascii="Cambria Math" w:hAnsi="Cambria Math" w:cs="Arial"/>
                        <w:i/>
                      </w:rPr>
                    </m:ctrlPr>
                  </m:sSubPr>
                  <m:e>
                    <m:r>
                      <w:rPr>
                        <w:rFonts w:ascii="Cambria Math" w:hAnsi="Cambria Math" w:cs="Arial"/>
                      </w:rPr>
                      <m:t>y</m:t>
                    </m:r>
                  </m:e>
                  <m:sub>
                    <m:r>
                      <w:rPr>
                        <w:rFonts w:ascii="Cambria Math" w:hAnsi="Cambria Math" w:cs="Arial"/>
                      </w:rPr>
                      <m:t>n,p</m:t>
                    </m:r>
                  </m:sub>
                </m:sSub>
              </m:oMath>
            </m:oMathPara>
          </w:p>
        </w:tc>
        <w:tc>
          <w:tcPr>
            <w:tcW w:w="7263" w:type="dxa"/>
          </w:tcPr>
          <w:p w14:paraId="3DB0E32D" w14:textId="77777777" w:rsidR="004F6DA0" w:rsidRDefault="004F6DA0" w:rsidP="008C73C5">
            <w:pPr>
              <w:outlineLvl w:val="0"/>
              <w:rPr>
                <w:rFonts w:cs="Arial"/>
                <w:i/>
              </w:rPr>
            </w:pPr>
            <w:r>
              <w:rPr>
                <w:rFonts w:cs="Arial"/>
                <w:i/>
              </w:rPr>
              <w:t xml:space="preserve">panel flow (tonnes) from panel factory n to port p </w:t>
            </w:r>
          </w:p>
        </w:tc>
      </w:tr>
      <w:tr w:rsidR="004F6DA0" w14:paraId="540028BC" w14:textId="77777777" w:rsidTr="008C73C5">
        <w:tc>
          <w:tcPr>
            <w:tcW w:w="2087" w:type="dxa"/>
          </w:tcPr>
          <w:p w14:paraId="3D699F8D"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M</m:t>
                </m:r>
              </m:oMath>
            </m:oMathPara>
          </w:p>
        </w:tc>
        <w:tc>
          <w:tcPr>
            <w:tcW w:w="7263" w:type="dxa"/>
          </w:tcPr>
          <w:p w14:paraId="181AB78C" w14:textId="77777777" w:rsidR="004F6DA0" w:rsidRPr="008C01A3" w:rsidRDefault="004F6DA0" w:rsidP="008C73C5">
            <w:pPr>
              <w:outlineLvl w:val="0"/>
              <w:rPr>
                <w:rFonts w:cs="Arial"/>
                <w:i/>
              </w:rPr>
            </w:pPr>
            <w:r>
              <w:rPr>
                <w:rFonts w:cs="Arial"/>
                <w:i/>
              </w:rPr>
              <w:t xml:space="preserve">row vector of aggregated log arrivals by region </w:t>
            </w:r>
          </w:p>
        </w:tc>
      </w:tr>
      <w:tr w:rsidR="004F6DA0" w14:paraId="19F8B8A9" w14:textId="77777777" w:rsidTr="008C73C5">
        <w:tc>
          <w:tcPr>
            <w:tcW w:w="2087" w:type="dxa"/>
          </w:tcPr>
          <w:p w14:paraId="25279AF3"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N</m:t>
                </m:r>
              </m:oMath>
            </m:oMathPara>
          </w:p>
        </w:tc>
        <w:tc>
          <w:tcPr>
            <w:tcW w:w="7263" w:type="dxa"/>
          </w:tcPr>
          <w:p w14:paraId="7B703045" w14:textId="77777777" w:rsidR="004F6DA0" w:rsidRPr="008C01A3" w:rsidRDefault="004F6DA0" w:rsidP="008C73C5">
            <w:pPr>
              <w:outlineLvl w:val="0"/>
              <w:rPr>
                <w:rFonts w:cs="Arial"/>
                <w:i/>
              </w:rPr>
            </w:pPr>
            <w:r>
              <w:rPr>
                <w:rFonts w:cs="Arial"/>
                <w:i/>
              </w:rPr>
              <w:t xml:space="preserve">column vector of aggregated panel for export arrivals by region </w:t>
            </w:r>
          </w:p>
        </w:tc>
      </w:tr>
      <w:tr w:rsidR="004F6DA0" w14:paraId="2A74F08F" w14:textId="77777777" w:rsidTr="008C73C5">
        <w:tc>
          <w:tcPr>
            <w:tcW w:w="2087" w:type="dxa"/>
          </w:tcPr>
          <w:p w14:paraId="75D0ECF4" w14:textId="77777777" w:rsidR="004F6DA0" w:rsidRPr="0029381C" w:rsidRDefault="00184C0D"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b</m:t>
                    </m:r>
                  </m:e>
                  <m:sub>
                    <m:r>
                      <w:rPr>
                        <w:rFonts w:ascii="Cambria Math" w:hAnsi="Cambria Math" w:cs="Arial"/>
                      </w:rPr>
                      <m:t>i,j</m:t>
                    </m:r>
                  </m:sub>
                </m:sSub>
              </m:oMath>
            </m:oMathPara>
          </w:p>
        </w:tc>
        <w:tc>
          <w:tcPr>
            <w:tcW w:w="7263" w:type="dxa"/>
          </w:tcPr>
          <w:p w14:paraId="6B1F4A5E" w14:textId="77777777" w:rsidR="004F6DA0" w:rsidRPr="008C01A3" w:rsidRDefault="004F6DA0" w:rsidP="008C73C5">
            <w:pPr>
              <w:outlineLvl w:val="0"/>
              <w:rPr>
                <w:rFonts w:cs="Arial"/>
                <w:i/>
              </w:rPr>
            </w:pPr>
            <w:r>
              <w:rPr>
                <w:rFonts w:cs="Arial"/>
                <w:i/>
              </w:rPr>
              <w:t>panel (input/ouput) movements from region i to region j</w:t>
            </w:r>
          </w:p>
        </w:tc>
      </w:tr>
      <w:tr w:rsidR="004F6DA0" w14:paraId="0DF03A2A" w14:textId="77777777" w:rsidTr="008C73C5">
        <w:tc>
          <w:tcPr>
            <w:tcW w:w="2087" w:type="dxa"/>
          </w:tcPr>
          <w:p w14:paraId="633D73E4" w14:textId="77777777" w:rsidR="004F6DA0" w:rsidRPr="0029381C" w:rsidRDefault="00184C0D"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b'</m:t>
                    </m:r>
                  </m:e>
                  <m:sub>
                    <m:r>
                      <w:rPr>
                        <w:rFonts w:ascii="Cambria Math" w:hAnsi="Cambria Math" w:cs="Arial"/>
                      </w:rPr>
                      <m:t>i,j</m:t>
                    </m:r>
                  </m:sub>
                </m:sSub>
              </m:oMath>
            </m:oMathPara>
          </w:p>
        </w:tc>
        <w:tc>
          <w:tcPr>
            <w:tcW w:w="7263" w:type="dxa"/>
          </w:tcPr>
          <w:p w14:paraId="4793D8C8" w14:textId="77777777" w:rsidR="004F6DA0" w:rsidRPr="008C01A3" w:rsidRDefault="004F6DA0" w:rsidP="008C73C5">
            <w:pPr>
              <w:outlineLvl w:val="0"/>
              <w:rPr>
                <w:rFonts w:cs="Arial"/>
                <w:i/>
              </w:rPr>
            </w:pPr>
            <w:r>
              <w:rPr>
                <w:rFonts w:cs="Arial"/>
                <w:i/>
              </w:rPr>
              <w:t>panel (input/ouput) updated (IPFP) movements from region i to region j</w:t>
            </w:r>
          </w:p>
        </w:tc>
      </w:tr>
      <w:tr w:rsidR="004F6DA0" w14:paraId="61C29BE0" w14:textId="77777777" w:rsidTr="008C73C5">
        <w:tc>
          <w:tcPr>
            <w:tcW w:w="2087" w:type="dxa"/>
          </w:tcPr>
          <w:p w14:paraId="53F41800" w14:textId="77777777" w:rsidR="004F6DA0" w:rsidRPr="0029381C" w:rsidRDefault="00184C0D"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b''</m:t>
                    </m:r>
                  </m:e>
                  <m:sub>
                    <m:r>
                      <w:rPr>
                        <w:rFonts w:ascii="Cambria Math" w:hAnsi="Cambria Math" w:cs="Arial"/>
                      </w:rPr>
                      <m:t>i,j</m:t>
                    </m:r>
                  </m:sub>
                </m:sSub>
              </m:oMath>
            </m:oMathPara>
          </w:p>
        </w:tc>
        <w:tc>
          <w:tcPr>
            <w:tcW w:w="7263" w:type="dxa"/>
          </w:tcPr>
          <w:p w14:paraId="5649A16C" w14:textId="77777777" w:rsidR="004F6DA0" w:rsidRPr="008C01A3" w:rsidRDefault="004F6DA0" w:rsidP="008C73C5">
            <w:pPr>
              <w:outlineLvl w:val="0"/>
              <w:rPr>
                <w:rFonts w:cs="Arial"/>
                <w:i/>
              </w:rPr>
            </w:pPr>
            <w:r>
              <w:rPr>
                <w:rFonts w:cs="Arial"/>
                <w:i/>
              </w:rPr>
              <w:t>estimated panel movements (retail) from region i to region j</w:t>
            </w:r>
          </w:p>
        </w:tc>
      </w:tr>
      <w:tr w:rsidR="004F6DA0" w14:paraId="5D20DCFA" w14:textId="77777777" w:rsidTr="008C73C5">
        <w:tc>
          <w:tcPr>
            <w:tcW w:w="2087" w:type="dxa"/>
          </w:tcPr>
          <w:p w14:paraId="01E2D2F2" w14:textId="77777777" w:rsidR="004F6DA0" w:rsidRPr="00894397" w:rsidRDefault="00184C0D" w:rsidP="008C73C5">
            <w:pPr>
              <w:outlineLvl w:val="0"/>
              <w:rPr>
                <w:rFonts w:eastAsia="Calibri"/>
              </w:rPr>
            </w:pPr>
            <m:oMathPara>
              <m:oMathParaPr>
                <m:jc m:val="left"/>
              </m:oMathPara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i,j</m:t>
                    </m:r>
                  </m:sub>
                </m:sSub>
              </m:oMath>
            </m:oMathPara>
          </w:p>
        </w:tc>
        <w:tc>
          <w:tcPr>
            <w:tcW w:w="7263" w:type="dxa"/>
          </w:tcPr>
          <w:p w14:paraId="75C336F9" w14:textId="77777777" w:rsidR="004F6DA0" w:rsidRDefault="004F6DA0" w:rsidP="008C73C5">
            <w:pPr>
              <w:outlineLvl w:val="0"/>
              <w:rPr>
                <w:rFonts w:cs="Arial"/>
                <w:i/>
              </w:rPr>
            </w:pPr>
            <w:r>
              <w:rPr>
                <w:rFonts w:cs="Arial"/>
                <w:i/>
              </w:rPr>
              <w:t>average interregional distance between panel factories from region i to retail stores in region j</w:t>
            </w:r>
          </w:p>
        </w:tc>
      </w:tr>
      <w:tr w:rsidR="004F6DA0" w14:paraId="37A7F97C" w14:textId="77777777" w:rsidTr="008C73C5">
        <w:tc>
          <w:tcPr>
            <w:tcW w:w="2087" w:type="dxa"/>
          </w:tcPr>
          <w:p w14:paraId="50CA5097" w14:textId="77777777" w:rsidR="004F6DA0" w:rsidRPr="00894397" w:rsidRDefault="00184C0D" w:rsidP="008C73C5">
            <w:pPr>
              <w:outlineLvl w:val="0"/>
              <w:rPr>
                <w:rFonts w:eastAsia="Calibri"/>
              </w:rPr>
            </w:pPr>
            <m:oMathPara>
              <m:oMathParaPr>
                <m:jc m:val="left"/>
              </m:oMathParaPr>
              <m:oMath>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oMath>
            </m:oMathPara>
          </w:p>
        </w:tc>
        <w:tc>
          <w:tcPr>
            <w:tcW w:w="7263" w:type="dxa"/>
          </w:tcPr>
          <w:p w14:paraId="7C828EAA" w14:textId="77777777" w:rsidR="004F6DA0" w:rsidRDefault="004F6DA0" w:rsidP="008C73C5">
            <w:pPr>
              <w:outlineLvl w:val="0"/>
              <w:rPr>
                <w:rFonts w:cs="Arial"/>
                <w:i/>
              </w:rPr>
            </w:pPr>
            <w:r>
              <w:rPr>
                <w:rFonts w:cs="Arial"/>
                <w:i/>
              </w:rPr>
              <w:t xml:space="preserve">number of construction employees in region i </w:t>
            </w:r>
          </w:p>
        </w:tc>
      </w:tr>
      <w:tr w:rsidR="004F6DA0" w14:paraId="79882876" w14:textId="77777777" w:rsidTr="008C73C5">
        <w:tc>
          <w:tcPr>
            <w:tcW w:w="2087" w:type="dxa"/>
          </w:tcPr>
          <w:p w14:paraId="421AC8E9"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TR</m:t>
                </m:r>
              </m:oMath>
            </m:oMathPara>
          </w:p>
        </w:tc>
        <w:tc>
          <w:tcPr>
            <w:tcW w:w="7263" w:type="dxa"/>
          </w:tcPr>
          <w:p w14:paraId="189A7BB2" w14:textId="77777777" w:rsidR="004F6DA0" w:rsidRPr="008C01A3" w:rsidRDefault="004F6DA0" w:rsidP="008C73C5">
            <w:pPr>
              <w:outlineLvl w:val="0"/>
              <w:rPr>
                <w:rFonts w:cs="Arial"/>
                <w:i/>
              </w:rPr>
            </w:pPr>
            <w:r>
              <w:rPr>
                <w:rFonts w:cs="Arial"/>
                <w:i/>
              </w:rPr>
              <w:t xml:space="preserve">row totals vector from panel inputs and outputs table </w:t>
            </w:r>
          </w:p>
        </w:tc>
      </w:tr>
      <w:tr w:rsidR="004F6DA0" w14:paraId="07178BEB" w14:textId="77777777" w:rsidTr="008C73C5">
        <w:tc>
          <w:tcPr>
            <w:tcW w:w="2087" w:type="dxa"/>
          </w:tcPr>
          <w:p w14:paraId="77853E09"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TC</m:t>
                </m:r>
              </m:oMath>
            </m:oMathPara>
          </w:p>
        </w:tc>
        <w:tc>
          <w:tcPr>
            <w:tcW w:w="7263" w:type="dxa"/>
          </w:tcPr>
          <w:p w14:paraId="4DA9D32F" w14:textId="77777777" w:rsidR="004F6DA0" w:rsidRPr="008C01A3" w:rsidRDefault="004F6DA0" w:rsidP="008C73C5">
            <w:pPr>
              <w:outlineLvl w:val="0"/>
              <w:rPr>
                <w:rFonts w:cs="Arial"/>
                <w:i/>
              </w:rPr>
            </w:pPr>
            <w:r>
              <w:rPr>
                <w:rFonts w:cs="Arial"/>
                <w:i/>
              </w:rPr>
              <w:t xml:space="preserve">column totals vector from panel inputs  and outputs table </w:t>
            </w:r>
          </w:p>
        </w:tc>
      </w:tr>
      <w:tr w:rsidR="004F6DA0" w14:paraId="28CFC72C" w14:textId="77777777" w:rsidTr="008C73C5">
        <w:tc>
          <w:tcPr>
            <w:tcW w:w="2087" w:type="dxa"/>
          </w:tcPr>
          <w:p w14:paraId="2D5F61AE"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TR'</m:t>
                </m:r>
              </m:oMath>
            </m:oMathPara>
          </w:p>
        </w:tc>
        <w:tc>
          <w:tcPr>
            <w:tcW w:w="7263" w:type="dxa"/>
          </w:tcPr>
          <w:p w14:paraId="3F33299A" w14:textId="77777777" w:rsidR="004F6DA0" w:rsidRPr="008C01A3" w:rsidRDefault="004F6DA0" w:rsidP="008C73C5">
            <w:pPr>
              <w:outlineLvl w:val="0"/>
              <w:rPr>
                <w:rFonts w:cs="Arial"/>
                <w:i/>
              </w:rPr>
            </w:pPr>
            <w:r>
              <w:rPr>
                <w:rFonts w:cs="Arial"/>
                <w:i/>
              </w:rPr>
              <w:t xml:space="preserve">updated row totals vector for retail movement estimation </w:t>
            </w:r>
          </w:p>
        </w:tc>
      </w:tr>
      <w:tr w:rsidR="004F6DA0" w14:paraId="275FD219" w14:textId="77777777" w:rsidTr="008C73C5">
        <w:tc>
          <w:tcPr>
            <w:tcW w:w="2087" w:type="dxa"/>
          </w:tcPr>
          <w:p w14:paraId="4618AEBD"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TC</m:t>
                </m:r>
                <m:r>
                  <w:rPr>
                    <w:rFonts w:ascii="Cambria Math" w:eastAsiaTheme="minorEastAsia" w:hAnsi="Cambria Math" w:cs="Arial"/>
                  </w:rPr>
                  <m:t>'</m:t>
                </m:r>
              </m:oMath>
            </m:oMathPara>
          </w:p>
        </w:tc>
        <w:tc>
          <w:tcPr>
            <w:tcW w:w="7263" w:type="dxa"/>
          </w:tcPr>
          <w:p w14:paraId="3BF454A3" w14:textId="77777777" w:rsidR="004F6DA0" w:rsidRPr="008C01A3" w:rsidRDefault="004F6DA0" w:rsidP="008C73C5">
            <w:pPr>
              <w:outlineLvl w:val="0"/>
              <w:rPr>
                <w:rFonts w:cs="Arial"/>
                <w:i/>
              </w:rPr>
            </w:pPr>
            <w:r>
              <w:rPr>
                <w:rFonts w:cs="Arial"/>
                <w:i/>
              </w:rPr>
              <w:t xml:space="preserve">updated column totals vector for retail movement estimation </w:t>
            </w:r>
          </w:p>
        </w:tc>
      </w:tr>
      <w:tr w:rsidR="004F6DA0" w14:paraId="2C3E95EF" w14:textId="77777777" w:rsidTr="008C73C5">
        <w:tc>
          <w:tcPr>
            <w:tcW w:w="2087" w:type="dxa"/>
          </w:tcPr>
          <w:p w14:paraId="220BDD9A"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k</m:t>
                </m:r>
              </m:oMath>
            </m:oMathPara>
          </w:p>
        </w:tc>
        <w:tc>
          <w:tcPr>
            <w:tcW w:w="7263" w:type="dxa"/>
          </w:tcPr>
          <w:p w14:paraId="3C413297" w14:textId="0552A90F" w:rsidR="004F6DA0" w:rsidRPr="008C01A3" w:rsidRDefault="004F6DA0" w:rsidP="00D043B8">
            <w:pPr>
              <w:outlineLvl w:val="0"/>
              <w:rPr>
                <w:rFonts w:cs="Arial"/>
                <w:i/>
              </w:rPr>
            </w:pPr>
            <w:r>
              <w:rPr>
                <w:rFonts w:cs="Arial"/>
                <w:i/>
              </w:rPr>
              <w:t xml:space="preserve">production-constrained gravity model intercept </w:t>
            </w:r>
          </w:p>
        </w:tc>
      </w:tr>
      <w:tr w:rsidR="004F6DA0" w14:paraId="310DCB22" w14:textId="77777777" w:rsidTr="008C73C5">
        <w:tc>
          <w:tcPr>
            <w:tcW w:w="2087" w:type="dxa"/>
          </w:tcPr>
          <w:p w14:paraId="780ACBCF" w14:textId="77777777" w:rsidR="004F6DA0" w:rsidRPr="0029381C" w:rsidRDefault="00184C0D" w:rsidP="008C73C5">
            <w:pPr>
              <w:outlineLvl w:val="0"/>
              <w:rPr>
                <w:rFonts w:ascii="Cambria Math" w:hAnsi="Cambria Math" w:cs="Arial"/>
                <w:i/>
              </w:rPr>
            </w:pPr>
            <m:oMathPara>
              <m:oMathParaPr>
                <m:jc m:val="left"/>
              </m:oMathParaPr>
              <m:oMath>
                <m:sSub>
                  <m:sSubPr>
                    <m:ctrlPr>
                      <w:rPr>
                        <w:rFonts w:ascii="Cambria Math" w:hAnsi="Cambria Math" w:cs="Arial"/>
                        <w:i/>
                      </w:rPr>
                    </m:ctrlPr>
                  </m:sSubPr>
                  <m:e>
                    <m:r>
                      <w:rPr>
                        <w:rFonts w:ascii="Cambria Math" w:hAnsi="Cambria Math" w:cs="Arial"/>
                      </w:rPr>
                      <m:t>μ</m:t>
                    </m:r>
                  </m:e>
                  <m:sub>
                    <m:r>
                      <w:rPr>
                        <w:rFonts w:ascii="Cambria Math" w:hAnsi="Cambria Math" w:cs="Arial"/>
                      </w:rPr>
                      <m:t>i</m:t>
                    </m:r>
                  </m:sub>
                </m:sSub>
              </m:oMath>
            </m:oMathPara>
          </w:p>
        </w:tc>
        <w:tc>
          <w:tcPr>
            <w:tcW w:w="7263" w:type="dxa"/>
          </w:tcPr>
          <w:p w14:paraId="5139CA2C" w14:textId="77777777" w:rsidR="004F6DA0" w:rsidRPr="008C01A3" w:rsidRDefault="004F6DA0" w:rsidP="008C73C5">
            <w:pPr>
              <w:outlineLvl w:val="0"/>
              <w:rPr>
                <w:rFonts w:cs="Arial"/>
                <w:i/>
              </w:rPr>
            </w:pPr>
            <w:r>
              <w:rPr>
                <w:rFonts w:cs="Arial"/>
                <w:i/>
              </w:rPr>
              <w:t xml:space="preserve">production-constrained gravity model origin fixed-effect coefficient in region i </w:t>
            </w:r>
          </w:p>
        </w:tc>
      </w:tr>
      <w:tr w:rsidR="004F6DA0" w:rsidRPr="008C01A3" w14:paraId="1543DF47" w14:textId="77777777" w:rsidTr="008C73C5">
        <w:tc>
          <w:tcPr>
            <w:tcW w:w="2087" w:type="dxa"/>
          </w:tcPr>
          <w:p w14:paraId="7936A653" w14:textId="77777777" w:rsidR="004F6DA0" w:rsidRPr="0029381C" w:rsidRDefault="004F6DA0" w:rsidP="008C73C5">
            <w:pPr>
              <w:outlineLvl w:val="0"/>
              <w:rPr>
                <w:rFonts w:ascii="Cambria Math" w:hAnsi="Cambria Math" w:cs="Arial"/>
                <w:i/>
              </w:rPr>
            </w:pPr>
            <m:oMathPara>
              <m:oMathParaPr>
                <m:jc m:val="left"/>
              </m:oMathParaPr>
              <m:oMath>
                <m:r>
                  <w:rPr>
                    <w:rFonts w:ascii="Cambria Math" w:hAnsi="Cambria Math" w:cs="Arial"/>
                  </w:rPr>
                  <m:t>α</m:t>
                </m:r>
              </m:oMath>
            </m:oMathPara>
          </w:p>
        </w:tc>
        <w:tc>
          <w:tcPr>
            <w:tcW w:w="7263" w:type="dxa"/>
          </w:tcPr>
          <w:p w14:paraId="4097A93A" w14:textId="77777777" w:rsidR="004F6DA0" w:rsidRPr="008C01A3" w:rsidRDefault="004F6DA0" w:rsidP="008C73C5">
            <w:pPr>
              <w:outlineLvl w:val="0"/>
              <w:rPr>
                <w:rFonts w:cs="Arial"/>
                <w:i/>
              </w:rPr>
            </w:pPr>
            <w:r>
              <w:rPr>
                <w:rFonts w:cs="Arial"/>
                <w:i/>
              </w:rPr>
              <w:t xml:space="preserve">production-constrained gravity model destination fixed-effect coefficient </w:t>
            </w:r>
          </w:p>
        </w:tc>
      </w:tr>
      <w:tr w:rsidR="004F6DA0" w14:paraId="20CC6624" w14:textId="77777777" w:rsidTr="008C73C5">
        <w:tc>
          <w:tcPr>
            <w:tcW w:w="2087" w:type="dxa"/>
          </w:tcPr>
          <w:p w14:paraId="67D96C06" w14:textId="77777777" w:rsidR="004F6DA0" w:rsidRPr="00025877" w:rsidRDefault="004F6DA0" w:rsidP="008C73C5">
            <w:pPr>
              <w:outlineLvl w:val="0"/>
              <w:rPr>
                <w:rFonts w:eastAsia="Calibri"/>
              </w:rPr>
            </w:pPr>
            <m:oMathPara>
              <m:oMathParaPr>
                <m:jc m:val="left"/>
              </m:oMathParaPr>
              <m:oMath>
                <m:r>
                  <w:rPr>
                    <w:rFonts w:ascii="Cambria Math" w:hAnsi="Cambria Math" w:cs="Arial"/>
                  </w:rPr>
                  <m:t>β</m:t>
                </m:r>
              </m:oMath>
            </m:oMathPara>
          </w:p>
        </w:tc>
        <w:tc>
          <w:tcPr>
            <w:tcW w:w="7263" w:type="dxa"/>
          </w:tcPr>
          <w:p w14:paraId="1B121C17" w14:textId="77777777" w:rsidR="004F6DA0" w:rsidRPr="008C01A3" w:rsidRDefault="004F6DA0" w:rsidP="008C73C5">
            <w:pPr>
              <w:outlineLvl w:val="0"/>
              <w:rPr>
                <w:rFonts w:cs="Arial"/>
                <w:i/>
              </w:rPr>
            </w:pPr>
            <w:r>
              <w:rPr>
                <w:rFonts w:cs="Arial"/>
                <w:i/>
              </w:rPr>
              <w:t xml:space="preserve">production-constrained gravity model distance decay coefficient </w:t>
            </w:r>
          </w:p>
        </w:tc>
      </w:tr>
    </w:tbl>
    <w:p w14:paraId="5C772701" w14:textId="77777777" w:rsidR="004F6DA0" w:rsidRDefault="004F6DA0" w:rsidP="004F6DA0"/>
    <w:p w14:paraId="6220267B" w14:textId="5FC09D1B" w:rsidR="004F6DA0" w:rsidRDefault="004F6DA0" w:rsidP="004F6DA0">
      <w:r>
        <w:t>The NFDS reports regional movements for timber, panel and pulp commodities in a broad input</w:t>
      </w:r>
      <w:r w:rsidR="00D043B8">
        <w:t>-</w:t>
      </w:r>
      <w:r>
        <w:t xml:space="preserve">output basis. From the tables, it is not possible to discern if the final destination is a port or a retail facility. </w:t>
      </w:r>
      <w:r w:rsidR="00683852">
        <w:t>T</w:t>
      </w:r>
      <w:r>
        <w:t xml:space="preserve">his issue </w:t>
      </w:r>
      <w:r w:rsidR="00683852">
        <w:t xml:space="preserve">was addressed by </w:t>
      </w:r>
      <w:r>
        <w:t xml:space="preserve">the sequential application of IPFP and Production-Constrained Gravity Model Calibration. In Section </w:t>
      </w:r>
      <w:r>
        <w:fldChar w:fldCharType="begin"/>
      </w:r>
      <w:r>
        <w:instrText xml:space="preserve"> REF _Ref14164596 \r \h </w:instrText>
      </w:r>
      <w:r>
        <w:fldChar w:fldCharType="separate"/>
      </w:r>
      <w:r w:rsidR="0057331A">
        <w:t>3.2</w:t>
      </w:r>
      <w:r>
        <w:fldChar w:fldCharType="end"/>
      </w:r>
      <w:r>
        <w:t xml:space="preserve"> we estimated log demand and export flows. In Section </w:t>
      </w:r>
      <w:r>
        <w:fldChar w:fldCharType="begin"/>
      </w:r>
      <w:r>
        <w:instrText xml:space="preserve"> REF _Ref14164692 \r \h </w:instrText>
      </w:r>
      <w:r>
        <w:fldChar w:fldCharType="separate"/>
      </w:r>
      <w:r w:rsidR="0057331A">
        <w:t>3.3</w:t>
      </w:r>
      <w:r>
        <w:fldChar w:fldCharType="end"/>
      </w:r>
      <w:r>
        <w:t xml:space="preserve"> we use these tables to estimate movements between factories and retail locations and illustrate the methods using attributes </w:t>
      </w:r>
      <w:r w:rsidRPr="00755648">
        <w:t>linked to</w:t>
      </w:r>
      <w:r>
        <w:t xml:space="preserve"> panel movements. The first step uses the forests-to-panel factories and panel factories-to-port tables and aggregates total log arrivals (</w:t>
      </w:r>
      <w:r>
        <w:fldChar w:fldCharType="begin"/>
      </w:r>
      <w:r>
        <w:instrText xml:space="preserve"> REF _Ref14173612 \h </w:instrText>
      </w:r>
      <w:r>
        <w:fldChar w:fldCharType="separate"/>
      </w:r>
      <w:r w:rsidR="0057331A">
        <w:t xml:space="preserve">Equation </w:t>
      </w:r>
      <w:r w:rsidR="0057331A">
        <w:rPr>
          <w:noProof/>
        </w:rPr>
        <w:t>6</w:t>
      </w:r>
      <w:r>
        <w:fldChar w:fldCharType="end"/>
      </w:r>
      <w:r>
        <w:t>) and total panel exports (</w:t>
      </w:r>
      <w:r>
        <w:fldChar w:fldCharType="begin"/>
      </w:r>
      <w:r>
        <w:instrText xml:space="preserve"> REF _Ref14173631 \h </w:instrText>
      </w:r>
      <w:r>
        <w:fldChar w:fldCharType="separate"/>
      </w:r>
      <w:r w:rsidR="0057331A">
        <w:t xml:space="preserve">Equation </w:t>
      </w:r>
      <w:r w:rsidR="0057331A">
        <w:rPr>
          <w:noProof/>
        </w:rPr>
        <w:t>7</w:t>
      </w:r>
      <w:r>
        <w:fldChar w:fldCharType="end"/>
      </w:r>
      <w:r>
        <w:t xml:space="preserve">) by region. </w:t>
      </w:r>
    </w:p>
    <w:p w14:paraId="19FA9652" w14:textId="77777777" w:rsidR="00683852" w:rsidRDefault="00683852" w:rsidP="004F6DA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6CE47FE7" w14:textId="77777777" w:rsidTr="008C73C5">
        <w:trPr>
          <w:jc w:val="center"/>
        </w:trPr>
        <w:tc>
          <w:tcPr>
            <w:tcW w:w="4675" w:type="dxa"/>
          </w:tcPr>
          <w:p w14:paraId="067123B7" w14:textId="77777777" w:rsidR="004F6DA0" w:rsidRPr="004543D2" w:rsidRDefault="004F6DA0" w:rsidP="008C73C5">
            <w:pPr>
              <w:rPr>
                <w:rFonts w:eastAsiaTheme="minorEastAsia"/>
              </w:rPr>
            </w:pPr>
            <m:oMathPara>
              <m:oMath>
                <m:r>
                  <w:rPr>
                    <w:rFonts w:ascii="Cambria Math" w:hAnsi="Cambria Math"/>
                  </w:rPr>
                  <m:t xml:space="preserve">M= </m:t>
                </m:r>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f∈F</m:t>
                        </m:r>
                      </m:sub>
                      <m:sup/>
                      <m:e>
                        <m:nary>
                          <m:naryPr>
                            <m:chr m:val="∑"/>
                            <m:limLoc m:val="undOvr"/>
                            <m:supHide m:val="1"/>
                            <m:ctrlPr>
                              <w:rPr>
                                <w:rFonts w:ascii="Cambria Math" w:hAnsi="Cambria Math"/>
                                <w:i/>
                              </w:rPr>
                            </m:ctrlPr>
                          </m:naryPr>
                          <m:sub>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⊆N</m:t>
                            </m:r>
                          </m:sub>
                          <m:sup/>
                          <m:e>
                            <m:sSub>
                              <m:sSubPr>
                                <m:ctrlPr>
                                  <w:rPr>
                                    <w:rFonts w:ascii="Cambria Math" w:hAnsi="Cambria Math"/>
                                    <w:i/>
                                  </w:rPr>
                                </m:ctrlPr>
                              </m:sSubPr>
                              <m:e>
                                <m:r>
                                  <w:rPr>
                                    <w:rFonts w:ascii="Cambria Math" w:hAnsi="Cambria Math"/>
                                  </w:rPr>
                                  <m:t>x</m:t>
                                </m:r>
                              </m:e>
                              <m:sub>
                                <m:r>
                                  <w:rPr>
                                    <w:rFonts w:ascii="Cambria Math" w:hAnsi="Cambria Math"/>
                                  </w:rPr>
                                  <m:t>f,n</m:t>
                                </m:r>
                              </m:sub>
                            </m:sSub>
                          </m:e>
                        </m:nary>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f∈F</m:t>
                        </m:r>
                      </m:sub>
                      <m:sup/>
                      <m:e>
                        <m:nary>
                          <m:naryPr>
                            <m:chr m:val="∑"/>
                            <m:limLoc m:val="undOvr"/>
                            <m:supHide m:val="1"/>
                            <m:ctrlPr>
                              <w:rPr>
                                <w:rFonts w:ascii="Cambria Math" w:hAnsi="Cambria Math"/>
                                <w:i/>
                              </w:rPr>
                            </m:ctrlPr>
                          </m:naryPr>
                          <m:sub>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14</m:t>
                                </m:r>
                              </m:sub>
                            </m:sSub>
                            <m:r>
                              <w:rPr>
                                <w:rFonts w:ascii="Cambria Math" w:hAnsi="Cambria Math"/>
                              </w:rPr>
                              <m:t>⊆N</m:t>
                            </m:r>
                          </m:sub>
                          <m:sup/>
                          <m:e>
                            <m:sSub>
                              <m:sSubPr>
                                <m:ctrlPr>
                                  <w:rPr>
                                    <w:rFonts w:ascii="Cambria Math" w:hAnsi="Cambria Math"/>
                                    <w:i/>
                                  </w:rPr>
                                </m:ctrlPr>
                              </m:sSubPr>
                              <m:e>
                                <m:r>
                                  <w:rPr>
                                    <w:rFonts w:ascii="Cambria Math" w:hAnsi="Cambria Math"/>
                                  </w:rPr>
                                  <m:t>x</m:t>
                                </m:r>
                              </m:e>
                              <m:sub>
                                <m:r>
                                  <w:rPr>
                                    <w:rFonts w:ascii="Cambria Math" w:hAnsi="Cambria Math"/>
                                  </w:rPr>
                                  <m:t>f,n</m:t>
                                </m:r>
                              </m:sub>
                            </m:sSub>
                          </m:e>
                        </m:nary>
                      </m:e>
                    </m:nary>
                  </m:e>
                </m:d>
              </m:oMath>
            </m:oMathPara>
          </w:p>
          <w:p w14:paraId="3D73CD97" w14:textId="77777777" w:rsidR="004F6DA0" w:rsidRDefault="004F6DA0" w:rsidP="008C73C5"/>
        </w:tc>
        <w:tc>
          <w:tcPr>
            <w:tcW w:w="2160" w:type="dxa"/>
            <w:vAlign w:val="center"/>
          </w:tcPr>
          <w:p w14:paraId="1EA2F6D8" w14:textId="385FF3C6" w:rsidR="004F6DA0" w:rsidRDefault="004F6DA0" w:rsidP="008C73C5">
            <w:pPr>
              <w:pStyle w:val="Equation"/>
            </w:pPr>
            <w:bookmarkStart w:id="14" w:name="_Ref14173612"/>
            <w:r>
              <w:t xml:space="preserve">Equation </w:t>
            </w:r>
            <w:r>
              <w:rPr>
                <w:noProof/>
              </w:rPr>
              <w:fldChar w:fldCharType="begin"/>
            </w:r>
            <w:r>
              <w:rPr>
                <w:noProof/>
              </w:rPr>
              <w:instrText xml:space="preserve"> SEQ Equation \* ARABIC </w:instrText>
            </w:r>
            <w:r>
              <w:rPr>
                <w:noProof/>
              </w:rPr>
              <w:fldChar w:fldCharType="separate"/>
            </w:r>
            <w:r w:rsidR="0057331A">
              <w:rPr>
                <w:noProof/>
              </w:rPr>
              <w:t>6</w:t>
            </w:r>
            <w:r>
              <w:rPr>
                <w:noProof/>
              </w:rPr>
              <w:fldChar w:fldCharType="end"/>
            </w:r>
            <w:bookmarkEnd w:id="14"/>
          </w:p>
        </w:tc>
      </w:tr>
      <w:tr w:rsidR="004F6DA0" w14:paraId="0937ACE9" w14:textId="77777777" w:rsidTr="008C73C5">
        <w:trPr>
          <w:jc w:val="center"/>
        </w:trPr>
        <w:tc>
          <w:tcPr>
            <w:tcW w:w="4675" w:type="dxa"/>
          </w:tcPr>
          <w:p w14:paraId="150BAD0B" w14:textId="77777777" w:rsidR="004F6DA0" w:rsidRPr="004543D2" w:rsidRDefault="004F6DA0" w:rsidP="008C73C5">
            <w:pPr>
              <w:rPr>
                <w:rFonts w:eastAsiaTheme="minorEastAsia"/>
              </w:rPr>
            </w:pPr>
            <m:oMathPara>
              <m:oMath>
                <m:r>
                  <w:rPr>
                    <w:rFonts w:ascii="Cambria Math" w:hAnsi="Cambria Math"/>
                  </w:rPr>
                  <m:t xml:space="preserve">N= </m:t>
                </m:r>
                <m:sSup>
                  <m:sSupPr>
                    <m:ctrlPr>
                      <w:rPr>
                        <w:rFonts w:ascii="Cambria Math" w:hAnsi="Cambria Math"/>
                        <w:i/>
                      </w:rPr>
                    </m:ctrlPr>
                  </m:sSupPr>
                  <m:e>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n∈N</m:t>
                            </m:r>
                          </m:sub>
                          <m:sup/>
                          <m:e>
                            <m:nary>
                              <m:naryPr>
                                <m:chr m:val="∑"/>
                                <m:limLoc m:val="undOvr"/>
                                <m:supHide m:val="1"/>
                                <m:ctrlPr>
                                  <w:rPr>
                                    <w:rFonts w:ascii="Cambria Math" w:hAnsi="Cambria Math"/>
                                    <w:i/>
                                  </w:rPr>
                                </m:ctrlPr>
                              </m:naryPr>
                              <m:sub>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⊆P</m:t>
                                </m:r>
                              </m:sub>
                              <m:sup/>
                              <m:e>
                                <m:sSub>
                                  <m:sSubPr>
                                    <m:ctrlPr>
                                      <w:rPr>
                                        <w:rFonts w:ascii="Cambria Math" w:hAnsi="Cambria Math"/>
                                        <w:i/>
                                      </w:rPr>
                                    </m:ctrlPr>
                                  </m:sSubPr>
                                  <m:e>
                                    <m:r>
                                      <w:rPr>
                                        <w:rFonts w:ascii="Cambria Math" w:hAnsi="Cambria Math"/>
                                      </w:rPr>
                                      <m:t>y</m:t>
                                    </m:r>
                                  </m:e>
                                  <m:sub>
                                    <m:r>
                                      <w:rPr>
                                        <w:rFonts w:ascii="Cambria Math" w:hAnsi="Cambria Math"/>
                                      </w:rPr>
                                      <m:t>n,p</m:t>
                                    </m:r>
                                  </m:sub>
                                </m:sSub>
                              </m:e>
                            </m:nary>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n∈N</m:t>
                            </m:r>
                          </m:sub>
                          <m:sup/>
                          <m:e>
                            <m:nary>
                              <m:naryPr>
                                <m:chr m:val="∑"/>
                                <m:limLoc m:val="undOvr"/>
                                <m:supHide m:val="1"/>
                                <m:ctrlPr>
                                  <w:rPr>
                                    <w:rFonts w:ascii="Cambria Math" w:hAnsi="Cambria Math"/>
                                    <w:i/>
                                  </w:rPr>
                                </m:ctrlPr>
                              </m:naryPr>
                              <m:sub>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14</m:t>
                                    </m:r>
                                  </m:sub>
                                </m:sSub>
                                <m:r>
                                  <w:rPr>
                                    <w:rFonts w:ascii="Cambria Math" w:hAnsi="Cambria Math"/>
                                  </w:rPr>
                                  <m:t>⊆P</m:t>
                                </m:r>
                              </m:sub>
                              <m:sup/>
                              <m:e>
                                <m:sSub>
                                  <m:sSubPr>
                                    <m:ctrlPr>
                                      <w:rPr>
                                        <w:rFonts w:ascii="Cambria Math" w:hAnsi="Cambria Math"/>
                                        <w:i/>
                                      </w:rPr>
                                    </m:ctrlPr>
                                  </m:sSubPr>
                                  <m:e>
                                    <m:r>
                                      <w:rPr>
                                        <w:rFonts w:ascii="Cambria Math" w:hAnsi="Cambria Math"/>
                                      </w:rPr>
                                      <m:t>y</m:t>
                                    </m:r>
                                  </m:e>
                                  <m:sub>
                                    <m:r>
                                      <w:rPr>
                                        <w:rFonts w:ascii="Cambria Math" w:hAnsi="Cambria Math"/>
                                      </w:rPr>
                                      <m:t>n,p</m:t>
                                    </m:r>
                                  </m:sub>
                                </m:sSub>
                              </m:e>
                            </m:nary>
                          </m:e>
                        </m:nary>
                      </m:e>
                    </m:d>
                  </m:e>
                  <m:sup>
                    <m:r>
                      <w:rPr>
                        <w:rFonts w:ascii="Cambria Math" w:hAnsi="Cambria Math"/>
                      </w:rPr>
                      <m:t>T</m:t>
                    </m:r>
                  </m:sup>
                </m:sSup>
              </m:oMath>
            </m:oMathPara>
          </w:p>
          <w:p w14:paraId="7BFA36AA" w14:textId="77777777" w:rsidR="004F6DA0" w:rsidRDefault="004F6DA0" w:rsidP="008C73C5"/>
        </w:tc>
        <w:tc>
          <w:tcPr>
            <w:tcW w:w="2160" w:type="dxa"/>
            <w:vAlign w:val="center"/>
          </w:tcPr>
          <w:p w14:paraId="49101663" w14:textId="74530327" w:rsidR="004F6DA0" w:rsidRDefault="004F6DA0" w:rsidP="008C73C5">
            <w:pPr>
              <w:pStyle w:val="Equation"/>
            </w:pPr>
            <w:bookmarkStart w:id="15" w:name="_Ref14173631"/>
            <w:r>
              <w:t xml:space="preserve">Equation </w:t>
            </w:r>
            <w:r>
              <w:rPr>
                <w:noProof/>
              </w:rPr>
              <w:fldChar w:fldCharType="begin"/>
            </w:r>
            <w:r>
              <w:rPr>
                <w:noProof/>
              </w:rPr>
              <w:instrText xml:space="preserve"> SEQ Equation \* ARABIC </w:instrText>
            </w:r>
            <w:r>
              <w:rPr>
                <w:noProof/>
              </w:rPr>
              <w:fldChar w:fldCharType="separate"/>
            </w:r>
            <w:r w:rsidR="0057331A">
              <w:rPr>
                <w:noProof/>
              </w:rPr>
              <w:t>7</w:t>
            </w:r>
            <w:r>
              <w:rPr>
                <w:noProof/>
              </w:rPr>
              <w:fldChar w:fldCharType="end"/>
            </w:r>
            <w:bookmarkEnd w:id="15"/>
          </w:p>
        </w:tc>
      </w:tr>
    </w:tbl>
    <w:p w14:paraId="3FD206E3" w14:textId="77777777" w:rsidR="00683852" w:rsidRDefault="00683852" w:rsidP="004F6DA0"/>
    <w:p w14:paraId="37F10B0F" w14:textId="46943C17" w:rsidR="004F6DA0" w:rsidRDefault="004F6DA0" w:rsidP="004F6DA0">
      <w:r>
        <w:t>Then, these vectors are subtracted from the panel input</w:t>
      </w:r>
      <w:r w:rsidR="00D43D9A">
        <w:t>-</w:t>
      </w:r>
      <w:r>
        <w:t>output table row (</w:t>
      </w:r>
      <w:r>
        <w:fldChar w:fldCharType="begin"/>
      </w:r>
      <w:r>
        <w:instrText xml:space="preserve"> REF _Ref14173656 \h </w:instrText>
      </w:r>
      <w:r>
        <w:fldChar w:fldCharType="separate"/>
      </w:r>
      <w:r w:rsidR="0057331A">
        <w:t xml:space="preserve">Equation </w:t>
      </w:r>
      <w:r w:rsidR="0057331A">
        <w:rPr>
          <w:noProof/>
        </w:rPr>
        <w:t>8</w:t>
      </w:r>
      <w:r>
        <w:fldChar w:fldCharType="end"/>
      </w:r>
      <w:r>
        <w:t>) and column (</w:t>
      </w:r>
      <w:r>
        <w:fldChar w:fldCharType="begin"/>
      </w:r>
      <w:r>
        <w:instrText xml:space="preserve"> REF _Ref14173667 \h </w:instrText>
      </w:r>
      <w:r>
        <w:fldChar w:fldCharType="separate"/>
      </w:r>
      <w:r w:rsidR="0057331A">
        <w:t xml:space="preserve">Equation </w:t>
      </w:r>
      <w:r w:rsidR="0057331A">
        <w:rPr>
          <w:noProof/>
        </w:rPr>
        <w:t>9</w:t>
      </w:r>
      <w:r>
        <w:fldChar w:fldCharType="end"/>
      </w:r>
      <w:r>
        <w:t>) totals, respectively. Our assumption is that the remaining totals from the input</w:t>
      </w:r>
      <w:r w:rsidR="009477EB">
        <w:t>-</w:t>
      </w:r>
      <w:r>
        <w:t>output table (</w:t>
      </w:r>
      <w:r>
        <w:fldChar w:fldCharType="begin"/>
      </w:r>
      <w:r>
        <w:instrText xml:space="preserve"> REF _Ref14173706 \h </w:instrText>
      </w:r>
      <w:r>
        <w:fldChar w:fldCharType="separate"/>
      </w:r>
      <w:r w:rsidR="0057331A">
        <w:t xml:space="preserve">Equation </w:t>
      </w:r>
      <w:r w:rsidR="0057331A">
        <w:rPr>
          <w:noProof/>
        </w:rPr>
        <w:t>10</w:t>
      </w:r>
      <w:r>
        <w:fldChar w:fldCharType="end"/>
      </w:r>
      <w:r>
        <w:t xml:space="preserve"> and </w:t>
      </w:r>
      <w:r>
        <w:fldChar w:fldCharType="begin"/>
      </w:r>
      <w:r>
        <w:instrText xml:space="preserve"> REF _Ref14173711 \h </w:instrText>
      </w:r>
      <w:r>
        <w:fldChar w:fldCharType="separate"/>
      </w:r>
      <w:r w:rsidR="0057331A">
        <w:t xml:space="preserve">Equation </w:t>
      </w:r>
      <w:r w:rsidR="0057331A">
        <w:rPr>
          <w:noProof/>
        </w:rPr>
        <w:t>11</w:t>
      </w:r>
      <w:r>
        <w:fldChar w:fldCharType="end"/>
      </w:r>
      <w:r>
        <w:t xml:space="preserve">) </w:t>
      </w:r>
      <w:r w:rsidR="009402C7">
        <w:t>correspond to</w:t>
      </w:r>
      <w:r>
        <w:t xml:space="preserve"> movements between factories and retail locations.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54C401D6" w14:textId="77777777" w:rsidTr="008C73C5">
        <w:trPr>
          <w:jc w:val="center"/>
        </w:trPr>
        <w:tc>
          <w:tcPr>
            <w:tcW w:w="4675" w:type="dxa"/>
          </w:tcPr>
          <w:p w14:paraId="354222EE" w14:textId="77777777" w:rsidR="004F6DA0" w:rsidRPr="004543D2" w:rsidRDefault="004F6DA0" w:rsidP="008C73C5">
            <w:pPr>
              <w:rPr>
                <w:rFonts w:eastAsiaTheme="minorEastAsia"/>
              </w:rPr>
            </w:pPr>
            <m:oMathPara>
              <m:oMath>
                <m:r>
                  <w:rPr>
                    <w:rFonts w:ascii="Cambria Math" w:hAnsi="Cambria Math"/>
                  </w:rPr>
                  <m:t xml:space="preserve">TR= </m:t>
                </m:r>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i∈R</m:t>
                        </m:r>
                      </m:sub>
                      <m:sup/>
                      <m:e>
                        <m:sSub>
                          <m:sSubPr>
                            <m:ctrlPr>
                              <w:rPr>
                                <w:rFonts w:ascii="Cambria Math" w:hAnsi="Cambria Math"/>
                                <w:i/>
                              </w:rPr>
                            </m:ctrlPr>
                          </m:sSubPr>
                          <m:e>
                            <m:r>
                              <w:rPr>
                                <w:rFonts w:ascii="Cambria Math" w:hAnsi="Cambria Math"/>
                              </w:rPr>
                              <m:t>b</m:t>
                            </m:r>
                          </m:e>
                          <m:sub>
                            <m:r>
                              <w:rPr>
                                <w:rFonts w:ascii="Cambria Math" w:hAnsi="Cambria Math"/>
                              </w:rPr>
                              <m:t>i,1</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i∈R</m:t>
                        </m:r>
                      </m:sub>
                      <m:sup/>
                      <m:e>
                        <m:sSub>
                          <m:sSubPr>
                            <m:ctrlPr>
                              <w:rPr>
                                <w:rFonts w:ascii="Cambria Math" w:hAnsi="Cambria Math"/>
                                <w:i/>
                              </w:rPr>
                            </m:ctrlPr>
                          </m:sSubPr>
                          <m:e>
                            <m:r>
                              <w:rPr>
                                <w:rFonts w:ascii="Cambria Math" w:hAnsi="Cambria Math"/>
                              </w:rPr>
                              <m:t>b</m:t>
                            </m:r>
                          </m:e>
                          <m:sub>
                            <m:r>
                              <w:rPr>
                                <w:rFonts w:ascii="Cambria Math" w:hAnsi="Cambria Math"/>
                              </w:rPr>
                              <m:t>i,14</m:t>
                            </m:r>
                          </m:sub>
                        </m:sSub>
                      </m:e>
                    </m:nary>
                  </m:e>
                </m:d>
              </m:oMath>
            </m:oMathPara>
          </w:p>
          <w:p w14:paraId="4542CE31" w14:textId="77777777" w:rsidR="004F6DA0" w:rsidRDefault="004F6DA0" w:rsidP="008C73C5"/>
        </w:tc>
        <w:tc>
          <w:tcPr>
            <w:tcW w:w="2160" w:type="dxa"/>
            <w:vAlign w:val="center"/>
          </w:tcPr>
          <w:p w14:paraId="2EECFD73" w14:textId="2BAF85F4" w:rsidR="004F6DA0" w:rsidRDefault="004F6DA0" w:rsidP="008C73C5">
            <w:pPr>
              <w:pStyle w:val="Equation"/>
            </w:pPr>
            <w:bookmarkStart w:id="16" w:name="_Ref14173656"/>
            <w:r>
              <w:t xml:space="preserve">Equation </w:t>
            </w:r>
            <w:r>
              <w:rPr>
                <w:noProof/>
              </w:rPr>
              <w:fldChar w:fldCharType="begin"/>
            </w:r>
            <w:r>
              <w:rPr>
                <w:noProof/>
              </w:rPr>
              <w:instrText xml:space="preserve"> SEQ Equation \* ARABIC </w:instrText>
            </w:r>
            <w:r>
              <w:rPr>
                <w:noProof/>
              </w:rPr>
              <w:fldChar w:fldCharType="separate"/>
            </w:r>
            <w:r w:rsidR="0057331A">
              <w:rPr>
                <w:noProof/>
              </w:rPr>
              <w:t>8</w:t>
            </w:r>
            <w:r>
              <w:rPr>
                <w:noProof/>
              </w:rPr>
              <w:fldChar w:fldCharType="end"/>
            </w:r>
            <w:bookmarkEnd w:id="16"/>
          </w:p>
        </w:tc>
      </w:tr>
      <w:tr w:rsidR="004F6DA0" w14:paraId="3F8CEC8F" w14:textId="77777777" w:rsidTr="008C73C5">
        <w:trPr>
          <w:jc w:val="center"/>
        </w:trPr>
        <w:tc>
          <w:tcPr>
            <w:tcW w:w="4675" w:type="dxa"/>
          </w:tcPr>
          <w:p w14:paraId="7E875F81" w14:textId="77777777" w:rsidR="004F6DA0" w:rsidRPr="004543D2" w:rsidRDefault="004F6DA0" w:rsidP="008C73C5">
            <w:pPr>
              <w:rPr>
                <w:rFonts w:eastAsiaTheme="minorEastAsia"/>
              </w:rPr>
            </w:pPr>
            <m:oMathPara>
              <m:oMath>
                <m:r>
                  <w:rPr>
                    <w:rFonts w:ascii="Cambria Math" w:hAnsi="Cambria Math"/>
                  </w:rPr>
                  <m:t xml:space="preserve">TC= </m:t>
                </m:r>
                <m:sSup>
                  <m:sSupPr>
                    <m:ctrlPr>
                      <w:rPr>
                        <w:rFonts w:ascii="Cambria Math" w:hAnsi="Cambria Math"/>
                        <w:i/>
                      </w:rPr>
                    </m:ctrlPr>
                  </m:sSupPr>
                  <m:e>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j∈R</m:t>
                            </m:r>
                          </m:sub>
                          <m:sup/>
                          <m:e>
                            <m:sSub>
                              <m:sSubPr>
                                <m:ctrlPr>
                                  <w:rPr>
                                    <w:rFonts w:ascii="Cambria Math" w:hAnsi="Cambria Math"/>
                                    <w:i/>
                                  </w:rPr>
                                </m:ctrlPr>
                              </m:sSubPr>
                              <m:e>
                                <m:r>
                                  <w:rPr>
                                    <w:rFonts w:ascii="Cambria Math" w:hAnsi="Cambria Math"/>
                                  </w:rPr>
                                  <m:t>b</m:t>
                                </m:r>
                              </m:e>
                              <m:sub>
                                <m:r>
                                  <w:rPr>
                                    <w:rFonts w:ascii="Cambria Math" w:hAnsi="Cambria Math"/>
                                  </w:rPr>
                                  <m:t>1,j</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i∈R</m:t>
                            </m:r>
                          </m:sub>
                          <m:sup/>
                          <m:e>
                            <m:sSub>
                              <m:sSubPr>
                                <m:ctrlPr>
                                  <w:rPr>
                                    <w:rFonts w:ascii="Cambria Math" w:hAnsi="Cambria Math"/>
                                    <w:i/>
                                  </w:rPr>
                                </m:ctrlPr>
                              </m:sSubPr>
                              <m:e>
                                <m:r>
                                  <w:rPr>
                                    <w:rFonts w:ascii="Cambria Math" w:hAnsi="Cambria Math"/>
                                  </w:rPr>
                                  <m:t>b</m:t>
                                </m:r>
                              </m:e>
                              <m:sub>
                                <m:r>
                                  <w:rPr>
                                    <w:rFonts w:ascii="Cambria Math" w:hAnsi="Cambria Math"/>
                                  </w:rPr>
                                  <m:t>14,j</m:t>
                                </m:r>
                              </m:sub>
                            </m:sSub>
                          </m:e>
                        </m:nary>
                      </m:e>
                    </m:d>
                  </m:e>
                  <m:sup>
                    <m:r>
                      <w:rPr>
                        <w:rFonts w:ascii="Cambria Math" w:hAnsi="Cambria Math"/>
                      </w:rPr>
                      <m:t>T</m:t>
                    </m:r>
                  </m:sup>
                </m:sSup>
              </m:oMath>
            </m:oMathPara>
          </w:p>
          <w:p w14:paraId="2A67E63B" w14:textId="77777777" w:rsidR="004F6DA0" w:rsidRDefault="004F6DA0" w:rsidP="008C73C5"/>
        </w:tc>
        <w:tc>
          <w:tcPr>
            <w:tcW w:w="2160" w:type="dxa"/>
            <w:vAlign w:val="center"/>
          </w:tcPr>
          <w:p w14:paraId="6EF81D67" w14:textId="212186B9" w:rsidR="004F6DA0" w:rsidRDefault="004F6DA0" w:rsidP="008C73C5">
            <w:pPr>
              <w:pStyle w:val="Equation"/>
            </w:pPr>
            <w:bookmarkStart w:id="17" w:name="_Ref14173667"/>
            <w:r>
              <w:lastRenderedPageBreak/>
              <w:t xml:space="preserve">Equation </w:t>
            </w:r>
            <w:r>
              <w:rPr>
                <w:noProof/>
              </w:rPr>
              <w:fldChar w:fldCharType="begin"/>
            </w:r>
            <w:r>
              <w:rPr>
                <w:noProof/>
              </w:rPr>
              <w:instrText xml:space="preserve"> SEQ Equation \* ARABIC </w:instrText>
            </w:r>
            <w:r>
              <w:rPr>
                <w:noProof/>
              </w:rPr>
              <w:fldChar w:fldCharType="separate"/>
            </w:r>
            <w:r w:rsidR="0057331A">
              <w:rPr>
                <w:noProof/>
              </w:rPr>
              <w:t>9</w:t>
            </w:r>
            <w:r>
              <w:rPr>
                <w:noProof/>
              </w:rPr>
              <w:fldChar w:fldCharType="end"/>
            </w:r>
            <w:bookmarkEnd w:id="17"/>
          </w:p>
        </w:tc>
      </w:tr>
      <w:tr w:rsidR="004F6DA0" w14:paraId="61446F80" w14:textId="77777777" w:rsidTr="008C73C5">
        <w:trPr>
          <w:jc w:val="center"/>
        </w:trPr>
        <w:tc>
          <w:tcPr>
            <w:tcW w:w="4675" w:type="dxa"/>
          </w:tcPr>
          <w:p w14:paraId="1C5BF268" w14:textId="77777777" w:rsidR="004F6DA0" w:rsidRPr="004543D2" w:rsidRDefault="004F6DA0" w:rsidP="008C73C5">
            <w:pPr>
              <w:rPr>
                <w:rFonts w:eastAsiaTheme="minorEastAsia"/>
              </w:rPr>
            </w:pPr>
            <m:oMathPara>
              <m:oMath>
                <m:r>
                  <w:rPr>
                    <w:rFonts w:ascii="Cambria Math" w:hAnsi="Cambria Math"/>
                  </w:rPr>
                  <m:t>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 TR-M</m:t>
                </m:r>
              </m:oMath>
            </m:oMathPara>
          </w:p>
          <w:p w14:paraId="0E6F4C10" w14:textId="77777777" w:rsidR="004F6DA0" w:rsidRDefault="004F6DA0" w:rsidP="008C73C5"/>
        </w:tc>
        <w:tc>
          <w:tcPr>
            <w:tcW w:w="2160" w:type="dxa"/>
            <w:vAlign w:val="center"/>
          </w:tcPr>
          <w:p w14:paraId="5EC5B1D7" w14:textId="7DCA766C" w:rsidR="004F6DA0" w:rsidRDefault="004F6DA0" w:rsidP="008C73C5">
            <w:pPr>
              <w:pStyle w:val="Equation"/>
            </w:pPr>
            <w:bookmarkStart w:id="18" w:name="_Ref14173706"/>
            <w:r>
              <w:t xml:space="preserve">Equation </w:t>
            </w:r>
            <w:r>
              <w:rPr>
                <w:noProof/>
              </w:rPr>
              <w:fldChar w:fldCharType="begin"/>
            </w:r>
            <w:r>
              <w:rPr>
                <w:noProof/>
              </w:rPr>
              <w:instrText xml:space="preserve"> SEQ Equation \* ARABIC </w:instrText>
            </w:r>
            <w:r>
              <w:rPr>
                <w:noProof/>
              </w:rPr>
              <w:fldChar w:fldCharType="separate"/>
            </w:r>
            <w:r w:rsidR="0057331A">
              <w:rPr>
                <w:noProof/>
              </w:rPr>
              <w:t>10</w:t>
            </w:r>
            <w:r>
              <w:rPr>
                <w:noProof/>
              </w:rPr>
              <w:fldChar w:fldCharType="end"/>
            </w:r>
            <w:bookmarkEnd w:id="18"/>
          </w:p>
        </w:tc>
      </w:tr>
      <w:tr w:rsidR="004F6DA0" w14:paraId="4B731CE4" w14:textId="77777777" w:rsidTr="008C73C5">
        <w:trPr>
          <w:jc w:val="center"/>
        </w:trPr>
        <w:tc>
          <w:tcPr>
            <w:tcW w:w="4675" w:type="dxa"/>
          </w:tcPr>
          <w:p w14:paraId="19767F02" w14:textId="77777777" w:rsidR="004F6DA0" w:rsidRPr="004543D2" w:rsidRDefault="004F6DA0" w:rsidP="008C73C5">
            <w:pPr>
              <w:rPr>
                <w:rFonts w:eastAsiaTheme="minorEastAsia"/>
              </w:rPr>
            </w:pPr>
            <m:oMathPara>
              <m:oMath>
                <m:r>
                  <w:rPr>
                    <w:rFonts w:ascii="Cambria Math" w:hAnsi="Cambria Math"/>
                  </w:rPr>
                  <m:t>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 TC-N</m:t>
                </m:r>
              </m:oMath>
            </m:oMathPara>
          </w:p>
          <w:p w14:paraId="71F32CB7" w14:textId="77777777" w:rsidR="004F6DA0" w:rsidRDefault="004F6DA0" w:rsidP="008C73C5"/>
        </w:tc>
        <w:tc>
          <w:tcPr>
            <w:tcW w:w="2160" w:type="dxa"/>
            <w:vAlign w:val="center"/>
          </w:tcPr>
          <w:p w14:paraId="19076324" w14:textId="7BB1B19A" w:rsidR="004F6DA0" w:rsidRDefault="004F6DA0" w:rsidP="008C73C5">
            <w:pPr>
              <w:pStyle w:val="Equation"/>
            </w:pPr>
            <w:bookmarkStart w:id="19" w:name="_Ref14173711"/>
            <w:r>
              <w:t xml:space="preserve">Equation </w:t>
            </w:r>
            <w:r>
              <w:rPr>
                <w:noProof/>
              </w:rPr>
              <w:fldChar w:fldCharType="begin"/>
            </w:r>
            <w:r>
              <w:rPr>
                <w:noProof/>
              </w:rPr>
              <w:instrText xml:space="preserve"> SEQ Equation \* ARABIC </w:instrText>
            </w:r>
            <w:r>
              <w:rPr>
                <w:noProof/>
              </w:rPr>
              <w:fldChar w:fldCharType="separate"/>
            </w:r>
            <w:r w:rsidR="0057331A">
              <w:rPr>
                <w:noProof/>
              </w:rPr>
              <w:t>11</w:t>
            </w:r>
            <w:r>
              <w:rPr>
                <w:noProof/>
              </w:rPr>
              <w:fldChar w:fldCharType="end"/>
            </w:r>
            <w:bookmarkEnd w:id="19"/>
          </w:p>
        </w:tc>
      </w:tr>
    </w:tbl>
    <w:p w14:paraId="1A28353E" w14:textId="0395E168" w:rsidR="004F6DA0" w:rsidRDefault="007354C8" w:rsidP="007354C8">
      <w:pPr>
        <w:rPr>
          <w:rFonts w:eastAsiaTheme="minorEastAsia"/>
        </w:rPr>
      </w:pPr>
      <w:r>
        <w:t xml:space="preserve">The script for the IPFP was written in Python programming language, it used functions from the </w:t>
      </w:r>
      <w:r w:rsidR="00165C7C">
        <w:t>‘</w:t>
      </w:r>
      <w:r w:rsidR="004F6DA0">
        <w:t>ipfn</w:t>
      </w:r>
      <w:r w:rsidR="00165C7C">
        <w:t>’</w:t>
      </w:r>
      <w:r w:rsidR="004F6DA0">
        <w:t xml:space="preserve"> package</w:t>
      </w:r>
      <w:r>
        <w:t>, and the inputs were</w:t>
      </w:r>
      <w:r w:rsidR="004F6DA0">
        <w:t xml:space="preserve"> the original input</w:t>
      </w:r>
      <w:r w:rsidR="00D043B8">
        <w:t>-</w:t>
      </w:r>
      <w:r w:rsidR="004F6DA0">
        <w:t xml:space="preserve">output panel movements and the new aggregates </w:t>
      </w:r>
      <m:oMath>
        <m:r>
          <w:rPr>
            <w:rFonts w:ascii="Cambria Math" w:hAnsi="Cambria Math"/>
          </w:rPr>
          <m:t>T</m:t>
        </m:r>
        <m:sSup>
          <m:sSupPr>
            <m:ctrlPr>
              <w:rPr>
                <w:rFonts w:ascii="Cambria Math" w:hAnsi="Cambria Math"/>
                <w:i/>
              </w:rPr>
            </m:ctrlPr>
          </m:sSupPr>
          <m:e>
            <m:r>
              <w:rPr>
                <w:rFonts w:ascii="Cambria Math" w:hAnsi="Cambria Math"/>
              </w:rPr>
              <m:t>R</m:t>
            </m:r>
          </m:e>
          <m:sup>
            <m:r>
              <w:rPr>
                <w:rFonts w:ascii="Cambria Math" w:hAnsi="Cambria Math"/>
              </w:rPr>
              <m:t>'</m:t>
            </m:r>
          </m:sup>
        </m:sSup>
      </m:oMath>
      <w:r w:rsidR="004F6DA0">
        <w:rPr>
          <w:rFonts w:eastAsiaTheme="minorEastAsia"/>
        </w:rPr>
        <w:t xml:space="preserve"> and </w:t>
      </w:r>
      <m:oMath>
        <m:r>
          <w:rPr>
            <w:rFonts w:ascii="Cambria Math" w:hAnsi="Cambria Math"/>
          </w:rPr>
          <m:t>T</m:t>
        </m:r>
        <m:sSup>
          <m:sSupPr>
            <m:ctrlPr>
              <w:rPr>
                <w:rFonts w:ascii="Cambria Math" w:hAnsi="Cambria Math"/>
                <w:i/>
              </w:rPr>
            </m:ctrlPr>
          </m:sSupPr>
          <m:e>
            <m:r>
              <w:rPr>
                <w:rFonts w:ascii="Cambria Math" w:hAnsi="Cambria Math"/>
              </w:rPr>
              <m:t>C</m:t>
            </m:r>
          </m:e>
          <m:sup>
            <m:r>
              <w:rPr>
                <w:rFonts w:ascii="Cambria Math" w:hAnsi="Cambria Math"/>
              </w:rPr>
              <m:t>'</m:t>
            </m:r>
          </m:sup>
        </m:sSup>
      </m:oMath>
      <w:r w:rsidR="004F6DA0">
        <w:rPr>
          <w:rFonts w:eastAsiaTheme="minorEastAsia"/>
        </w:rPr>
        <w:t>. For the case of panel movements, the new aggregates were normalized against the production for domestic demand reported in the FF report. Updated flows (</w:t>
      </w:r>
      <m:oMath>
        <m:sSub>
          <m:sSubPr>
            <m:ctrlPr>
              <w:rPr>
                <w:rFonts w:ascii="Cambria Math" w:hAnsi="Cambria Math"/>
                <w:i/>
              </w:rPr>
            </m:ctrlPr>
          </m:sSubPr>
          <m:e>
            <m:r>
              <w:rPr>
                <w:rFonts w:ascii="Cambria Math" w:hAnsi="Cambria Math"/>
              </w:rPr>
              <m:t>b'</m:t>
            </m:r>
          </m:e>
          <m:sub>
            <m:r>
              <w:rPr>
                <w:rFonts w:ascii="Cambria Math" w:hAnsi="Cambria Math"/>
              </w:rPr>
              <m:t>i,j</m:t>
            </m:r>
          </m:sub>
        </m:sSub>
      </m:oMath>
      <w:r w:rsidR="004F6DA0">
        <w:rPr>
          <w:rFonts w:eastAsiaTheme="minorEastAsia"/>
        </w:rPr>
        <w:t>), the normalized aggregates (</w:t>
      </w:r>
      <m:oMath>
        <m:r>
          <w:rPr>
            <w:rFonts w:ascii="Cambria Math" w:hAnsi="Cambria Math"/>
          </w:rPr>
          <m:t>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and TC''</m:t>
        </m:r>
      </m:oMath>
      <w:r w:rsidR="004F6DA0">
        <w:rPr>
          <w:rFonts w:eastAsiaTheme="minorEastAsia"/>
        </w:rPr>
        <w:t>), the average interregional distances between factories and retail locations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i,j</m:t>
            </m:r>
          </m:sub>
        </m:sSub>
      </m:oMath>
      <w:r w:rsidR="004F6DA0">
        <w:rPr>
          <w:rFonts w:eastAsiaTheme="minorEastAsia"/>
        </w:rPr>
        <w:t>), and construction employment numbers by region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sidR="004F6DA0">
        <w:rPr>
          <w:rFonts w:eastAsiaTheme="minorEastAsia"/>
        </w:rPr>
        <w:t xml:space="preserve">) were used to calibrate a set of production-constrained gravity models. Pulp related factory-to-retail movements were left out, as the supply chain for these products is far more complex, involves more actors and facilities, and there is not enough documentation to support our </w:t>
      </w:r>
      <w:r w:rsidR="007B0C77">
        <w:rPr>
          <w:rFonts w:eastAsiaTheme="minorEastAsia"/>
        </w:rPr>
        <w:t>modelling</w:t>
      </w:r>
      <w:r w:rsidR="004F6DA0">
        <w:rPr>
          <w:rFonts w:eastAsiaTheme="minorEastAsia"/>
        </w:rPr>
        <w:t xml:space="preserve"> assumptions. We only estimated factory-to-retail movements for sawn timber and panel products. The calibration of spatial relationships was performed separately for each island, as the reported patterns show </w:t>
      </w:r>
      <w:r w:rsidR="00D043B8">
        <w:rPr>
          <w:rFonts w:eastAsiaTheme="minorEastAsia"/>
        </w:rPr>
        <w:t>non-</w:t>
      </w:r>
      <w:r w:rsidR="004F6DA0">
        <w:rPr>
          <w:rFonts w:eastAsiaTheme="minorEastAsia"/>
        </w:rPr>
        <w:t xml:space="preserve">significant movements between islands, &lt;0.05% and none for timber and panel products respectively.          </w:t>
      </w:r>
    </w:p>
    <w:p w14:paraId="17C16963" w14:textId="77777777" w:rsidR="009477EB" w:rsidRDefault="009477EB" w:rsidP="004F6DA0">
      <w:pPr>
        <w:rPr>
          <w:rFonts w:eastAsiaTheme="minorEastAsia"/>
        </w:rPr>
      </w:pPr>
    </w:p>
    <w:p w14:paraId="138F39E8" w14:textId="2C7D9C9E" w:rsidR="004F6DA0" w:rsidRDefault="004F6DA0" w:rsidP="004F6DA0">
      <w:pPr>
        <w:rPr>
          <w:rFonts w:eastAsiaTheme="minorEastAsia"/>
        </w:rPr>
      </w:pPr>
      <w:r>
        <w:rPr>
          <w:rFonts w:eastAsiaTheme="minorEastAsia"/>
        </w:rPr>
        <w:t xml:space="preserve">For the spatial interaction </w:t>
      </w:r>
      <w:r w:rsidR="007B0C77">
        <w:rPr>
          <w:rFonts w:eastAsiaTheme="minorEastAsia"/>
        </w:rPr>
        <w:t>modelling</w:t>
      </w:r>
      <w:r>
        <w:rPr>
          <w:rFonts w:eastAsiaTheme="minorEastAsia"/>
        </w:rPr>
        <w:t xml:space="preserve"> stage, the </w:t>
      </w:r>
      <w:r w:rsidR="00165C7C">
        <w:rPr>
          <w:rFonts w:eastAsiaTheme="minorEastAsia"/>
        </w:rPr>
        <w:t>‘</w:t>
      </w:r>
      <w:r>
        <w:rPr>
          <w:rFonts w:eastAsiaTheme="minorEastAsia"/>
        </w:rPr>
        <w:t>SpInt</w:t>
      </w:r>
      <w:r w:rsidR="00165C7C">
        <w:rPr>
          <w:rFonts w:eastAsiaTheme="minorEastAsia"/>
        </w:rPr>
        <w:t>’</w:t>
      </w:r>
      <w:r>
        <w:rPr>
          <w:rFonts w:eastAsiaTheme="minorEastAsia"/>
        </w:rPr>
        <w:t xml:space="preserve"> module from Python’s Spatial Analysis Library (PySAL)</w:t>
      </w:r>
      <w:r w:rsidR="00410A8C">
        <w:rPr>
          <w:rFonts w:eastAsiaTheme="minorEastAsia"/>
        </w:rPr>
        <w:t xml:space="preserve"> </w:t>
      </w:r>
      <w:r w:rsidR="00683852">
        <w:rPr>
          <w:rFonts w:eastAsiaTheme="minorEastAsia"/>
        </w:rPr>
        <w:t xml:space="preserve">was used </w:t>
      </w:r>
      <w:r w:rsidR="00410A8C">
        <w:rPr>
          <w:rFonts w:eastAsiaTheme="minorEastAsia"/>
        </w:rPr>
        <w:t>as it offers free and open source functionality</w:t>
      </w:r>
      <w:r>
        <w:rPr>
          <w:rFonts w:eastAsiaTheme="minorEastAsia"/>
        </w:rPr>
        <w:t xml:space="preserve"> </w:t>
      </w:r>
      <w:r>
        <w:rPr>
          <w:rFonts w:eastAsiaTheme="minorEastAsia"/>
        </w:rPr>
        <w:fldChar w:fldCharType="begin"/>
      </w:r>
      <w:r>
        <w:rPr>
          <w:rFonts w:eastAsiaTheme="minorEastAsia"/>
        </w:rPr>
        <w:instrText xml:space="preserve"> ADDIN EN.CITE &lt;EndNote&gt;&lt;Cite&gt;&lt;Author&gt;Oshan&lt;/Author&gt;&lt;Year&gt;2016&lt;/Year&gt;&lt;RecNum&gt;239&lt;/RecNum&gt;&lt;DisplayText&gt;(Oshan, 2016)&lt;/DisplayText&gt;&lt;record&gt;&lt;rec-number&gt;239&lt;/rec-number&gt;&lt;foreign-keys&gt;&lt;key app="EN" db-id="t2tttt5z4vw0z3etadq5px5k0a5wraw2d092" timestamp="1564372527"&gt;239&lt;/key&gt;&lt;/foreign-keys&gt;&lt;ref-type name="Journal Article"&gt;17&lt;/ref-type&gt;&lt;contributors&gt;&lt;authors&gt;&lt;author&gt;Oshan, Taylor&lt;/author&gt;&lt;/authors&gt;&lt;/contributors&gt;&lt;titles&gt;&lt;title&gt;A primer for working with the Spatial Interaction modeling (SpInt) module in the python spatial analysis library (PySAL)&lt;/title&gt;&lt;secondary-title&gt;REGION&lt;/secondary-title&gt;&lt;/titles&gt;&lt;periodical&gt;&lt;full-title&gt;REGION&lt;/full-title&gt;&lt;/periodical&gt;&lt;pages&gt;R11-R23&lt;/pages&gt;&lt;volume&gt;3&lt;/volume&gt;&lt;number&gt;2&lt;/number&gt;&lt;dates&gt;&lt;year&gt;2016&lt;/year&gt;&lt;/dates&gt;&lt;isbn&gt;2409-5370&lt;/isbn&gt;&lt;urls&gt;&lt;/urls&gt;&lt;electronic-resource-num&gt;http://dx.doi.org/10.18335/region.v3i2.175&lt;/electronic-resource-num&gt;&lt;/record&gt;&lt;/Cite&gt;&lt;/EndNote&gt;</w:instrText>
      </w:r>
      <w:r>
        <w:rPr>
          <w:rFonts w:eastAsiaTheme="minorEastAsia"/>
        </w:rPr>
        <w:fldChar w:fldCharType="separate"/>
      </w:r>
      <w:r>
        <w:rPr>
          <w:rFonts w:eastAsiaTheme="minorEastAsia"/>
          <w:noProof/>
        </w:rPr>
        <w:t>(Oshan, 2016)</w:t>
      </w:r>
      <w:r>
        <w:rPr>
          <w:rFonts w:eastAsiaTheme="minorEastAsia"/>
        </w:rPr>
        <w:fldChar w:fldCharType="end"/>
      </w:r>
      <w:r>
        <w:rPr>
          <w:rFonts w:eastAsiaTheme="minorEastAsia"/>
        </w:rPr>
        <w:t>.</w:t>
      </w:r>
      <w:r w:rsidR="00410A8C">
        <w:rPr>
          <w:rFonts w:eastAsiaTheme="minorEastAsia"/>
        </w:rPr>
        <w:t xml:space="preserve"> </w:t>
      </w:r>
      <w:r w:rsidR="009B55A4">
        <w:rPr>
          <w:rFonts w:eastAsiaTheme="minorEastAsia"/>
        </w:rPr>
        <w:t>The module uses regression techniques to calibrate models. Specifically</w:t>
      </w:r>
      <w:r w:rsidR="00410A8C">
        <w:rPr>
          <w:rFonts w:eastAsiaTheme="minorEastAsia"/>
        </w:rPr>
        <w:t>, it is based on a Poisson log-linear regression specification, which avoids potential issues when dealing with zero flows.</w:t>
      </w:r>
      <w:r>
        <w:rPr>
          <w:rFonts w:eastAsiaTheme="minorEastAsia"/>
        </w:rPr>
        <w:t xml:space="preserve"> The predicted flows (</w:t>
      </w:r>
      <m:oMath>
        <m:sSub>
          <m:sSubPr>
            <m:ctrlPr>
              <w:rPr>
                <w:rFonts w:ascii="Cambria Math" w:hAnsi="Cambria Math"/>
                <w:i/>
              </w:rPr>
            </m:ctrlPr>
          </m:sSubPr>
          <m:e>
            <m:r>
              <w:rPr>
                <w:rFonts w:ascii="Cambria Math" w:hAnsi="Cambria Math"/>
              </w:rPr>
              <m:t>b''</m:t>
            </m:r>
          </m:e>
          <m:sub>
            <m:r>
              <w:rPr>
                <w:rFonts w:ascii="Cambria Math" w:hAnsi="Cambria Math"/>
              </w:rPr>
              <m:t>i,j</m:t>
            </m:r>
          </m:sub>
        </m:sSub>
      </m:oMath>
      <w:r>
        <w:rPr>
          <w:rFonts w:eastAsiaTheme="minorEastAsia"/>
        </w:rPr>
        <w:t>) are based on the application of a production-constrained gravity model</w:t>
      </w:r>
      <w:r w:rsidR="009B55A4">
        <w:rPr>
          <w:rFonts w:eastAsiaTheme="minorEastAsia"/>
        </w:rPr>
        <w:t>, meaning that total inflows are conserved.</w:t>
      </w:r>
      <w:r>
        <w:rPr>
          <w:rFonts w:eastAsiaTheme="minorEastAsia"/>
        </w:rPr>
        <w:t xml:space="preserve"> Inputs for model calibration are origin emissiveness attributes (</w:t>
      </w:r>
      <m:oMath>
        <m:r>
          <w:rPr>
            <w:rFonts w:ascii="Cambria Math" w:hAnsi="Cambria Math"/>
          </w:rPr>
          <m:t>TC''</m:t>
        </m:r>
      </m:oMath>
      <w:r>
        <w:rPr>
          <w:rFonts w:eastAsiaTheme="minorEastAsia"/>
        </w:rPr>
        <w:t>), destination attractiveness attributes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a cost matrix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i,j</m:t>
            </m:r>
          </m:sub>
        </m:sSub>
      </m:oMath>
      <w:r>
        <w:rPr>
          <w:rFonts w:eastAsiaTheme="minorEastAsia"/>
        </w:rPr>
        <w:t>) and a table of observed flows between origins and destinations (</w:t>
      </w:r>
      <m:oMath>
        <m:sSub>
          <m:sSubPr>
            <m:ctrlPr>
              <w:rPr>
                <w:rFonts w:ascii="Cambria Math" w:hAnsi="Cambria Math"/>
                <w:i/>
              </w:rPr>
            </m:ctrlPr>
          </m:sSubPr>
          <m:e>
            <m:r>
              <w:rPr>
                <w:rFonts w:ascii="Cambria Math" w:hAnsi="Cambria Math"/>
              </w:rPr>
              <m:t>b'</m:t>
            </m:r>
          </m:e>
          <m:sub>
            <m:r>
              <w:rPr>
                <w:rFonts w:ascii="Cambria Math" w:hAnsi="Cambria Math"/>
              </w:rPr>
              <m:t>i,j</m:t>
            </m:r>
          </m:sub>
        </m:sSub>
      </m:oMath>
      <w:r>
        <w:rPr>
          <w:rFonts w:eastAsiaTheme="minorEastAsia"/>
        </w:rPr>
        <w:t>). Construction e</w:t>
      </w:r>
      <w:r w:rsidRPr="00E410E1">
        <w:rPr>
          <w:rFonts w:eastAsiaTheme="minorEastAsia"/>
        </w:rPr>
        <w:t xml:space="preserve">mployment statistics by region </w:t>
      </w:r>
      <w:r w:rsidR="00894651">
        <w:rPr>
          <w:rFonts w:eastAsiaTheme="minorEastAsia"/>
        </w:rPr>
        <w:t xml:space="preserve">were obtained from official sources and </w:t>
      </w:r>
      <w:r w:rsidRPr="00E410E1">
        <w:rPr>
          <w:rFonts w:eastAsiaTheme="minorEastAsia"/>
        </w:rPr>
        <w:t xml:space="preserve">were </w:t>
      </w:r>
      <w:r>
        <w:rPr>
          <w:rFonts w:eastAsiaTheme="minorEastAsia"/>
        </w:rPr>
        <w:t>the</w:t>
      </w:r>
      <w:r w:rsidRPr="00E410E1">
        <w:rPr>
          <w:rFonts w:eastAsiaTheme="minorEastAsia"/>
        </w:rPr>
        <w:t xml:space="preserve"> destination attractiveness attributes, as domestic patterns of wood-based products are likely to follow demands from the construction industry.</w:t>
      </w:r>
      <w:r>
        <w:rPr>
          <w:rFonts w:eastAsiaTheme="minorEastAsia"/>
        </w:rPr>
        <w:t xml:space="preserve"> </w:t>
      </w:r>
      <w:r w:rsidR="009477EB">
        <w:rPr>
          <w:rFonts w:eastAsiaTheme="minorEastAsia"/>
        </w:rPr>
        <w:fldChar w:fldCharType="begin"/>
      </w:r>
      <w:r w:rsidR="009477EB">
        <w:rPr>
          <w:rFonts w:eastAsiaTheme="minorEastAsia"/>
        </w:rPr>
        <w:instrText xml:space="preserve"> REF _Ref29825931 \h </w:instrText>
      </w:r>
      <w:r w:rsidR="009477EB">
        <w:rPr>
          <w:rFonts w:eastAsiaTheme="minorEastAsia"/>
        </w:rPr>
      </w:r>
      <w:r w:rsidR="009477EB">
        <w:rPr>
          <w:rFonts w:eastAsiaTheme="minorEastAsia"/>
        </w:rPr>
        <w:fldChar w:fldCharType="separate"/>
      </w:r>
      <w:r w:rsidR="009477EB">
        <w:t xml:space="preserve">Equation </w:t>
      </w:r>
      <w:r w:rsidR="009477EB">
        <w:rPr>
          <w:noProof/>
        </w:rPr>
        <w:t>12</w:t>
      </w:r>
      <w:r w:rsidR="009477EB">
        <w:rPr>
          <w:rFonts w:eastAsiaTheme="minorEastAsia"/>
        </w:rPr>
        <w:fldChar w:fldCharType="end"/>
      </w:r>
      <w:r w:rsidR="009477EB">
        <w:rPr>
          <w:rFonts w:eastAsiaTheme="minorEastAsia"/>
        </w:rPr>
        <w:t xml:space="preserve"> </w:t>
      </w:r>
      <w:r>
        <w:rPr>
          <w:rFonts w:eastAsiaTheme="minorEastAsia"/>
        </w:rPr>
        <w:t xml:space="preserve">represents the resulting log-linear production-constrained gravity model. </w:t>
      </w:r>
      <w:r>
        <w:t>The model includes an intercept (</w:t>
      </w:r>
      <m:oMath>
        <m:r>
          <w:rPr>
            <w:rFonts w:ascii="Cambria Math" w:hAnsi="Cambria Math"/>
          </w:rPr>
          <m:t>k</m:t>
        </m:r>
      </m:oMath>
      <w:r>
        <w:t>), a set of origin fixed effects coefficients (</w:t>
      </w:r>
      <m:oMath>
        <m:sSub>
          <m:sSubPr>
            <m:ctrlPr>
              <w:rPr>
                <w:rFonts w:ascii="Cambria Math" w:hAnsi="Cambria Math"/>
                <w:i/>
                <w:szCs w:val="20"/>
              </w:rPr>
            </m:ctrlPr>
          </m:sSubPr>
          <m:e>
            <m:r>
              <w:rPr>
                <w:rFonts w:ascii="Cambria Math" w:hAnsi="Cambria Math"/>
                <w:szCs w:val="20"/>
              </w:rPr>
              <m:t>μ</m:t>
            </m:r>
          </m:e>
          <m:sub>
            <m:r>
              <w:rPr>
                <w:rFonts w:ascii="Cambria Math" w:hAnsi="Cambria Math"/>
                <w:szCs w:val="20"/>
              </w:rPr>
              <m:t>i</m:t>
            </m:r>
          </m:sub>
        </m:sSub>
      </m:oMath>
      <w:r>
        <w:rPr>
          <w:rFonts w:eastAsiaTheme="minorEastAsia"/>
          <w:szCs w:val="20"/>
        </w:rPr>
        <w:t>), a destination fixed effect coefficient (</w:t>
      </w:r>
      <m:oMath>
        <m:r>
          <w:rPr>
            <w:rFonts w:ascii="Cambria Math" w:eastAsiaTheme="minorEastAsia" w:hAnsi="Cambria Math"/>
          </w:rPr>
          <m:t>α</m:t>
        </m:r>
      </m:oMath>
      <w:r w:rsidRPr="00025877">
        <w:rPr>
          <w:rFonts w:eastAsiaTheme="minorEastAsia"/>
          <w:szCs w:val="20"/>
        </w:rPr>
        <w:t>)</w:t>
      </w:r>
      <w:r>
        <w:rPr>
          <w:rFonts w:eastAsiaTheme="minorEastAsia"/>
          <w:szCs w:val="20"/>
        </w:rPr>
        <w:t xml:space="preserve"> and a distance decay coefficient (</w:t>
      </w:r>
      <m:oMath>
        <m:r>
          <w:rPr>
            <w:rFonts w:ascii="Cambria Math" w:eastAsiaTheme="minorEastAsia" w:hAnsi="Cambria Math"/>
          </w:rPr>
          <m:t>β</m:t>
        </m:r>
      </m:oMath>
      <w:r>
        <w:rPr>
          <w:rFonts w:eastAsiaTheme="minorEastAsia"/>
          <w:szCs w:val="20"/>
        </w:rPr>
        <w:t xml:space="preserve">).   </w:t>
      </w:r>
      <w:r>
        <w:t xml:space="preserve"> </w:t>
      </w:r>
      <w:r>
        <w:rPr>
          <w:rFonts w:eastAsiaTheme="minorEastAsia"/>
        </w:rPr>
        <w:t xml:space="preserve">  </w:t>
      </w:r>
    </w:p>
    <w:p w14:paraId="78AD3D76" w14:textId="77777777" w:rsidR="004E6158" w:rsidRDefault="004E6158" w:rsidP="004F6DA0">
      <w:pPr>
        <w:rPr>
          <w:rFonts w:eastAsiaTheme="minorEastAs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2160"/>
      </w:tblGrid>
      <w:tr w:rsidR="004F6DA0" w14:paraId="3059EC42" w14:textId="77777777" w:rsidTr="008C73C5">
        <w:trPr>
          <w:jc w:val="center"/>
        </w:trPr>
        <w:tc>
          <w:tcPr>
            <w:tcW w:w="4675" w:type="dxa"/>
          </w:tcPr>
          <w:p w14:paraId="291BE34F" w14:textId="77777777" w:rsidR="004F6DA0" w:rsidRPr="004543D2" w:rsidRDefault="00184C0D" w:rsidP="008C73C5">
            <w:pPr>
              <w:rPr>
                <w:rFonts w:eastAsiaTheme="minorEastAsia"/>
              </w:rPr>
            </w:pPr>
            <m:oMathPara>
              <m:oMath>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 xml:space="preserve">= </m:t>
                </m:r>
                <m:r>
                  <m:rPr>
                    <m:sty m:val="p"/>
                  </m:rPr>
                  <w:rPr>
                    <w:rFonts w:ascii="Cambria Math" w:eastAsiaTheme="minorEastAsia" w:hAnsi="Cambria Math"/>
                  </w:rPr>
                  <m:t>exp⁡</m:t>
                </m:r>
                <m:r>
                  <w:rPr>
                    <w:rFonts w:ascii="Cambria Math" w:eastAsiaTheme="minorEastAsia" w:hAnsi="Cambria Math"/>
                  </w:rPr>
                  <m:t xml:space="preserve">(k+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r>
                  <w:rPr>
                    <w:rFonts w:ascii="Cambria Math" w:eastAsiaTheme="minorEastAsia" w:hAnsi="Cambria Math"/>
                  </w:rPr>
                  <m:t xml:space="preserve"> + α*</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j</m:t>
                            </m:r>
                          </m:sub>
                        </m:sSub>
                      </m:e>
                    </m:d>
                  </m:e>
                </m:func>
                <m:r>
                  <w:rPr>
                    <w:rFonts w:ascii="Cambria Math" w:eastAsiaTheme="minorEastAsia" w:hAnsi="Cambria Math"/>
                  </w:rPr>
                  <m:t>- β*</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d</m:t>
                        </m:r>
                      </m:e>
                    </m:acc>
                  </m:e>
                  <m:sub>
                    <m:r>
                      <w:rPr>
                        <w:rFonts w:ascii="Cambria Math" w:eastAsiaTheme="minorEastAsia" w:hAnsi="Cambria Math"/>
                      </w:rPr>
                      <m:t>i,j</m:t>
                    </m:r>
                  </m:sub>
                </m:sSub>
                <m:r>
                  <w:rPr>
                    <w:rFonts w:ascii="Cambria Math" w:eastAsiaTheme="minorEastAsia" w:hAnsi="Cambria Math"/>
                  </w:rPr>
                  <m:t>)</m:t>
                </m:r>
              </m:oMath>
            </m:oMathPara>
          </w:p>
          <w:p w14:paraId="2DEC28E3" w14:textId="77777777" w:rsidR="004F6DA0" w:rsidRDefault="004F6DA0" w:rsidP="008C73C5"/>
        </w:tc>
        <w:tc>
          <w:tcPr>
            <w:tcW w:w="2160" w:type="dxa"/>
            <w:vAlign w:val="center"/>
          </w:tcPr>
          <w:p w14:paraId="57E9687A" w14:textId="67635686" w:rsidR="004F6DA0" w:rsidRDefault="004F6DA0" w:rsidP="008C73C5">
            <w:pPr>
              <w:pStyle w:val="Equation"/>
            </w:pPr>
            <w:bookmarkStart w:id="20" w:name="_Ref29825931"/>
            <w:r>
              <w:t xml:space="preserve">Equation </w:t>
            </w:r>
            <w:r>
              <w:rPr>
                <w:noProof/>
              </w:rPr>
              <w:fldChar w:fldCharType="begin"/>
            </w:r>
            <w:r>
              <w:rPr>
                <w:noProof/>
              </w:rPr>
              <w:instrText xml:space="preserve"> SEQ Equation \* ARABIC </w:instrText>
            </w:r>
            <w:r>
              <w:rPr>
                <w:noProof/>
              </w:rPr>
              <w:fldChar w:fldCharType="separate"/>
            </w:r>
            <w:r w:rsidR="0057331A">
              <w:rPr>
                <w:noProof/>
              </w:rPr>
              <w:t>12</w:t>
            </w:r>
            <w:r>
              <w:rPr>
                <w:noProof/>
              </w:rPr>
              <w:fldChar w:fldCharType="end"/>
            </w:r>
            <w:bookmarkEnd w:id="20"/>
          </w:p>
        </w:tc>
      </w:tr>
    </w:tbl>
    <w:p w14:paraId="04C974F3" w14:textId="0909E36C" w:rsidR="004F6DA0" w:rsidRDefault="004F6DA0" w:rsidP="004F6DA0">
      <w:r>
        <w:t xml:space="preserve">The final step uses the predicted flows and applies the LP based disaggregation procedure described in Section </w:t>
      </w:r>
      <w:r>
        <w:fldChar w:fldCharType="begin"/>
      </w:r>
      <w:r>
        <w:instrText xml:space="preserve"> REF _Ref14164596 \r \h </w:instrText>
      </w:r>
      <w:r>
        <w:fldChar w:fldCharType="separate"/>
      </w:r>
      <w:r w:rsidR="0057331A">
        <w:t>3.2</w:t>
      </w:r>
      <w:r>
        <w:fldChar w:fldCharType="end"/>
      </w:r>
      <w:r>
        <w:t xml:space="preserve">, using the corresponding OD distance matrices between factories to retail stores.  </w:t>
      </w:r>
    </w:p>
    <w:p w14:paraId="3F984101" w14:textId="77777777" w:rsidR="004F6DA0" w:rsidRDefault="004F6DA0" w:rsidP="004F6DA0"/>
    <w:p w14:paraId="4F029C14" w14:textId="77777777" w:rsidR="004F6DA0" w:rsidRDefault="004F6DA0" w:rsidP="004F6DA0">
      <w:pPr>
        <w:pStyle w:val="Heading2"/>
      </w:pPr>
      <w:bookmarkStart w:id="21" w:name="_Ref20238232"/>
      <w:r>
        <w:t>Results and Discussion</w:t>
      </w:r>
      <w:bookmarkEnd w:id="21"/>
    </w:p>
    <w:p w14:paraId="19674823" w14:textId="28098635" w:rsidR="00082E5A" w:rsidRDefault="00082E5A" w:rsidP="004F6DA0">
      <w:r>
        <w:fldChar w:fldCharType="begin"/>
      </w:r>
      <w:r>
        <w:instrText xml:space="preserve"> REF _Ref15548134 \h </w:instrText>
      </w:r>
      <w:r>
        <w:fldChar w:fldCharType="separate"/>
      </w:r>
      <w:r w:rsidR="0057331A">
        <w:t xml:space="preserve">Figure </w:t>
      </w:r>
      <w:r w:rsidR="0057331A">
        <w:rPr>
          <w:noProof/>
        </w:rPr>
        <w:t>4</w:t>
      </w:r>
      <w:r>
        <w:fldChar w:fldCharType="end"/>
      </w:r>
      <w:r>
        <w:t xml:space="preserve"> shows the movements for logs and wood products on a firm-to-firm basis. In regards to log movements, our results suggest that wood processing facilities are generally located nearby log harvesting locations. This feature is in agreement with the fact that most exotic forest in New Zealand (~63%) are managed by wood-processing corporations </w:t>
      </w:r>
      <w:r>
        <w:fldChar w:fldCharType="begin"/>
      </w:r>
      <w:r>
        <w:instrText xml:space="preserve"> ADDIN EN.CITE &lt;EndNote&gt;&lt;Cite&gt;&lt;Author&gt;New Zealand Forest Owners Association Inc.&lt;/Author&gt;&lt;Year&gt;2013&lt;/Year&gt;&lt;RecNum&gt;244&lt;/RecNum&gt;&lt;DisplayText&gt;(New Zealand Forest Owners Association Inc. and Ministry for Primary Industries, 2013)&lt;/DisplayText&gt;&lt;record&gt;&lt;rec-number&gt;244&lt;/rec-number&gt;&lt;foreign-keys&gt;&lt;key app="EN" db-id="t2tttt5z4vw0z3etadq5px5k0a5wraw2d092" timestamp="1564373548"&gt;244&lt;/key&gt;&lt;/foreign-keys&gt;&lt;ref-type name="Report"&gt;27&lt;/ref-type&gt;&lt;contributors&gt;&lt;authors&gt;&lt;author&gt;New Zealand Forest Owners Association Inc.,&lt;/author&gt;&lt;author&gt;Ministry for Primary Industries,&lt;/author&gt;&lt;/authors&gt;&lt;/contributors&gt;&lt;titles&gt;&lt;title&gt;New Zealand Plantation Forest Industry Facts &amp;amp; Figures&lt;/title&gt;&lt;/titles&gt;&lt;dates&gt;&lt;year&gt;2013&lt;/year&gt;&lt;/dates&gt;&lt;pub-location&gt;Wellington&lt;/pub-location&gt;&lt;urls&gt;&lt;related-urls&gt;&lt;url&gt;wwww.nzfoa.org.nz&lt;/url&gt;&lt;/related-urls&gt;&lt;/urls&gt;&lt;access-date&gt;7/29/2019&lt;/access-date&gt;&lt;/record&gt;&lt;/Cite&gt;&lt;/EndNote&gt;</w:instrText>
      </w:r>
      <w:r>
        <w:fldChar w:fldCharType="separate"/>
      </w:r>
      <w:r>
        <w:rPr>
          <w:noProof/>
        </w:rPr>
        <w:t>(New Zealand Forest Owners Association Inc. and Ministry for Primary Industries, 2013)</w:t>
      </w:r>
      <w:r>
        <w:fldChar w:fldCharType="end"/>
      </w:r>
      <w:r>
        <w:t xml:space="preserve">. The maps in </w:t>
      </w:r>
      <w:r>
        <w:fldChar w:fldCharType="begin"/>
      </w:r>
      <w:r>
        <w:instrText xml:space="preserve"> REF _Ref15548134 \h </w:instrText>
      </w:r>
      <w:r>
        <w:fldChar w:fldCharType="separate"/>
      </w:r>
      <w:r w:rsidR="0057331A">
        <w:t xml:space="preserve">Figure </w:t>
      </w:r>
      <w:r w:rsidR="0057331A">
        <w:rPr>
          <w:noProof/>
        </w:rPr>
        <w:t>4</w:t>
      </w:r>
      <w:r>
        <w:fldChar w:fldCharType="end"/>
      </w:r>
      <w:r>
        <w:t xml:space="preserve"> also show that most of the freight task is concentrated on the North Island as the majority of panel and pulp factories are located in this part of the country, in fact, pulp movements are exclusive to the North Island. The ports at Whangarei and Tauranga appear as national logistic cornerstones, bearing a high share of the export traffic for forestry related products (~53%). Additionally, Auckland appears as an essential location for trade, given the relatively higher amount of retail locations (16 out of 45) and higher construction employee numbers (35,268 out of 152,823) </w:t>
      </w:r>
      <w:r>
        <w:fldChar w:fldCharType="begin"/>
      </w:r>
      <w:r>
        <w:instrText xml:space="preserve"> ADDIN EN.CITE &lt;EndNote&gt;&lt;Cite&gt;&lt;Author&gt;Stats NZ Tatauranga Aotearoa&lt;/Author&gt;&lt;Year&gt;2013&lt;/Year&gt;&lt;RecNum&gt;247&lt;/RecNum&gt;&lt;DisplayText&gt;(Stats NZ Tatauranga Aotearoa, 2013)&lt;/DisplayText&gt;&lt;record&gt;&lt;rec-number&gt;247&lt;/rec-number&gt;&lt;foreign-keys&gt;&lt;key app="EN" db-id="t2tttt5z4vw0z3etadq5px5k0a5wraw2d092" timestamp="1564620192"&gt;247&lt;/key&gt;&lt;/foreign-keys&gt;&lt;ref-type name="Dataset"&gt;59&lt;/ref-type&gt;&lt;contributors&gt;&lt;authors&gt;&lt;author&gt;Stats NZ Tatauranga Aotearoa,&lt;/author&gt;&lt;/authors&gt;&lt;secondary-authors&gt;&lt;author&gt;Stats NZ Tatauranga Aotearoa&lt;/author&gt;&lt;/secondary-authors&gt;&lt;/contributors&gt;&lt;titles&gt;&lt;title&gt;2013 Census Work and Unpaid activities&lt;/title&gt;&lt;/titles&gt;&lt;dates&gt;&lt;year&gt;2013&lt;/year&gt;&lt;/dates&gt;&lt;urls&gt;&lt;/urls&gt;&lt;custom3&gt;Comma Separated Values&lt;/custom3&gt;&lt;custom4&gt;http://nzdotstat.stats.govt.nz/wbos/&lt;/custom4&gt;&lt;access-date&gt;7/1/2019&lt;/access-date&gt;&lt;/record&gt;&lt;/Cite&gt;&lt;/EndNote&gt;</w:instrText>
      </w:r>
      <w:r>
        <w:fldChar w:fldCharType="separate"/>
      </w:r>
      <w:r>
        <w:rPr>
          <w:noProof/>
        </w:rPr>
        <w:t>(Stats NZ Tatauranga Aotearoa, 2013)</w:t>
      </w:r>
      <w:r>
        <w:fldChar w:fldCharType="end"/>
      </w:r>
      <w:r>
        <w:t>.</w:t>
      </w:r>
    </w:p>
    <w:p w14:paraId="4461D97D" w14:textId="77777777" w:rsidR="004533CB" w:rsidRDefault="004533CB" w:rsidP="004F6DA0"/>
    <w:p w14:paraId="322A8781" w14:textId="1E68438A" w:rsidR="004F6DA0" w:rsidRDefault="00895C3D" w:rsidP="004F6DA0">
      <w:r w:rsidRPr="00895C3D">
        <w:t xml:space="preserve">The method was validated </w:t>
      </w:r>
      <w:r w:rsidR="004F6DA0">
        <w:t xml:space="preserve">using timber-only flows, as </w:t>
      </w:r>
      <w:r>
        <w:t>it was possible</w:t>
      </w:r>
      <w:r w:rsidR="004F6DA0">
        <w:t xml:space="preserve"> to aggregate predicted for-export and domestic flows and compare them against timber-only movements reported in the NFDS. The mean percentage errors for timber arrivals in different regions are presented in </w:t>
      </w:r>
      <w:r w:rsidR="004F6DA0">
        <w:fldChar w:fldCharType="begin"/>
      </w:r>
      <w:r w:rsidR="004F6DA0">
        <w:instrText xml:space="preserve"> REF _Ref15394096 \h </w:instrText>
      </w:r>
      <w:r w:rsidR="004F6DA0">
        <w:fldChar w:fldCharType="separate"/>
      </w:r>
      <w:r w:rsidR="0057331A">
        <w:t xml:space="preserve">Figure </w:t>
      </w:r>
      <w:r w:rsidR="0057331A">
        <w:rPr>
          <w:noProof/>
        </w:rPr>
        <w:t>4</w:t>
      </w:r>
      <w:r w:rsidR="004F6DA0">
        <w:fldChar w:fldCharType="end"/>
      </w:r>
      <w:r w:rsidR="004F6DA0">
        <w:t xml:space="preserve">(b) and it can be seen that for most regions (9 out of 14) the errors are below 18%. The mean percentage </w:t>
      </w:r>
      <w:r w:rsidR="004F6DA0">
        <w:lastRenderedPageBreak/>
        <w:t xml:space="preserve">errors for Gisborne and West Coast are particularly high (&gt;39%); however, official sources report timber arrivals of 20,000 and 30,000 tonnes, respectively, which together sum less than 2% of arrivals in all regions. </w:t>
      </w:r>
      <w:r w:rsidR="009402C7">
        <w:t>T</w:t>
      </w:r>
      <w:r w:rsidR="004F6DA0">
        <w:t xml:space="preserve">he results suggest there are other variables that can support the attractiveness of trips to Gisborne and West Coast. Moreover, accuracy can be improved through calibration of a doubly constrained gravity model, given total arrivals by region instead of employment numbers. </w:t>
      </w:r>
      <w:r w:rsidR="002B55F8">
        <w:t>In fact, model fit of a doubly constrained model for panel movements to retail facilities gives R</w:t>
      </w:r>
      <w:r w:rsidR="002B55F8">
        <w:rPr>
          <w:vertAlign w:val="superscript"/>
        </w:rPr>
        <w:t>2</w:t>
      </w:r>
      <w:r w:rsidR="002B55F8">
        <w:t xml:space="preserve">’s greater than 95%. </w:t>
      </w:r>
      <w:r w:rsidR="004F6DA0">
        <w:t>Nevertheless, there is a risk that a doubly constrained formulation would over fit the model and will not be practical in cases where only employment numbers by region are the only attractiveness attributes available</w:t>
      </w:r>
      <w:r w:rsidR="00156E5F">
        <w:t>.</w:t>
      </w:r>
      <w:r w:rsidR="004F6DA0">
        <w:t xml:space="preserve"> </w:t>
      </w:r>
    </w:p>
    <w:p w14:paraId="40D6155B" w14:textId="77777777" w:rsidR="004533CB" w:rsidRDefault="004533CB" w:rsidP="004F6DA0"/>
    <w:p w14:paraId="249D2A58" w14:textId="3AE59464" w:rsidR="004F6DA0" w:rsidRDefault="004F6DA0" w:rsidP="004F6DA0">
      <w:r>
        <w:t xml:space="preserve">Movements to retail entities were estimated upon the application of gravity models and </w:t>
      </w:r>
      <w:r>
        <w:fldChar w:fldCharType="begin"/>
      </w:r>
      <w:r>
        <w:instrText xml:space="preserve"> REF _Ref15545780 \h </w:instrText>
      </w:r>
      <w:r>
        <w:fldChar w:fldCharType="separate"/>
      </w:r>
      <w:r w:rsidR="0057331A">
        <w:t xml:space="preserve">Table </w:t>
      </w:r>
      <w:r w:rsidR="0057331A">
        <w:rPr>
          <w:noProof/>
        </w:rPr>
        <w:t>1</w:t>
      </w:r>
      <w:r>
        <w:fldChar w:fldCharType="end"/>
      </w:r>
      <w:r>
        <w:t xml:space="preserve"> contains the corresponding coefficients of determination (R</w:t>
      </w:r>
      <w:r>
        <w:rPr>
          <w:vertAlign w:val="superscript"/>
        </w:rPr>
        <w:t>2</w:t>
      </w:r>
      <w:r>
        <w:t>) and Standardized Mean Square Error (SRMSE). The intensity of freight activity on the North Island justifies to some extent their relatively lower R</w:t>
      </w:r>
      <w:r>
        <w:rPr>
          <w:vertAlign w:val="superscript"/>
        </w:rPr>
        <w:t>2</w:t>
      </w:r>
      <w:r>
        <w:t>’s and higher SRMSE’s. Moreover, the concentration of activity around Auckland and Tauranga may have indirectly biased the fitting process for the remaining regions, meaning that potentially the fit can be improved either through the calibration of localized models or through the consideration of additional variables. In general, R</w:t>
      </w:r>
      <w:r>
        <w:rPr>
          <w:vertAlign w:val="superscript"/>
        </w:rPr>
        <w:t>2</w:t>
      </w:r>
      <w:r>
        <w:t xml:space="preserve">’s are fairly high which suggest that the matrices generated through iterative proportional fitting provide a reasonable explanation for retail movements.  </w:t>
      </w:r>
    </w:p>
    <w:p w14:paraId="3C6E3A93" w14:textId="67F3FF81" w:rsidR="004F6DA0" w:rsidRDefault="004F6DA0" w:rsidP="004F6DA0">
      <w:pPr>
        <w:pStyle w:val="Caption"/>
      </w:pPr>
    </w:p>
    <w:tbl>
      <w:tblPr>
        <w:tblStyle w:val="PlainTable2"/>
        <w:tblW w:w="0" w:type="auto"/>
        <w:jc w:val="center"/>
        <w:tblLook w:val="04A0" w:firstRow="1" w:lastRow="0" w:firstColumn="1" w:lastColumn="0" w:noHBand="0" w:noVBand="1"/>
      </w:tblPr>
      <w:tblGrid>
        <w:gridCol w:w="4680"/>
        <w:gridCol w:w="715"/>
        <w:gridCol w:w="999"/>
      </w:tblGrid>
      <w:tr w:rsidR="004F6DA0" w14:paraId="2BC1DCB2" w14:textId="77777777" w:rsidTr="008C73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bottom w:val="none" w:sz="0" w:space="0" w:color="auto"/>
            </w:tcBorders>
          </w:tcPr>
          <w:p w14:paraId="6BC9F39D" w14:textId="77777777" w:rsidR="004F6DA0" w:rsidRPr="00E15BFC" w:rsidRDefault="004F6DA0" w:rsidP="008C73C5">
            <w:r w:rsidRPr="00E15BFC">
              <w:t>Model</w:t>
            </w:r>
          </w:p>
        </w:tc>
        <w:tc>
          <w:tcPr>
            <w:tcW w:w="715" w:type="dxa"/>
            <w:tcBorders>
              <w:bottom w:val="none" w:sz="0" w:space="0" w:color="auto"/>
            </w:tcBorders>
          </w:tcPr>
          <w:p w14:paraId="3D93C28D" w14:textId="77777777" w:rsidR="004F6DA0" w:rsidRPr="00E15BFC" w:rsidRDefault="004F6DA0" w:rsidP="008C73C5">
            <w:pPr>
              <w:jc w:val="center"/>
              <w:cnfStyle w:val="100000000000" w:firstRow="1" w:lastRow="0" w:firstColumn="0" w:lastColumn="0" w:oddVBand="0" w:evenVBand="0" w:oddHBand="0" w:evenHBand="0" w:firstRowFirstColumn="0" w:firstRowLastColumn="0" w:lastRowFirstColumn="0" w:lastRowLastColumn="0"/>
              <w:rPr>
                <w:vertAlign w:val="superscript"/>
              </w:rPr>
            </w:pPr>
            <w:r w:rsidRPr="00E15BFC">
              <w:t>R</w:t>
            </w:r>
            <w:r w:rsidRPr="00E15BFC">
              <w:rPr>
                <w:vertAlign w:val="superscript"/>
              </w:rPr>
              <w:t>2</w:t>
            </w:r>
          </w:p>
        </w:tc>
        <w:tc>
          <w:tcPr>
            <w:tcW w:w="715" w:type="dxa"/>
            <w:tcBorders>
              <w:bottom w:val="none" w:sz="0" w:space="0" w:color="auto"/>
            </w:tcBorders>
          </w:tcPr>
          <w:p w14:paraId="689B6014" w14:textId="77777777" w:rsidR="004F6DA0" w:rsidRPr="00E15BFC" w:rsidRDefault="004F6DA0" w:rsidP="008C73C5">
            <w:pPr>
              <w:jc w:val="center"/>
              <w:cnfStyle w:val="100000000000" w:firstRow="1" w:lastRow="0" w:firstColumn="0" w:lastColumn="0" w:oddVBand="0" w:evenVBand="0" w:oddHBand="0" w:evenHBand="0" w:firstRowFirstColumn="0" w:firstRowLastColumn="0" w:lastRowFirstColumn="0" w:lastRowLastColumn="0"/>
            </w:pPr>
            <w:r>
              <w:t>SRMSE</w:t>
            </w:r>
          </w:p>
        </w:tc>
      </w:tr>
      <w:tr w:rsidR="004F6DA0" w14:paraId="5045E717" w14:textId="77777777" w:rsidTr="008C73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top w:val="none" w:sz="0" w:space="0" w:color="auto"/>
              <w:bottom w:val="none" w:sz="0" w:space="0" w:color="auto"/>
            </w:tcBorders>
          </w:tcPr>
          <w:p w14:paraId="473C750D" w14:textId="77777777" w:rsidR="004F6DA0" w:rsidRPr="00E15BFC" w:rsidRDefault="004F6DA0" w:rsidP="008C73C5">
            <w:pPr>
              <w:rPr>
                <w:b w:val="0"/>
              </w:rPr>
            </w:pPr>
            <w:r w:rsidRPr="00E15BFC">
              <w:rPr>
                <w:b w:val="0"/>
              </w:rPr>
              <w:t xml:space="preserve">Production Constrained North Island Timber </w:t>
            </w:r>
          </w:p>
        </w:tc>
        <w:tc>
          <w:tcPr>
            <w:tcW w:w="715" w:type="dxa"/>
            <w:tcBorders>
              <w:top w:val="none" w:sz="0" w:space="0" w:color="auto"/>
              <w:bottom w:val="none" w:sz="0" w:space="0" w:color="auto"/>
            </w:tcBorders>
          </w:tcPr>
          <w:p w14:paraId="75634C23" w14:textId="77777777" w:rsidR="004F6DA0" w:rsidRDefault="004F6DA0" w:rsidP="008C73C5">
            <w:pPr>
              <w:jc w:val="center"/>
              <w:cnfStyle w:val="000000100000" w:firstRow="0" w:lastRow="0" w:firstColumn="0" w:lastColumn="0" w:oddVBand="0" w:evenVBand="0" w:oddHBand="1" w:evenHBand="0" w:firstRowFirstColumn="0" w:firstRowLastColumn="0" w:lastRowFirstColumn="0" w:lastRowLastColumn="0"/>
            </w:pPr>
            <w:r>
              <w:t>0.75</w:t>
            </w:r>
          </w:p>
        </w:tc>
        <w:tc>
          <w:tcPr>
            <w:tcW w:w="715" w:type="dxa"/>
            <w:tcBorders>
              <w:top w:val="none" w:sz="0" w:space="0" w:color="auto"/>
              <w:bottom w:val="none" w:sz="0" w:space="0" w:color="auto"/>
            </w:tcBorders>
          </w:tcPr>
          <w:p w14:paraId="7D6CC170" w14:textId="77777777" w:rsidR="004F6DA0" w:rsidRDefault="004F6DA0" w:rsidP="008C73C5">
            <w:pPr>
              <w:jc w:val="center"/>
              <w:cnfStyle w:val="000000100000" w:firstRow="0" w:lastRow="0" w:firstColumn="0" w:lastColumn="0" w:oddVBand="0" w:evenVBand="0" w:oddHBand="1" w:evenHBand="0" w:firstRowFirstColumn="0" w:firstRowLastColumn="0" w:lastRowFirstColumn="0" w:lastRowLastColumn="0"/>
            </w:pPr>
            <w:r>
              <w:t>0.87</w:t>
            </w:r>
          </w:p>
        </w:tc>
      </w:tr>
      <w:tr w:rsidR="004F6DA0" w14:paraId="44BD7FF2" w14:textId="77777777" w:rsidTr="008C73C5">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24BF2B82" w14:textId="77777777" w:rsidR="004F6DA0" w:rsidRPr="00E15BFC" w:rsidRDefault="004F6DA0" w:rsidP="008C73C5">
            <w:pPr>
              <w:rPr>
                <w:b w:val="0"/>
              </w:rPr>
            </w:pPr>
            <w:r w:rsidRPr="00E15BFC">
              <w:rPr>
                <w:b w:val="0"/>
              </w:rPr>
              <w:t xml:space="preserve">Production Constrained South Island Timber </w:t>
            </w:r>
          </w:p>
        </w:tc>
        <w:tc>
          <w:tcPr>
            <w:tcW w:w="715" w:type="dxa"/>
          </w:tcPr>
          <w:p w14:paraId="54F4DF03" w14:textId="77777777" w:rsidR="004F6DA0" w:rsidRDefault="004F6DA0" w:rsidP="008C73C5">
            <w:pPr>
              <w:jc w:val="center"/>
              <w:cnfStyle w:val="000000000000" w:firstRow="0" w:lastRow="0" w:firstColumn="0" w:lastColumn="0" w:oddVBand="0" w:evenVBand="0" w:oddHBand="0" w:evenHBand="0" w:firstRowFirstColumn="0" w:firstRowLastColumn="0" w:lastRowFirstColumn="0" w:lastRowLastColumn="0"/>
            </w:pPr>
            <w:r>
              <w:t>0.88</w:t>
            </w:r>
          </w:p>
        </w:tc>
        <w:tc>
          <w:tcPr>
            <w:tcW w:w="715" w:type="dxa"/>
          </w:tcPr>
          <w:p w14:paraId="511C4630" w14:textId="77777777" w:rsidR="004F6DA0" w:rsidRDefault="004F6DA0" w:rsidP="008C73C5">
            <w:pPr>
              <w:jc w:val="center"/>
              <w:cnfStyle w:val="000000000000" w:firstRow="0" w:lastRow="0" w:firstColumn="0" w:lastColumn="0" w:oddVBand="0" w:evenVBand="0" w:oddHBand="0" w:evenHBand="0" w:firstRowFirstColumn="0" w:firstRowLastColumn="0" w:lastRowFirstColumn="0" w:lastRowLastColumn="0"/>
            </w:pPr>
            <w:r>
              <w:t>0.49</w:t>
            </w:r>
          </w:p>
        </w:tc>
      </w:tr>
      <w:tr w:rsidR="004F6DA0" w14:paraId="3D1AC281" w14:textId="77777777" w:rsidTr="008C73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top w:val="none" w:sz="0" w:space="0" w:color="auto"/>
              <w:bottom w:val="none" w:sz="0" w:space="0" w:color="auto"/>
            </w:tcBorders>
          </w:tcPr>
          <w:p w14:paraId="34E23EF5" w14:textId="77777777" w:rsidR="004F6DA0" w:rsidRPr="00E15BFC" w:rsidRDefault="004F6DA0" w:rsidP="008C73C5">
            <w:pPr>
              <w:rPr>
                <w:b w:val="0"/>
              </w:rPr>
            </w:pPr>
            <w:r w:rsidRPr="00E15BFC">
              <w:rPr>
                <w:b w:val="0"/>
              </w:rPr>
              <w:t>Production Constrained North Island Panel</w:t>
            </w:r>
          </w:p>
        </w:tc>
        <w:tc>
          <w:tcPr>
            <w:tcW w:w="715" w:type="dxa"/>
            <w:tcBorders>
              <w:top w:val="none" w:sz="0" w:space="0" w:color="auto"/>
              <w:bottom w:val="none" w:sz="0" w:space="0" w:color="auto"/>
            </w:tcBorders>
          </w:tcPr>
          <w:p w14:paraId="669600E3" w14:textId="77777777" w:rsidR="004F6DA0" w:rsidRDefault="004F6DA0" w:rsidP="008C73C5">
            <w:pPr>
              <w:jc w:val="center"/>
              <w:cnfStyle w:val="000000100000" w:firstRow="0" w:lastRow="0" w:firstColumn="0" w:lastColumn="0" w:oddVBand="0" w:evenVBand="0" w:oddHBand="1" w:evenHBand="0" w:firstRowFirstColumn="0" w:firstRowLastColumn="0" w:lastRowFirstColumn="0" w:lastRowLastColumn="0"/>
            </w:pPr>
            <w:r>
              <w:t>0.81</w:t>
            </w:r>
          </w:p>
        </w:tc>
        <w:tc>
          <w:tcPr>
            <w:tcW w:w="715" w:type="dxa"/>
            <w:tcBorders>
              <w:top w:val="none" w:sz="0" w:space="0" w:color="auto"/>
              <w:bottom w:val="none" w:sz="0" w:space="0" w:color="auto"/>
            </w:tcBorders>
          </w:tcPr>
          <w:p w14:paraId="23ACF409" w14:textId="77777777" w:rsidR="004F6DA0" w:rsidRDefault="004F6DA0" w:rsidP="008C73C5">
            <w:pPr>
              <w:jc w:val="center"/>
              <w:cnfStyle w:val="000000100000" w:firstRow="0" w:lastRow="0" w:firstColumn="0" w:lastColumn="0" w:oddVBand="0" w:evenVBand="0" w:oddHBand="1" w:evenHBand="0" w:firstRowFirstColumn="0" w:firstRowLastColumn="0" w:lastRowFirstColumn="0" w:lastRowLastColumn="0"/>
            </w:pPr>
            <w:r>
              <w:t>2.14</w:t>
            </w:r>
          </w:p>
        </w:tc>
      </w:tr>
      <w:tr w:rsidR="004F6DA0" w14:paraId="4282D615" w14:textId="77777777" w:rsidTr="008C73C5">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46A4A269" w14:textId="77777777" w:rsidR="004F6DA0" w:rsidRPr="00E15BFC" w:rsidRDefault="004F6DA0" w:rsidP="008C73C5">
            <w:pPr>
              <w:rPr>
                <w:b w:val="0"/>
              </w:rPr>
            </w:pPr>
            <w:r w:rsidRPr="00E15BFC">
              <w:rPr>
                <w:b w:val="0"/>
              </w:rPr>
              <w:t>Production Constrained South Island Panel</w:t>
            </w:r>
          </w:p>
        </w:tc>
        <w:tc>
          <w:tcPr>
            <w:tcW w:w="715" w:type="dxa"/>
          </w:tcPr>
          <w:p w14:paraId="34F75DED" w14:textId="77777777" w:rsidR="004F6DA0" w:rsidRDefault="004F6DA0" w:rsidP="008C73C5">
            <w:pPr>
              <w:jc w:val="center"/>
              <w:cnfStyle w:val="000000000000" w:firstRow="0" w:lastRow="0" w:firstColumn="0" w:lastColumn="0" w:oddVBand="0" w:evenVBand="0" w:oddHBand="0" w:evenHBand="0" w:firstRowFirstColumn="0" w:firstRowLastColumn="0" w:lastRowFirstColumn="0" w:lastRowLastColumn="0"/>
            </w:pPr>
            <w:r>
              <w:t>0.91</w:t>
            </w:r>
          </w:p>
        </w:tc>
        <w:tc>
          <w:tcPr>
            <w:tcW w:w="715" w:type="dxa"/>
          </w:tcPr>
          <w:p w14:paraId="10DB2764" w14:textId="77777777" w:rsidR="004F6DA0" w:rsidRDefault="004F6DA0" w:rsidP="008C73C5">
            <w:pPr>
              <w:jc w:val="center"/>
              <w:cnfStyle w:val="000000000000" w:firstRow="0" w:lastRow="0" w:firstColumn="0" w:lastColumn="0" w:oddVBand="0" w:evenVBand="0" w:oddHBand="0" w:evenHBand="0" w:firstRowFirstColumn="0" w:firstRowLastColumn="0" w:lastRowFirstColumn="0" w:lastRowLastColumn="0"/>
            </w:pPr>
            <w:r>
              <w:t>0.08</w:t>
            </w:r>
          </w:p>
        </w:tc>
      </w:tr>
    </w:tbl>
    <w:p w14:paraId="2CB28237" w14:textId="77777777" w:rsidR="00A6509F" w:rsidRDefault="00A6509F" w:rsidP="00D771D3">
      <w:pPr>
        <w:pStyle w:val="Caption"/>
      </w:pPr>
      <w:bookmarkStart w:id="22" w:name="_Ref15545780"/>
    </w:p>
    <w:p w14:paraId="426B9DE8" w14:textId="7726F5D9" w:rsidR="00D771D3" w:rsidRDefault="00A6509F" w:rsidP="00D771D3">
      <w:pPr>
        <w:pStyle w:val="Caption"/>
      </w:pPr>
      <w:r>
        <w:t xml:space="preserve">Table </w:t>
      </w:r>
      <w:r>
        <w:fldChar w:fldCharType="begin"/>
      </w:r>
      <w:r>
        <w:instrText xml:space="preserve"> SEQ Table \* ARABIC </w:instrText>
      </w:r>
      <w:r>
        <w:fldChar w:fldCharType="separate"/>
      </w:r>
      <w:r>
        <w:rPr>
          <w:noProof/>
        </w:rPr>
        <w:t>1</w:t>
      </w:r>
      <w:r>
        <w:rPr>
          <w:noProof/>
        </w:rPr>
        <w:fldChar w:fldCharType="end"/>
      </w:r>
      <w:bookmarkEnd w:id="22"/>
      <w:r>
        <w:t xml:space="preserve"> Model fit statistics          </w:t>
      </w:r>
    </w:p>
    <w:p w14:paraId="303BB45D" w14:textId="5313FB5F" w:rsidR="00D771D3" w:rsidRDefault="00D771D3" w:rsidP="00D771D3">
      <w:pPr>
        <w:rPr>
          <w:lang w:val="en-US"/>
        </w:rPr>
      </w:pPr>
    </w:p>
    <w:p w14:paraId="409F5D07" w14:textId="5F17410D" w:rsidR="00D771D3" w:rsidRDefault="00D771D3" w:rsidP="00D771D3">
      <w:pPr>
        <w:rPr>
          <w:lang w:val="en-US"/>
        </w:rPr>
      </w:pPr>
    </w:p>
    <w:p w14:paraId="1A277780" w14:textId="16FDAD3B" w:rsidR="00D771D3" w:rsidRDefault="00D771D3" w:rsidP="00D771D3">
      <w:pPr>
        <w:rPr>
          <w:lang w:val="en-US"/>
        </w:rPr>
      </w:pPr>
    </w:p>
    <w:p w14:paraId="1CEB6363" w14:textId="45790744" w:rsidR="00D771D3" w:rsidRDefault="00D771D3" w:rsidP="00D771D3">
      <w:pPr>
        <w:rPr>
          <w:lang w:val="en-US"/>
        </w:rPr>
      </w:pPr>
    </w:p>
    <w:p w14:paraId="4F188FD9" w14:textId="2BBA487B" w:rsidR="00D771D3" w:rsidRDefault="00D771D3" w:rsidP="00D771D3">
      <w:pPr>
        <w:rPr>
          <w:lang w:val="en-US"/>
        </w:rPr>
      </w:pPr>
    </w:p>
    <w:p w14:paraId="247B5DCB" w14:textId="60AB8EDD" w:rsidR="00D771D3" w:rsidRDefault="00D771D3" w:rsidP="00D771D3">
      <w:pPr>
        <w:rPr>
          <w:lang w:val="en-US"/>
        </w:rPr>
      </w:pPr>
    </w:p>
    <w:p w14:paraId="30948FEC" w14:textId="761365E9" w:rsidR="00D771D3" w:rsidRDefault="00D771D3" w:rsidP="00D771D3">
      <w:pPr>
        <w:rPr>
          <w:lang w:val="en-US"/>
        </w:rPr>
      </w:pPr>
    </w:p>
    <w:p w14:paraId="61398DAF" w14:textId="79B28BC3" w:rsidR="00D771D3" w:rsidRDefault="00D771D3" w:rsidP="00D771D3">
      <w:pPr>
        <w:rPr>
          <w:lang w:val="en-US"/>
        </w:rPr>
      </w:pPr>
    </w:p>
    <w:p w14:paraId="51A8A3E3" w14:textId="25BEE2E5" w:rsidR="00D771D3" w:rsidRDefault="00D771D3" w:rsidP="00D771D3">
      <w:pPr>
        <w:rPr>
          <w:lang w:val="en-US"/>
        </w:rPr>
      </w:pPr>
    </w:p>
    <w:p w14:paraId="27132BA2" w14:textId="063C3599" w:rsidR="00D771D3" w:rsidRDefault="00D771D3" w:rsidP="00D771D3">
      <w:pPr>
        <w:rPr>
          <w:lang w:val="en-US"/>
        </w:rPr>
      </w:pPr>
    </w:p>
    <w:p w14:paraId="4EE0ECB2" w14:textId="7DD8B39E" w:rsidR="00D771D3" w:rsidRDefault="00D771D3" w:rsidP="00D771D3">
      <w:pPr>
        <w:rPr>
          <w:lang w:val="en-US"/>
        </w:rPr>
      </w:pPr>
    </w:p>
    <w:p w14:paraId="7D6FAD1B" w14:textId="401A91F6" w:rsidR="00D771D3" w:rsidRDefault="00D771D3" w:rsidP="00D771D3">
      <w:pPr>
        <w:rPr>
          <w:lang w:val="en-US"/>
        </w:rPr>
      </w:pPr>
    </w:p>
    <w:p w14:paraId="565E712B" w14:textId="77777777" w:rsidR="00D771D3" w:rsidRPr="00D771D3" w:rsidRDefault="00D771D3" w:rsidP="00D771D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771D3" w14:paraId="598B9A65" w14:textId="77777777" w:rsidTr="00BF7BFD">
        <w:tc>
          <w:tcPr>
            <w:tcW w:w="4675" w:type="dxa"/>
          </w:tcPr>
          <w:p w14:paraId="749FB0B2" w14:textId="77777777" w:rsidR="00D771D3" w:rsidRDefault="00D771D3" w:rsidP="00BF7BFD">
            <w:pPr>
              <w:jc w:val="center"/>
            </w:pPr>
            <w:r w:rsidRPr="00D771D3">
              <w:rPr>
                <w:noProof/>
              </w:rPr>
              <w:lastRenderedPageBreak/>
              <w:drawing>
                <wp:inline distT="0" distB="0" distL="0" distR="0" wp14:anchorId="67B28204" wp14:editId="4632D215">
                  <wp:extent cx="2665562" cy="37708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0749" cy="3778201"/>
                          </a:xfrm>
                          <a:prstGeom prst="rect">
                            <a:avLst/>
                          </a:prstGeom>
                          <a:noFill/>
                          <a:ln>
                            <a:noFill/>
                          </a:ln>
                        </pic:spPr>
                      </pic:pic>
                    </a:graphicData>
                  </a:graphic>
                </wp:inline>
              </w:drawing>
            </w:r>
          </w:p>
          <w:p w14:paraId="2D4A80FF" w14:textId="77777777" w:rsidR="00D771D3" w:rsidRPr="00A34EB5" w:rsidRDefault="00D771D3" w:rsidP="00BF7BFD">
            <w:pPr>
              <w:jc w:val="center"/>
              <w:rPr>
                <w:b/>
              </w:rPr>
            </w:pPr>
            <w:r w:rsidRPr="00A34EB5">
              <w:rPr>
                <w:b/>
              </w:rPr>
              <w:t>a)</w:t>
            </w:r>
          </w:p>
        </w:tc>
        <w:tc>
          <w:tcPr>
            <w:tcW w:w="4675" w:type="dxa"/>
          </w:tcPr>
          <w:p w14:paraId="1E437282" w14:textId="77777777" w:rsidR="00D771D3" w:rsidRDefault="00D771D3" w:rsidP="00BF7BFD">
            <w:pPr>
              <w:jc w:val="center"/>
              <w:rPr>
                <w:b/>
              </w:rPr>
            </w:pPr>
            <w:r w:rsidRPr="00D771D3">
              <w:rPr>
                <w:b/>
                <w:noProof/>
              </w:rPr>
              <w:drawing>
                <wp:inline distT="0" distB="0" distL="0" distR="0" wp14:anchorId="26B2486C" wp14:editId="20911414">
                  <wp:extent cx="2674189" cy="3779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1014" cy="3788826"/>
                          </a:xfrm>
                          <a:prstGeom prst="rect">
                            <a:avLst/>
                          </a:prstGeom>
                          <a:noFill/>
                          <a:ln>
                            <a:noFill/>
                          </a:ln>
                        </pic:spPr>
                      </pic:pic>
                    </a:graphicData>
                  </a:graphic>
                </wp:inline>
              </w:drawing>
            </w:r>
          </w:p>
          <w:p w14:paraId="1C8C9DBA" w14:textId="77777777" w:rsidR="00D771D3" w:rsidRPr="00A34EB5" w:rsidRDefault="00D771D3" w:rsidP="00BF7BFD">
            <w:pPr>
              <w:jc w:val="center"/>
              <w:rPr>
                <w:b/>
              </w:rPr>
            </w:pPr>
            <w:r w:rsidRPr="00A34EB5">
              <w:rPr>
                <w:b/>
              </w:rPr>
              <w:t>b)</w:t>
            </w:r>
          </w:p>
        </w:tc>
      </w:tr>
      <w:tr w:rsidR="00D771D3" w14:paraId="2D927C2C" w14:textId="77777777" w:rsidTr="00BF7BFD">
        <w:tc>
          <w:tcPr>
            <w:tcW w:w="4675" w:type="dxa"/>
          </w:tcPr>
          <w:p w14:paraId="5BAF0CE0" w14:textId="77777777" w:rsidR="00D771D3" w:rsidRDefault="00D771D3" w:rsidP="00BF7BFD">
            <w:pPr>
              <w:jc w:val="center"/>
            </w:pPr>
            <w:r w:rsidRPr="002C0851">
              <w:rPr>
                <w:noProof/>
              </w:rPr>
              <w:drawing>
                <wp:inline distT="0" distB="0" distL="0" distR="0" wp14:anchorId="78BC099F" wp14:editId="60CA081A">
                  <wp:extent cx="2647950" cy="3743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1367" cy="3777099"/>
                          </a:xfrm>
                          <a:prstGeom prst="rect">
                            <a:avLst/>
                          </a:prstGeom>
                          <a:noFill/>
                          <a:ln>
                            <a:noFill/>
                          </a:ln>
                        </pic:spPr>
                      </pic:pic>
                    </a:graphicData>
                  </a:graphic>
                </wp:inline>
              </w:drawing>
            </w:r>
          </w:p>
          <w:p w14:paraId="658DD4B3" w14:textId="77777777" w:rsidR="00D771D3" w:rsidRPr="00A34EB5" w:rsidRDefault="00D771D3" w:rsidP="00BF7BFD">
            <w:pPr>
              <w:jc w:val="center"/>
              <w:rPr>
                <w:b/>
              </w:rPr>
            </w:pPr>
            <w:r w:rsidRPr="00A34EB5">
              <w:rPr>
                <w:b/>
              </w:rPr>
              <w:t>c)</w:t>
            </w:r>
          </w:p>
        </w:tc>
        <w:tc>
          <w:tcPr>
            <w:tcW w:w="4675" w:type="dxa"/>
          </w:tcPr>
          <w:p w14:paraId="0D25C361" w14:textId="77777777" w:rsidR="00D771D3" w:rsidRDefault="00D771D3" w:rsidP="00BF7BFD">
            <w:pPr>
              <w:jc w:val="center"/>
            </w:pPr>
            <w:r w:rsidRPr="00D771D3">
              <w:rPr>
                <w:noProof/>
              </w:rPr>
              <w:drawing>
                <wp:inline distT="0" distB="0" distL="0" distR="0" wp14:anchorId="41A5CAA7" wp14:editId="105C3027">
                  <wp:extent cx="2649267" cy="3743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93" cy="3755585"/>
                          </a:xfrm>
                          <a:prstGeom prst="rect">
                            <a:avLst/>
                          </a:prstGeom>
                          <a:noFill/>
                          <a:ln>
                            <a:noFill/>
                          </a:ln>
                        </pic:spPr>
                      </pic:pic>
                    </a:graphicData>
                  </a:graphic>
                </wp:inline>
              </w:drawing>
            </w:r>
          </w:p>
          <w:p w14:paraId="7CC50660" w14:textId="77777777" w:rsidR="00D771D3" w:rsidRPr="00A34EB5" w:rsidRDefault="00D771D3" w:rsidP="00BF7BFD">
            <w:pPr>
              <w:jc w:val="center"/>
              <w:rPr>
                <w:b/>
              </w:rPr>
            </w:pPr>
            <w:r w:rsidRPr="00A34EB5">
              <w:rPr>
                <w:b/>
              </w:rPr>
              <w:t>d)</w:t>
            </w:r>
          </w:p>
        </w:tc>
      </w:tr>
    </w:tbl>
    <w:p w14:paraId="33C15FBB" w14:textId="77777777" w:rsidR="009B7138" w:rsidRDefault="009B7138" w:rsidP="00D771D3">
      <w:pPr>
        <w:pStyle w:val="Caption"/>
      </w:pPr>
      <w:bookmarkStart w:id="23" w:name="_Ref15394096"/>
      <w:bookmarkStart w:id="24" w:name="_Ref15548134"/>
    </w:p>
    <w:p w14:paraId="485BC1D0" w14:textId="31F233FE" w:rsidR="004F6DA0" w:rsidRDefault="004F6DA0" w:rsidP="00D771D3">
      <w:pPr>
        <w:pStyle w:val="Caption"/>
      </w:pPr>
      <w:r>
        <w:t xml:space="preserve">Figure </w:t>
      </w:r>
      <w:r>
        <w:fldChar w:fldCharType="begin"/>
      </w:r>
      <w:r>
        <w:instrText xml:space="preserve"> SEQ Figure \* ARABIC </w:instrText>
      </w:r>
      <w:r>
        <w:fldChar w:fldCharType="separate"/>
      </w:r>
      <w:r w:rsidR="0057331A">
        <w:rPr>
          <w:noProof/>
        </w:rPr>
        <w:t>4</w:t>
      </w:r>
      <w:r>
        <w:rPr>
          <w:noProof/>
        </w:rPr>
        <w:fldChar w:fldCharType="end"/>
      </w:r>
      <w:bookmarkEnd w:id="23"/>
      <w:bookmarkEnd w:id="24"/>
      <w:r>
        <w:t xml:space="preserve"> a) Log Movements b) Timber Movements and Mean Percentage Error for Arrivals by Region c) Panel Movements d) Pulp For-Exports movements. Units in tonnes.</w:t>
      </w:r>
      <w:r>
        <w:br w:type="page"/>
      </w:r>
    </w:p>
    <w:p w14:paraId="0327136B" w14:textId="77777777" w:rsidR="004F6DA0" w:rsidRDefault="004F6DA0" w:rsidP="004F6DA0">
      <w:pPr>
        <w:pStyle w:val="Heading2"/>
      </w:pPr>
      <w:bookmarkStart w:id="25" w:name="_Ref20238334"/>
      <w:r>
        <w:lastRenderedPageBreak/>
        <w:t>Conclusions</w:t>
      </w:r>
      <w:bookmarkEnd w:id="25"/>
    </w:p>
    <w:p w14:paraId="4F95D40E" w14:textId="77777777" w:rsidR="0094582F" w:rsidRDefault="004F6DA0" w:rsidP="0094582F">
      <w:r>
        <w:t xml:space="preserve">The </w:t>
      </w:r>
      <w:r w:rsidR="007B0C77">
        <w:t>modelling</w:t>
      </w:r>
      <w:r>
        <w:t xml:space="preserve"> approach chosen in this paper has been the result of integrating different methods in order to cope with limitations on shipment data availability. We acknowledge that this approach may not be replicable for other sectors as it strongly relies on information that is exclusive to the forestry sector. Nevertheless, we recognize that the approach can be of interest to industries from the agriculture sector, specifically dairy, fruit and horticulture industries, as New Zealand </w:t>
      </w:r>
      <w:r w:rsidR="00156E5F">
        <w:t>has</w:t>
      </w:r>
      <w:r>
        <w:t xml:space="preserve"> a robust geodatabase that covers land use data for the aforementioned industries. Moreover, these sectors are relevant to the New Zealand economy, and it is very likely that trade, production and export statistics are updated periodically by pertinent entities like Dairy NZ and the Horticulture Export Authority.</w:t>
      </w:r>
      <w:r w:rsidR="001E7C9C">
        <w:t xml:space="preserve"> </w:t>
      </w:r>
      <w:r w:rsidR="0094582F">
        <w:t>Further work can contemplate additional variables, alternative objective functions and include constrains to reflect commodity specific needs on perishability, shipping time, and inventory costs</w:t>
      </w:r>
      <w:bookmarkStart w:id="26" w:name="_GoBack"/>
      <w:bookmarkEnd w:id="26"/>
      <w:r w:rsidR="0094582F">
        <w:t xml:space="preserve">. </w:t>
      </w:r>
    </w:p>
    <w:p w14:paraId="4CC833DC" w14:textId="77777777" w:rsidR="007354C8" w:rsidRDefault="007354C8" w:rsidP="004F6DA0"/>
    <w:p w14:paraId="3ACAE09E" w14:textId="57E9D6C5" w:rsidR="004F6DA0" w:rsidRDefault="004F6DA0" w:rsidP="004F6DA0">
      <w:r>
        <w:t xml:space="preserve">The </w:t>
      </w:r>
      <w:r w:rsidR="00156E5F">
        <w:t>starting</w:t>
      </w:r>
      <w:r>
        <w:t xml:space="preserve"> point of our work was the geographic representation of the involved origins and destinations. This information along with the estimated </w:t>
      </w:r>
      <w:r w:rsidR="007354C8">
        <w:t>OD</w:t>
      </w:r>
      <w:r>
        <w:t xml:space="preserve"> matrices constitute a valuable asset for complementary models. Specifically, data derived from this study has the potential to become an input to GIS based location analyses that can support the identification of </w:t>
      </w:r>
      <w:r w:rsidR="00156E5F">
        <w:t>transhipment</w:t>
      </w:r>
      <w:r>
        <w:t xml:space="preserve"> facilities that can promote the participation of more efficient modes of transportation.      </w:t>
      </w:r>
    </w:p>
    <w:p w14:paraId="3BC79910" w14:textId="77777777" w:rsidR="004533CB" w:rsidRDefault="004533CB" w:rsidP="004F6DA0"/>
    <w:p w14:paraId="1417CE0E" w14:textId="4CAD9F5D" w:rsidR="004F6DA0" w:rsidRDefault="004F6DA0" w:rsidP="004F6DA0">
      <w:r>
        <w:t xml:space="preserve">A new generation of transport models is embracing a </w:t>
      </w:r>
      <w:r w:rsidR="00156E5F">
        <w:t>multi-layered</w:t>
      </w:r>
      <w:r>
        <w:t xml:space="preserve"> conceptualization of underlying supply chain dynamics. A highlight of this concept is the opportunity to study how different interventions can affect the decisions of freight agents within a network, and subsequently, how these decisions can lead to different supply chain dynamics and distribution structures. Moreover, when the </w:t>
      </w:r>
      <w:r w:rsidR="00156E5F">
        <w:t>modelling</w:t>
      </w:r>
      <w:r>
        <w:t xml:space="preserve"> approaches incorporate environmental constraints, the role of </w:t>
      </w:r>
      <w:r w:rsidR="00156E5F">
        <w:t>transhipment</w:t>
      </w:r>
      <w:r>
        <w:t xml:space="preserve"> facilities may evolve, as these would potentially prioritize freight consolidation over inventory costs.   </w:t>
      </w:r>
    </w:p>
    <w:p w14:paraId="4579C50C" w14:textId="77777777" w:rsidR="004533CB" w:rsidRDefault="004533CB" w:rsidP="004F6DA0"/>
    <w:p w14:paraId="7048B045" w14:textId="59F5CB01" w:rsidR="004F6DA0" w:rsidRDefault="004F6DA0" w:rsidP="004F6DA0">
      <w:r>
        <w:t xml:space="preserve">The maps on </w:t>
      </w:r>
      <w:r>
        <w:fldChar w:fldCharType="begin"/>
      </w:r>
      <w:r>
        <w:instrText xml:space="preserve"> REF _Ref15548134 \h </w:instrText>
      </w:r>
      <w:r>
        <w:fldChar w:fldCharType="separate"/>
      </w:r>
      <w:r w:rsidR="0057331A">
        <w:t xml:space="preserve">Figure </w:t>
      </w:r>
      <w:r w:rsidR="0057331A">
        <w:rPr>
          <w:noProof/>
        </w:rPr>
        <w:t>4</w:t>
      </w:r>
      <w:r>
        <w:fldChar w:fldCharType="end"/>
      </w:r>
      <w:r>
        <w:t xml:space="preserve"> provide a graphical representation for nine firm-to-firm OD matrices from forestry related commodities. The maps also include the relevant origins and destinations. The data generated from this study will </w:t>
      </w:r>
      <w:r w:rsidR="007B0C77">
        <w:t>fulfil</w:t>
      </w:r>
      <w:r>
        <w:t xml:space="preserve"> two main purposes. First, the origins and destinations in conjunction with the network datasets are going to be used in a multi-criteria evaluation analysis for selection of potential freight village locations, similar to that presented in </w:t>
      </w:r>
      <w:r>
        <w:fldChar w:fldCharType="begin"/>
      </w:r>
      <w:r>
        <w:instrText xml:space="preserve"> ADDIN EN.CITE &lt;EndNote&gt;&lt;Cite&gt;&lt;Author&gt;Özceylan&lt;/Author&gt;&lt;Year&gt;2016&lt;/Year&gt;&lt;RecNum&gt;248&lt;/RecNum&gt;&lt;DisplayText&gt;(Özceylan et al., 2016)&lt;/DisplayText&gt;&lt;record&gt;&lt;rec-number&gt;248&lt;/rec-number&gt;&lt;foreign-keys&gt;&lt;key app="EN" db-id="t2tttt5z4vw0z3etadq5px5k0a5wraw2d092" timestamp="1564630950"&gt;248&lt;/key&gt;&lt;/foreign-keys&gt;&lt;ref-type name="Journal Article"&gt;17&lt;/ref-type&gt;&lt;contributors&gt;&lt;authors&gt;&lt;author&gt;Özceylan, Eren&lt;/author&gt;&lt;author&gt;Erbaş, Mehmet&lt;/author&gt;&lt;author&gt;Tolon, Mert&lt;/author&gt;&lt;author&gt;Kabak, Mehmet&lt;/author&gt;&lt;author&gt;Durğut, Temel&lt;/author&gt;&lt;/authors&gt;&lt;/contributors&gt;&lt;titles&gt;&lt;title&gt;Evaluation of freight villages: A GIS-based multi-criteria decision analysis&lt;/title&gt;&lt;secondary-title&gt;Computers in Industry&lt;/secondary-title&gt;&lt;/titles&gt;&lt;periodical&gt;&lt;full-title&gt;Computers in Industry&lt;/full-title&gt;&lt;/periodical&gt;&lt;pages&gt;38-52&lt;/pages&gt;&lt;volume&gt;76&lt;/volume&gt;&lt;keywords&gt;&lt;keyword&gt;ANP&lt;/keyword&gt;&lt;keyword&gt;Case study&lt;/keyword&gt;&lt;keyword&gt;Evaluation&lt;/keyword&gt;&lt;keyword&gt;Freight village&lt;/keyword&gt;&lt;keyword&gt;Geographic information system&lt;/keyword&gt;&lt;keyword&gt;TOPSIS&lt;/keyword&gt;&lt;/keywords&gt;&lt;dates&gt;&lt;year&gt;2016&lt;/year&gt;&lt;pub-dates&gt;&lt;date&gt;2016/02/01/&lt;/date&gt;&lt;/pub-dates&gt;&lt;/dates&gt;&lt;isbn&gt;0166-3615&lt;/isbn&gt;&lt;urls&gt;&lt;related-urls&gt;&lt;url&gt;http://www.sciencedirect.com/science/article/pii/S016636151530066X&lt;/url&gt;&lt;/related-urls&gt;&lt;/urls&gt;&lt;electronic-resource-num&gt;https://doi.org/10.1016/j.compind.2015.12.003&lt;/electronic-resource-num&gt;&lt;/record&gt;&lt;/Cite&gt;&lt;/EndNote&gt;</w:instrText>
      </w:r>
      <w:r>
        <w:fldChar w:fldCharType="separate"/>
      </w:r>
      <w:r>
        <w:rPr>
          <w:noProof/>
        </w:rPr>
        <w:t>(Özceylan et al., 2016)</w:t>
      </w:r>
      <w:r>
        <w:fldChar w:fldCharType="end"/>
      </w:r>
      <w:r>
        <w:t xml:space="preserve">. Second, data from the OD matrices will be used to arrange a set of shipment orders within a discrete event simulation framework for the assessment of freight transport infrastructure capacity. The level of detail achieved with our method is appropriate, as shipments will take place between different facility types represented by agents. Our aim is also to explore the synergies that can be established between different supply chains, </w:t>
      </w:r>
      <w:r w:rsidR="007B0C77">
        <w:t xml:space="preserve">given this methodology may be applied to other sectors. </w:t>
      </w:r>
    </w:p>
    <w:p w14:paraId="2F9F4852" w14:textId="77777777" w:rsidR="00842C01" w:rsidRDefault="00842C01" w:rsidP="00842C01">
      <w:pPr>
        <w:pStyle w:val="Heading1"/>
      </w:pPr>
      <w:r>
        <w:t>Author Contribution</w:t>
      </w:r>
      <w:r w:rsidR="00B86932">
        <w:t xml:space="preserve"> Statement</w:t>
      </w:r>
    </w:p>
    <w:p w14:paraId="0CA63202" w14:textId="77777777" w:rsidR="00B86932" w:rsidRDefault="00B86932" w:rsidP="00B86932">
      <w:pPr>
        <w:rPr>
          <w:lang w:val="en-US"/>
        </w:rPr>
      </w:pPr>
      <w:r>
        <w:rPr>
          <w:lang w:val="en-US"/>
        </w:rPr>
        <w:t>Patricio Gallardo</w:t>
      </w:r>
    </w:p>
    <w:p w14:paraId="5ED91D63" w14:textId="77777777" w:rsidR="00B86932" w:rsidRDefault="00B86932" w:rsidP="00B86932">
      <w:pPr>
        <w:ind w:left="720"/>
        <w:rPr>
          <w:rFonts w:cs="Arial"/>
          <w:szCs w:val="22"/>
        </w:rPr>
      </w:pPr>
      <w:r>
        <w:rPr>
          <w:rFonts w:cs="Arial"/>
          <w:szCs w:val="22"/>
        </w:rPr>
        <w:t>D</w:t>
      </w:r>
      <w:r w:rsidRPr="00DF6DE3">
        <w:rPr>
          <w:rFonts w:cs="Arial"/>
          <w:szCs w:val="22"/>
        </w:rPr>
        <w:t>ata collection and compilation, data analysis, lead literature review, development of ideas/thoughts, interpretation of results, principal author, prepared and reviewed the paper.</w:t>
      </w:r>
    </w:p>
    <w:p w14:paraId="4A4954AD" w14:textId="77777777" w:rsidR="00B86932" w:rsidRDefault="00B86932" w:rsidP="00B86932">
      <w:pPr>
        <w:rPr>
          <w:rFonts w:cs="Arial"/>
          <w:szCs w:val="22"/>
        </w:rPr>
      </w:pPr>
      <w:r>
        <w:rPr>
          <w:rFonts w:cs="Arial"/>
          <w:szCs w:val="22"/>
        </w:rPr>
        <w:t>Susan Krumdieck</w:t>
      </w:r>
    </w:p>
    <w:p w14:paraId="7A425865" w14:textId="77777777" w:rsidR="00B86932" w:rsidRDefault="00B86932" w:rsidP="00B86932">
      <w:pPr>
        <w:ind w:left="720"/>
        <w:rPr>
          <w:rFonts w:cs="Arial"/>
          <w:szCs w:val="22"/>
        </w:rPr>
      </w:pPr>
      <w:r>
        <w:rPr>
          <w:rFonts w:cs="Arial"/>
          <w:szCs w:val="22"/>
        </w:rPr>
        <w:t xml:space="preserve">Project leader, secondary author, </w:t>
      </w:r>
      <w:r w:rsidRPr="00DF6DE3">
        <w:rPr>
          <w:rFonts w:cs="Arial"/>
          <w:szCs w:val="22"/>
        </w:rPr>
        <w:t>development of ideas/thoughts</w:t>
      </w:r>
      <w:r>
        <w:rPr>
          <w:rFonts w:cs="Arial"/>
          <w:szCs w:val="22"/>
        </w:rPr>
        <w:t xml:space="preserve">, </w:t>
      </w:r>
      <w:r w:rsidRPr="00DF6DE3">
        <w:rPr>
          <w:rFonts w:cs="Arial"/>
          <w:szCs w:val="22"/>
        </w:rPr>
        <w:t>interpretation of results</w:t>
      </w:r>
      <w:r>
        <w:rPr>
          <w:rFonts w:cs="Arial"/>
          <w:szCs w:val="22"/>
        </w:rPr>
        <w:t xml:space="preserve">, </w:t>
      </w:r>
      <w:r w:rsidR="00DE49BF">
        <w:rPr>
          <w:rFonts w:cs="Arial"/>
          <w:szCs w:val="22"/>
        </w:rPr>
        <w:t xml:space="preserve">prepared and </w:t>
      </w:r>
      <w:r w:rsidRPr="00DF6DE3">
        <w:rPr>
          <w:rFonts w:cs="Arial"/>
          <w:szCs w:val="22"/>
        </w:rPr>
        <w:t>reviewed the paper</w:t>
      </w:r>
    </w:p>
    <w:p w14:paraId="4931EA29" w14:textId="77777777" w:rsidR="007B0C77" w:rsidRDefault="007B0C77" w:rsidP="007B0C77">
      <w:pPr>
        <w:rPr>
          <w:lang w:val="en-US"/>
        </w:rPr>
      </w:pPr>
      <w:r>
        <w:rPr>
          <w:lang w:val="en-US"/>
        </w:rPr>
        <w:t>Daniel Bishop</w:t>
      </w:r>
    </w:p>
    <w:p w14:paraId="1AF0FA98" w14:textId="3A927662" w:rsidR="007B0C77" w:rsidRDefault="007B0C77" w:rsidP="007B0C77">
      <w:pPr>
        <w:ind w:left="720"/>
        <w:rPr>
          <w:rFonts w:cs="Arial"/>
          <w:szCs w:val="22"/>
        </w:rPr>
      </w:pPr>
      <w:r>
        <w:rPr>
          <w:rFonts w:cs="Arial"/>
          <w:szCs w:val="22"/>
        </w:rPr>
        <w:t xml:space="preserve">Secondary author, prepared and </w:t>
      </w:r>
      <w:r w:rsidRPr="00DF6DE3">
        <w:rPr>
          <w:rFonts w:cs="Arial"/>
          <w:szCs w:val="22"/>
        </w:rPr>
        <w:t>reviewed the paper</w:t>
      </w:r>
    </w:p>
    <w:p w14:paraId="5E461BF1" w14:textId="783AA518" w:rsidR="00B86932" w:rsidRDefault="00B86932" w:rsidP="00B86932">
      <w:pPr>
        <w:rPr>
          <w:rFonts w:cs="Arial"/>
          <w:szCs w:val="22"/>
        </w:rPr>
      </w:pPr>
      <w:r>
        <w:rPr>
          <w:rFonts w:cs="Arial"/>
          <w:szCs w:val="22"/>
        </w:rPr>
        <w:t>Rua Murray</w:t>
      </w:r>
    </w:p>
    <w:p w14:paraId="42AAD321" w14:textId="33C05B78" w:rsidR="00B86932" w:rsidRDefault="00B86932" w:rsidP="00B86932">
      <w:pPr>
        <w:ind w:left="720"/>
        <w:rPr>
          <w:rFonts w:cs="Arial"/>
          <w:szCs w:val="22"/>
        </w:rPr>
      </w:pPr>
      <w:r>
        <w:rPr>
          <w:rFonts w:cs="Arial"/>
          <w:szCs w:val="22"/>
        </w:rPr>
        <w:t xml:space="preserve">Secondary author, </w:t>
      </w:r>
      <w:r w:rsidRPr="00DF6DE3">
        <w:rPr>
          <w:rFonts w:cs="Arial"/>
          <w:szCs w:val="22"/>
        </w:rPr>
        <w:t>development of ideas/thoughts</w:t>
      </w:r>
    </w:p>
    <w:p w14:paraId="739A7E05" w14:textId="5B320460" w:rsidR="00EC3488" w:rsidRDefault="00EC3488" w:rsidP="00EC3488">
      <w:pPr>
        <w:rPr>
          <w:rFonts w:cs="Arial"/>
          <w:szCs w:val="22"/>
        </w:rPr>
      </w:pPr>
    </w:p>
    <w:p w14:paraId="74588516" w14:textId="77777777" w:rsidR="0094582F" w:rsidRPr="0076138D" w:rsidRDefault="0094582F" w:rsidP="0094582F">
      <w:pPr>
        <w:pStyle w:val="Heading1"/>
      </w:pPr>
      <w:r w:rsidRPr="0076138D">
        <w:t>Acknowledgements</w:t>
      </w:r>
    </w:p>
    <w:p w14:paraId="02F6A238" w14:textId="7D89BB6B" w:rsidR="0094582F" w:rsidRPr="0094582F" w:rsidRDefault="0094582F" w:rsidP="0094582F">
      <w:r w:rsidRPr="0094582F">
        <w:t>The authors would like to express their appreciation to the anonymous reviewers as their comments helped improve the overall quality of the paper. Patricio Gallardo and Daniel Bishop are PhD Candidates at the University of Canterbury, and they would like to thank their sponsors, University of Canterbury and Dr. Ngau Boon Keat for their financial support.</w:t>
      </w:r>
    </w:p>
    <w:p w14:paraId="08E18739" w14:textId="77777777" w:rsidR="004F6DA0" w:rsidRDefault="004F6DA0" w:rsidP="004F6DA0">
      <w:pPr>
        <w:pStyle w:val="Heading2"/>
        <w:numPr>
          <w:ilvl w:val="0"/>
          <w:numId w:val="0"/>
        </w:numPr>
        <w:ind w:left="432" w:hanging="432"/>
      </w:pPr>
      <w:r>
        <w:lastRenderedPageBreak/>
        <w:t xml:space="preserve">References     </w:t>
      </w:r>
    </w:p>
    <w:p w14:paraId="561F1833" w14:textId="77777777" w:rsidR="00895C3D" w:rsidRPr="00895C3D" w:rsidRDefault="004F6DA0" w:rsidP="00895C3D">
      <w:pPr>
        <w:pStyle w:val="EndNoteBibliography"/>
        <w:spacing w:after="0"/>
        <w:ind w:left="720" w:hanging="720"/>
      </w:pPr>
      <w:r>
        <w:fldChar w:fldCharType="begin"/>
      </w:r>
      <w:r>
        <w:instrText xml:space="preserve"> ADDIN EN.REFLIST </w:instrText>
      </w:r>
      <w:r>
        <w:fldChar w:fldCharType="separate"/>
      </w:r>
      <w:r w:rsidR="00895C3D" w:rsidRPr="00895C3D">
        <w:t xml:space="preserve">BAINDUR, D. &amp; VIEGAS, J. M. 2011. An agent based model concept for assessing modal share in inter-regional freight transport markets. </w:t>
      </w:r>
      <w:r w:rsidR="00895C3D" w:rsidRPr="00895C3D">
        <w:rPr>
          <w:i/>
        </w:rPr>
        <w:t>Journal of Transport Geography,</w:t>
      </w:r>
      <w:r w:rsidR="00895C3D" w:rsidRPr="00895C3D">
        <w:t xml:space="preserve"> 19</w:t>
      </w:r>
      <w:r w:rsidR="00895C3D" w:rsidRPr="00895C3D">
        <w:rPr>
          <w:b/>
        </w:rPr>
        <w:t>,</w:t>
      </w:r>
      <w:r w:rsidR="00895C3D" w:rsidRPr="00895C3D">
        <w:t xml:space="preserve"> 1093-1105.</w:t>
      </w:r>
    </w:p>
    <w:p w14:paraId="3E923E89" w14:textId="77777777" w:rsidR="00895C3D" w:rsidRPr="00895C3D" w:rsidRDefault="00895C3D" w:rsidP="00895C3D">
      <w:pPr>
        <w:pStyle w:val="EndNoteBibliography"/>
        <w:spacing w:after="0"/>
        <w:ind w:left="720" w:hanging="720"/>
      </w:pPr>
      <w:r w:rsidRPr="00895C3D">
        <w:t xml:space="preserve">BEN-AKIVA, M. &amp; DE JONG, G. 2013. The aggregate-disaggregate-aggregate (ADA) freight model system. </w:t>
      </w:r>
      <w:r w:rsidRPr="00895C3D">
        <w:rPr>
          <w:i/>
        </w:rPr>
        <w:t>Freight Transport Modelling.</w:t>
      </w:r>
      <w:r w:rsidRPr="00895C3D">
        <w:t xml:space="preserve"> Emerald Group Publishing Limited.</w:t>
      </w:r>
    </w:p>
    <w:p w14:paraId="467124F5" w14:textId="77777777" w:rsidR="00895C3D" w:rsidRPr="00895C3D" w:rsidRDefault="00895C3D" w:rsidP="00895C3D">
      <w:pPr>
        <w:pStyle w:val="EndNoteBibliography"/>
        <w:spacing w:after="0"/>
        <w:ind w:left="720" w:hanging="720"/>
      </w:pPr>
      <w:r w:rsidRPr="00895C3D">
        <w:t xml:space="preserve">BEN-AKIVA, M. E., TOLEDO, T., SANTOS, J., COX, N., ZHAO, F., LEE, Y. J. &amp; MARZANO, V. 2016. Freight data collection using GPS and web-based surveys: Insights from US truck drivers' survey and perspectives for urban freight. </w:t>
      </w:r>
      <w:r w:rsidRPr="00895C3D">
        <w:rPr>
          <w:i/>
        </w:rPr>
        <w:t>Case Studies on Transport Policy,</w:t>
      </w:r>
      <w:r w:rsidRPr="00895C3D">
        <w:t xml:space="preserve"> 4</w:t>
      </w:r>
      <w:r w:rsidRPr="00895C3D">
        <w:rPr>
          <w:b/>
        </w:rPr>
        <w:t>,</w:t>
      </w:r>
      <w:r w:rsidRPr="00895C3D">
        <w:t xml:space="preserve"> 38-44.</w:t>
      </w:r>
    </w:p>
    <w:p w14:paraId="69FC6A74" w14:textId="77777777" w:rsidR="00895C3D" w:rsidRPr="00895C3D" w:rsidRDefault="00895C3D" w:rsidP="00895C3D">
      <w:pPr>
        <w:pStyle w:val="EndNoteBibliography"/>
        <w:spacing w:after="0"/>
        <w:ind w:left="720" w:hanging="720"/>
      </w:pPr>
      <w:r w:rsidRPr="00895C3D">
        <w:t xml:space="preserve">BRIMBERG, J., HANSEN, P., MLADONOVIC, N. &amp; SALHI, S. 2008. A survey of solution methods for the continuous location allocation problem. </w:t>
      </w:r>
      <w:r w:rsidRPr="00895C3D">
        <w:rPr>
          <w:i/>
        </w:rPr>
        <w:t>International Journal of Operations Research,</w:t>
      </w:r>
      <w:r w:rsidRPr="00895C3D">
        <w:t xml:space="preserve"> 5</w:t>
      </w:r>
      <w:r w:rsidRPr="00895C3D">
        <w:rPr>
          <w:b/>
        </w:rPr>
        <w:t>,</w:t>
      </w:r>
      <w:r w:rsidRPr="00895C3D">
        <w:t xml:space="preserve"> 1-12.</w:t>
      </w:r>
    </w:p>
    <w:p w14:paraId="1C9FD27C" w14:textId="77777777" w:rsidR="00895C3D" w:rsidRPr="00895C3D" w:rsidRDefault="00895C3D" w:rsidP="00895C3D">
      <w:pPr>
        <w:pStyle w:val="EndNoteBibliography"/>
        <w:spacing w:after="0"/>
        <w:ind w:left="720" w:hanging="720"/>
      </w:pPr>
      <w:r w:rsidRPr="00895C3D">
        <w:t xml:space="preserve">COOPER, L. 1963. Location-Allocation Problems. </w:t>
      </w:r>
      <w:r w:rsidRPr="00895C3D">
        <w:rPr>
          <w:i/>
        </w:rPr>
        <w:t>Operations Research,</w:t>
      </w:r>
      <w:r w:rsidRPr="00895C3D">
        <w:t xml:space="preserve"> 11</w:t>
      </w:r>
      <w:r w:rsidRPr="00895C3D">
        <w:rPr>
          <w:b/>
        </w:rPr>
        <w:t>,</w:t>
      </w:r>
      <w:r w:rsidRPr="00895C3D">
        <w:t xml:space="preserve"> 331-343.</w:t>
      </w:r>
    </w:p>
    <w:p w14:paraId="3F60941A" w14:textId="77777777" w:rsidR="00895C3D" w:rsidRPr="00895C3D" w:rsidRDefault="00895C3D" w:rsidP="00895C3D">
      <w:pPr>
        <w:pStyle w:val="EndNoteBibliography"/>
        <w:spacing w:after="0"/>
        <w:ind w:left="720" w:hanging="720"/>
      </w:pPr>
      <w:r w:rsidRPr="00895C3D">
        <w:t xml:space="preserve">COOPER, L. 1972. The transportation-location problem. </w:t>
      </w:r>
      <w:r w:rsidRPr="00895C3D">
        <w:rPr>
          <w:i/>
        </w:rPr>
        <w:t>Operations Research,</w:t>
      </w:r>
      <w:r w:rsidRPr="00895C3D">
        <w:t xml:space="preserve"> 20</w:t>
      </w:r>
      <w:r w:rsidRPr="00895C3D">
        <w:rPr>
          <w:b/>
        </w:rPr>
        <w:t>,</w:t>
      </w:r>
      <w:r w:rsidRPr="00895C3D">
        <w:t xml:space="preserve"> 94-108.</w:t>
      </w:r>
    </w:p>
    <w:p w14:paraId="18C17279" w14:textId="77777777" w:rsidR="00895C3D" w:rsidRPr="00895C3D" w:rsidRDefault="00895C3D" w:rsidP="00895C3D">
      <w:pPr>
        <w:pStyle w:val="EndNoteBibliography"/>
        <w:spacing w:after="0"/>
        <w:ind w:left="720" w:hanging="720"/>
      </w:pPr>
      <w:r w:rsidRPr="00895C3D">
        <w:t xml:space="preserve">DAVYDENKO, I. Y. &amp; TAVASSZY, L. A. 2013. Estimation of warehouse throughput in freight transport demand model for the Netherlands. </w:t>
      </w:r>
      <w:r w:rsidRPr="00895C3D">
        <w:rPr>
          <w:i/>
        </w:rPr>
        <w:t>Transportation Research Record,</w:t>
      </w:r>
      <w:r w:rsidRPr="00895C3D">
        <w:t xml:space="preserve"> 2379</w:t>
      </w:r>
      <w:r w:rsidRPr="00895C3D">
        <w:rPr>
          <w:b/>
        </w:rPr>
        <w:t>,</w:t>
      </w:r>
      <w:r w:rsidRPr="00895C3D">
        <w:t xml:space="preserve"> 9-17.</w:t>
      </w:r>
    </w:p>
    <w:p w14:paraId="521B45D4" w14:textId="77777777" w:rsidR="00895C3D" w:rsidRPr="00895C3D" w:rsidRDefault="00895C3D" w:rsidP="00895C3D">
      <w:pPr>
        <w:pStyle w:val="EndNoteBibliography"/>
        <w:spacing w:after="0"/>
        <w:ind w:left="720" w:hanging="720"/>
      </w:pPr>
      <w:r w:rsidRPr="00895C3D">
        <w:t xml:space="preserve">DE GRANGE, L., FERNANDEZ, E. &amp; DE CEA, J. 2010. A consolidated model of trip distribution. </w:t>
      </w:r>
      <w:r w:rsidRPr="00895C3D">
        <w:rPr>
          <w:i/>
        </w:rPr>
        <w:t>Transportation Research Part E-Logistics and Transportation Review,</w:t>
      </w:r>
      <w:r w:rsidRPr="00895C3D">
        <w:t xml:space="preserve"> 46</w:t>
      </w:r>
      <w:r w:rsidRPr="00895C3D">
        <w:rPr>
          <w:b/>
        </w:rPr>
        <w:t>,</w:t>
      </w:r>
      <w:r w:rsidRPr="00895C3D">
        <w:t xml:space="preserve"> 61-75.</w:t>
      </w:r>
    </w:p>
    <w:p w14:paraId="3219893A" w14:textId="77777777" w:rsidR="00895C3D" w:rsidRPr="00895C3D" w:rsidRDefault="00895C3D" w:rsidP="00895C3D">
      <w:pPr>
        <w:pStyle w:val="EndNoteBibliography"/>
        <w:spacing w:after="0"/>
        <w:ind w:left="720" w:hanging="720"/>
      </w:pPr>
      <w:r w:rsidRPr="00895C3D">
        <w:t>DELOITTE, RICHARD PALING CONSULTING, MURRAY KING &amp; FRANCIS SMALL CONSULTING &amp; COOPER ASSOCIATES 2014. National Freight Demand Study. Ministry of Transport.</w:t>
      </w:r>
    </w:p>
    <w:p w14:paraId="63A895AE" w14:textId="77777777" w:rsidR="00895C3D" w:rsidRPr="00895C3D" w:rsidRDefault="00895C3D" w:rsidP="00895C3D">
      <w:pPr>
        <w:pStyle w:val="EndNoteBibliography"/>
        <w:spacing w:after="0"/>
        <w:ind w:left="720" w:hanging="720"/>
      </w:pPr>
      <w:r w:rsidRPr="00895C3D">
        <w:t xml:space="preserve">EVANS, J. R. 1983. A network decomposition/aggregation procedure for a class of multicommodity transportation problems. </w:t>
      </w:r>
      <w:r w:rsidRPr="00895C3D">
        <w:rPr>
          <w:i/>
        </w:rPr>
        <w:t>Networks,</w:t>
      </w:r>
      <w:r w:rsidRPr="00895C3D">
        <w:t xml:space="preserve"> 13</w:t>
      </w:r>
      <w:r w:rsidRPr="00895C3D">
        <w:rPr>
          <w:b/>
        </w:rPr>
        <w:t>,</w:t>
      </w:r>
      <w:r w:rsidRPr="00895C3D">
        <w:t xml:space="preserve"> 197-205.</w:t>
      </w:r>
    </w:p>
    <w:p w14:paraId="1698C66D" w14:textId="77777777" w:rsidR="00895C3D" w:rsidRPr="00895C3D" w:rsidRDefault="00895C3D" w:rsidP="00895C3D">
      <w:pPr>
        <w:pStyle w:val="EndNoteBibliography"/>
        <w:spacing w:after="0"/>
        <w:ind w:left="720" w:hanging="720"/>
      </w:pPr>
      <w:r w:rsidRPr="00895C3D">
        <w:t xml:space="preserve">FANG, S. C. &amp; TSAO, H. S. J. 1995. Linearly-Constrained Entropy Maximization Problem with Quadratic Cost and Its Applications to Transportation Planning Problems. </w:t>
      </w:r>
      <w:r w:rsidRPr="00895C3D">
        <w:rPr>
          <w:i/>
        </w:rPr>
        <w:t>Transportation Science,</w:t>
      </w:r>
      <w:r w:rsidRPr="00895C3D">
        <w:t xml:space="preserve"> 29</w:t>
      </w:r>
      <w:r w:rsidRPr="00895C3D">
        <w:rPr>
          <w:b/>
        </w:rPr>
        <w:t>,</w:t>
      </w:r>
      <w:r w:rsidRPr="00895C3D">
        <w:t xml:space="preserve"> 353-365.</w:t>
      </w:r>
    </w:p>
    <w:p w14:paraId="087A89E7" w14:textId="77777777" w:rsidR="00895C3D" w:rsidRPr="00895C3D" w:rsidRDefault="00895C3D" w:rsidP="00895C3D">
      <w:pPr>
        <w:pStyle w:val="EndNoteBibliography"/>
        <w:spacing w:after="0"/>
        <w:ind w:left="720" w:hanging="720"/>
      </w:pPr>
      <w:r w:rsidRPr="00895C3D">
        <w:t xml:space="preserve">FOTHERINGHAM, A. S. 1983. A New Set of Spatial-Interaction Models: The Theory of Competing Destinations. </w:t>
      </w:r>
      <w:r w:rsidRPr="00895C3D">
        <w:rPr>
          <w:i/>
        </w:rPr>
        <w:t>Environment and Planning A: Economy and Space,</w:t>
      </w:r>
      <w:r w:rsidRPr="00895C3D">
        <w:t xml:space="preserve"> 15</w:t>
      </w:r>
      <w:r w:rsidRPr="00895C3D">
        <w:rPr>
          <w:b/>
        </w:rPr>
        <w:t>,</w:t>
      </w:r>
      <w:r w:rsidRPr="00895C3D">
        <w:t xml:space="preserve"> 15-36.</w:t>
      </w:r>
    </w:p>
    <w:p w14:paraId="20DAB32D" w14:textId="77777777" w:rsidR="00895C3D" w:rsidRPr="00895C3D" w:rsidRDefault="00895C3D" w:rsidP="00895C3D">
      <w:pPr>
        <w:pStyle w:val="EndNoteBibliography"/>
        <w:spacing w:after="0"/>
        <w:ind w:left="720" w:hanging="720"/>
      </w:pPr>
      <w:r w:rsidRPr="00895C3D">
        <w:t xml:space="preserve">FRIEDRICH, H., TAVASSZY, L. &amp; DAVYDENKO, I. 2014. Distribution structures. </w:t>
      </w:r>
      <w:r w:rsidRPr="00895C3D">
        <w:rPr>
          <w:i/>
        </w:rPr>
        <w:t>Modelling freight transport.</w:t>
      </w:r>
      <w:r w:rsidRPr="00895C3D">
        <w:t xml:space="preserve"> Elsevier.</w:t>
      </w:r>
    </w:p>
    <w:p w14:paraId="26E23A28" w14:textId="77777777" w:rsidR="00895C3D" w:rsidRPr="00895C3D" w:rsidRDefault="00895C3D" w:rsidP="00895C3D">
      <w:pPr>
        <w:pStyle w:val="EndNoteBibliography"/>
        <w:spacing w:after="0"/>
        <w:ind w:left="720" w:hanging="720"/>
      </w:pPr>
      <w:r w:rsidRPr="00895C3D">
        <w:t xml:space="preserve">HOLMGREN, J., DAVIDSSON, P., PERSSON, J. A. &amp; RAMSTEDT, L. 2012. TAPAS: A multi-agent-based model for simulation of transport chains. </w:t>
      </w:r>
      <w:r w:rsidRPr="00895C3D">
        <w:rPr>
          <w:i/>
        </w:rPr>
        <w:t>Simulation Modelling Practice and Theory,</w:t>
      </w:r>
      <w:r w:rsidRPr="00895C3D">
        <w:t xml:space="preserve"> 23</w:t>
      </w:r>
      <w:r w:rsidRPr="00895C3D">
        <w:rPr>
          <w:b/>
        </w:rPr>
        <w:t>,</w:t>
      </w:r>
      <w:r w:rsidRPr="00895C3D">
        <w:t xml:space="preserve"> 1-18.</w:t>
      </w:r>
    </w:p>
    <w:p w14:paraId="69D16AE0" w14:textId="77777777" w:rsidR="00895C3D" w:rsidRPr="00895C3D" w:rsidRDefault="00895C3D" w:rsidP="00895C3D">
      <w:pPr>
        <w:pStyle w:val="EndNoteBibliography"/>
        <w:spacing w:after="0"/>
        <w:ind w:left="720" w:hanging="720"/>
      </w:pPr>
      <w:r w:rsidRPr="00895C3D">
        <w:t xml:space="preserve">KHURANA, A., ADLAKHA, V. &amp; LEV, B. 2018. Multi-index constrained transportation problem with bounds on availabilities, requirements and commodities. </w:t>
      </w:r>
      <w:r w:rsidRPr="00895C3D">
        <w:rPr>
          <w:i/>
        </w:rPr>
        <w:t>Operations Research Perspectives,</w:t>
      </w:r>
      <w:r w:rsidRPr="00895C3D">
        <w:t xml:space="preserve"> 5</w:t>
      </w:r>
      <w:r w:rsidRPr="00895C3D">
        <w:rPr>
          <w:b/>
        </w:rPr>
        <w:t>,</w:t>
      </w:r>
      <w:r w:rsidRPr="00895C3D">
        <w:t xml:space="preserve"> 319-333.</w:t>
      </w:r>
    </w:p>
    <w:p w14:paraId="1AAEA482" w14:textId="77777777" w:rsidR="00895C3D" w:rsidRPr="00895C3D" w:rsidRDefault="00895C3D" w:rsidP="00895C3D">
      <w:pPr>
        <w:pStyle w:val="EndNoteBibliography"/>
        <w:spacing w:after="0"/>
        <w:ind w:left="720" w:hanging="720"/>
      </w:pPr>
      <w:r w:rsidRPr="00895C3D">
        <w:t xml:space="preserve">LIEDTKE, G. 2009. Principles of micro-behavior commodity transport modeling. </w:t>
      </w:r>
      <w:r w:rsidRPr="00895C3D">
        <w:rPr>
          <w:i/>
        </w:rPr>
        <w:t>Transportation Research Part E-Logistics and Transportation Review,</w:t>
      </w:r>
      <w:r w:rsidRPr="00895C3D">
        <w:t xml:space="preserve"> 45</w:t>
      </w:r>
      <w:r w:rsidRPr="00895C3D">
        <w:rPr>
          <w:b/>
        </w:rPr>
        <w:t>,</w:t>
      </w:r>
      <w:r w:rsidRPr="00895C3D">
        <w:t xml:space="preserve"> 795-809.</w:t>
      </w:r>
    </w:p>
    <w:p w14:paraId="7BC81A95" w14:textId="77777777" w:rsidR="00895C3D" w:rsidRPr="00895C3D" w:rsidRDefault="00895C3D" w:rsidP="00895C3D">
      <w:pPr>
        <w:pStyle w:val="EndNoteBibliography"/>
        <w:spacing w:after="0"/>
        <w:ind w:left="720" w:hanging="720"/>
      </w:pPr>
      <w:r w:rsidRPr="00895C3D">
        <w:t>LINZ 2019. NZ Road Centrelines (Topo, 1:50k). New Zealand.</w:t>
      </w:r>
    </w:p>
    <w:p w14:paraId="085C09B2" w14:textId="77777777" w:rsidR="00895C3D" w:rsidRPr="00895C3D" w:rsidRDefault="00895C3D" w:rsidP="00895C3D">
      <w:pPr>
        <w:pStyle w:val="EndNoteBibliography"/>
        <w:spacing w:after="0"/>
        <w:ind w:left="720" w:hanging="720"/>
      </w:pPr>
      <w:r w:rsidRPr="00895C3D">
        <w:t>LRIS 2015. Land Cover Database. 4.1 ed. New Zealand.</w:t>
      </w:r>
    </w:p>
    <w:p w14:paraId="3886B8BE" w14:textId="77777777" w:rsidR="00895C3D" w:rsidRPr="00895C3D" w:rsidRDefault="00895C3D" w:rsidP="00895C3D">
      <w:pPr>
        <w:pStyle w:val="EndNoteBibliography"/>
        <w:spacing w:after="0"/>
        <w:ind w:left="720" w:hanging="720"/>
      </w:pPr>
      <w:r w:rsidRPr="00895C3D">
        <w:t xml:space="preserve">MACHARIS, C. &amp; PEKIN, E. 2009. Assessing policy measures for the stimulation of intermodal transport: a GIS-based policy analysis. </w:t>
      </w:r>
      <w:r w:rsidRPr="00895C3D">
        <w:rPr>
          <w:i/>
        </w:rPr>
        <w:t>Journal of Transport Geography,</w:t>
      </w:r>
      <w:r w:rsidRPr="00895C3D">
        <w:t xml:space="preserve"> 17</w:t>
      </w:r>
      <w:r w:rsidRPr="00895C3D">
        <w:rPr>
          <w:b/>
        </w:rPr>
        <w:t>,</w:t>
      </w:r>
      <w:r w:rsidRPr="00895C3D">
        <w:t xml:space="preserve"> 500-508.</w:t>
      </w:r>
    </w:p>
    <w:p w14:paraId="0B4E7963" w14:textId="77777777" w:rsidR="00895C3D" w:rsidRPr="00895C3D" w:rsidRDefault="00895C3D" w:rsidP="00895C3D">
      <w:pPr>
        <w:pStyle w:val="EndNoteBibliography"/>
        <w:spacing w:after="0"/>
        <w:ind w:left="720" w:hanging="720"/>
      </w:pPr>
      <w:r w:rsidRPr="00895C3D">
        <w:t xml:space="preserve">MAURER, H. H. 2008. </w:t>
      </w:r>
      <w:r w:rsidRPr="00895C3D">
        <w:rPr>
          <w:i/>
        </w:rPr>
        <w:t>Development of an integrated model for estimating emissions from freight transport.</w:t>
      </w:r>
      <w:r w:rsidRPr="00895C3D">
        <w:t xml:space="preserve"> University of Leeds (Institute for Transport Studies).</w:t>
      </w:r>
    </w:p>
    <w:p w14:paraId="2288D9AA" w14:textId="77777777" w:rsidR="00895C3D" w:rsidRPr="00895C3D" w:rsidRDefault="00895C3D" w:rsidP="00895C3D">
      <w:pPr>
        <w:pStyle w:val="EndNoteBibliography"/>
        <w:spacing w:after="0"/>
        <w:ind w:left="720" w:hanging="720"/>
      </w:pPr>
      <w:r w:rsidRPr="00895C3D">
        <w:t>NEW ZEALAND FOREST OWNERS ASSOCIATION INC. &amp; MINISTRY FOR PRIMARY INDUSTRIES 2013. New Zealand Plantation Forest Industry Facts &amp; Figures. Wellington.</w:t>
      </w:r>
    </w:p>
    <w:p w14:paraId="3015A04A" w14:textId="77777777" w:rsidR="00895C3D" w:rsidRPr="00895C3D" w:rsidRDefault="00895C3D" w:rsidP="00895C3D">
      <w:pPr>
        <w:pStyle w:val="EndNoteBibliography"/>
        <w:spacing w:after="0"/>
        <w:ind w:left="720" w:hanging="720"/>
      </w:pPr>
      <w:r w:rsidRPr="00895C3D">
        <w:t xml:space="preserve">ORTUZAR, J. D. D. &amp; WILLUMSEN, L. G. 2011. </w:t>
      </w:r>
      <w:r w:rsidRPr="00895C3D">
        <w:rPr>
          <w:i/>
        </w:rPr>
        <w:t>Modelling Transport</w:t>
      </w:r>
      <w:r w:rsidRPr="00895C3D">
        <w:t>.</w:t>
      </w:r>
    </w:p>
    <w:p w14:paraId="47216AC5" w14:textId="77777777" w:rsidR="00895C3D" w:rsidRPr="00895C3D" w:rsidRDefault="00895C3D" w:rsidP="00895C3D">
      <w:pPr>
        <w:pStyle w:val="EndNoteBibliography"/>
        <w:spacing w:after="0"/>
        <w:ind w:left="720" w:hanging="720"/>
      </w:pPr>
      <w:r w:rsidRPr="00895C3D">
        <w:t xml:space="preserve">OSHAN, T. 2016. A primer for working with the Spatial Interaction modeling (SpInt) module in the python spatial analysis library (PySAL). </w:t>
      </w:r>
      <w:r w:rsidRPr="00895C3D">
        <w:rPr>
          <w:i/>
        </w:rPr>
        <w:t>REGION,</w:t>
      </w:r>
      <w:r w:rsidRPr="00895C3D">
        <w:t xml:space="preserve"> 3</w:t>
      </w:r>
      <w:r w:rsidRPr="00895C3D">
        <w:rPr>
          <w:b/>
        </w:rPr>
        <w:t>,</w:t>
      </w:r>
      <w:r w:rsidRPr="00895C3D">
        <w:t xml:space="preserve"> R11-R23.</w:t>
      </w:r>
    </w:p>
    <w:p w14:paraId="4FEF18C6" w14:textId="77777777" w:rsidR="00895C3D" w:rsidRPr="00895C3D" w:rsidRDefault="00895C3D" w:rsidP="00895C3D">
      <w:pPr>
        <w:pStyle w:val="EndNoteBibliography"/>
        <w:spacing w:after="0"/>
        <w:ind w:left="720" w:hanging="720"/>
      </w:pPr>
      <w:r w:rsidRPr="00895C3D">
        <w:t xml:space="preserve">ÖZCEYLAN, E., ERBAŞ, M., TOLON, M., KABAK, M. &amp; DURĞUT, T. 2016. Evaluation of freight villages: A GIS-based multi-criteria decision analysis. </w:t>
      </w:r>
      <w:r w:rsidRPr="00895C3D">
        <w:rPr>
          <w:i/>
        </w:rPr>
        <w:t>Computers in Industry,</w:t>
      </w:r>
      <w:r w:rsidRPr="00895C3D">
        <w:t xml:space="preserve"> 76</w:t>
      </w:r>
      <w:r w:rsidRPr="00895C3D">
        <w:rPr>
          <w:b/>
        </w:rPr>
        <w:t>,</w:t>
      </w:r>
      <w:r w:rsidRPr="00895C3D">
        <w:t xml:space="preserve"> 38-52.</w:t>
      </w:r>
    </w:p>
    <w:p w14:paraId="7A536EA6" w14:textId="77777777" w:rsidR="00895C3D" w:rsidRPr="00895C3D" w:rsidRDefault="00895C3D" w:rsidP="00895C3D">
      <w:pPr>
        <w:pStyle w:val="EndNoteBibliography"/>
        <w:spacing w:after="0"/>
        <w:ind w:left="720" w:hanging="720"/>
      </w:pPr>
      <w:r w:rsidRPr="00895C3D">
        <w:t xml:space="preserve">REIS, V. 2014. Analysis of mode choice variables in short-distance intermodal freight transport using an agent-based model. </w:t>
      </w:r>
      <w:r w:rsidRPr="00895C3D">
        <w:rPr>
          <w:i/>
        </w:rPr>
        <w:t>Transportation Research Part a-Policy and Practice,</w:t>
      </w:r>
      <w:r w:rsidRPr="00895C3D">
        <w:t xml:space="preserve"> 61</w:t>
      </w:r>
      <w:r w:rsidRPr="00895C3D">
        <w:rPr>
          <w:b/>
        </w:rPr>
        <w:t>,</w:t>
      </w:r>
      <w:r w:rsidRPr="00895C3D">
        <w:t xml:space="preserve"> 100-120.</w:t>
      </w:r>
    </w:p>
    <w:p w14:paraId="686C49A8" w14:textId="77777777" w:rsidR="00895C3D" w:rsidRPr="00895C3D" w:rsidRDefault="00895C3D" w:rsidP="00895C3D">
      <w:pPr>
        <w:pStyle w:val="EndNoteBibliography"/>
        <w:spacing w:after="0"/>
        <w:ind w:left="720" w:hanging="720"/>
      </w:pPr>
      <w:r w:rsidRPr="00895C3D">
        <w:t xml:space="preserve">STATS NZ TATAURANGA AOTEAROA 2013. 2013 Census Work and Unpaid activities. </w:t>
      </w:r>
      <w:r w:rsidRPr="00895C3D">
        <w:rPr>
          <w:i/>
        </w:rPr>
        <w:t>In:</w:t>
      </w:r>
      <w:r w:rsidRPr="00895C3D">
        <w:t xml:space="preserve"> AOTEAROA, S. N. T. (ed.).</w:t>
      </w:r>
    </w:p>
    <w:p w14:paraId="06A0EF96" w14:textId="77777777" w:rsidR="00895C3D" w:rsidRPr="00895C3D" w:rsidRDefault="00895C3D" w:rsidP="00895C3D">
      <w:pPr>
        <w:pStyle w:val="EndNoteBibliography"/>
        <w:spacing w:after="0"/>
        <w:ind w:left="720" w:hanging="720"/>
      </w:pPr>
      <w:r w:rsidRPr="00895C3D">
        <w:t xml:space="preserve">TAVASSZY, L. &amp; DE JONG, G. 2013. Introduction. </w:t>
      </w:r>
      <w:r w:rsidRPr="00895C3D">
        <w:rPr>
          <w:i/>
        </w:rPr>
        <w:t>Modelling freight transport.</w:t>
      </w:r>
      <w:r w:rsidRPr="00895C3D">
        <w:t xml:space="preserve"> Elsevier.</w:t>
      </w:r>
    </w:p>
    <w:p w14:paraId="6E9E1995" w14:textId="77777777" w:rsidR="00895C3D" w:rsidRPr="00895C3D" w:rsidRDefault="00895C3D" w:rsidP="00895C3D">
      <w:pPr>
        <w:pStyle w:val="EndNoteBibliography"/>
        <w:spacing w:after="0"/>
        <w:ind w:left="720" w:hanging="720"/>
      </w:pPr>
      <w:r w:rsidRPr="00895C3D">
        <w:t xml:space="preserve">TAVASSZY, L. &amp; DE JONG, G. 2014. Data availability and model form. </w:t>
      </w:r>
      <w:r w:rsidRPr="00895C3D">
        <w:rPr>
          <w:i/>
        </w:rPr>
        <w:t>Modelling freight transport.</w:t>
      </w:r>
      <w:r w:rsidRPr="00895C3D">
        <w:t xml:space="preserve"> Elsevier.</w:t>
      </w:r>
    </w:p>
    <w:p w14:paraId="6C06D5C4" w14:textId="77777777" w:rsidR="00895C3D" w:rsidRPr="00895C3D" w:rsidRDefault="00895C3D" w:rsidP="00895C3D">
      <w:pPr>
        <w:pStyle w:val="EndNoteBibliography"/>
        <w:ind w:left="720" w:hanging="720"/>
      </w:pPr>
      <w:r w:rsidRPr="00895C3D">
        <w:t xml:space="preserve">WILSON, A. G. 1971. A family of spatial interaction models, and associated developments. </w:t>
      </w:r>
      <w:r w:rsidRPr="00895C3D">
        <w:rPr>
          <w:i/>
        </w:rPr>
        <w:t>Environment and Planning A,</w:t>
      </w:r>
      <w:r w:rsidRPr="00895C3D">
        <w:t xml:space="preserve"> 3</w:t>
      </w:r>
      <w:r w:rsidRPr="00895C3D">
        <w:rPr>
          <w:b/>
        </w:rPr>
        <w:t>,</w:t>
      </w:r>
      <w:r w:rsidRPr="00895C3D">
        <w:t xml:space="preserve"> 1-32.</w:t>
      </w:r>
    </w:p>
    <w:p w14:paraId="6C9C3697" w14:textId="4248558D" w:rsidR="004F6DA0" w:rsidRPr="00491202" w:rsidRDefault="004F6DA0" w:rsidP="004F6DA0">
      <w:pPr>
        <w:pStyle w:val="EndNoteBibliography"/>
        <w:ind w:left="720" w:hanging="720"/>
      </w:pPr>
      <w:r>
        <w:fldChar w:fldCharType="end"/>
      </w:r>
    </w:p>
    <w:sectPr w:rsidR="004F6DA0" w:rsidRPr="00491202" w:rsidSect="006714FC">
      <w:headerReference w:type="default" r:id="rId19"/>
      <w:footerReference w:type="default" r:id="rId20"/>
      <w:pgSz w:w="1190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31FCB" w14:textId="77777777" w:rsidR="00184C0D" w:rsidRDefault="00184C0D">
      <w:r>
        <w:separator/>
      </w:r>
    </w:p>
  </w:endnote>
  <w:endnote w:type="continuationSeparator" w:id="0">
    <w:p w14:paraId="1BCBB45B" w14:textId="77777777" w:rsidR="00184C0D" w:rsidRDefault="0018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F6BA7" w14:textId="77777777" w:rsidR="002559EA" w:rsidRDefault="002559EA" w:rsidP="00563F29">
    <w:pPr>
      <w:pStyle w:val="BodyText3"/>
      <w:pBdr>
        <w:top w:val="single" w:sz="4" w:space="1" w:color="auto"/>
      </w:pBdr>
      <w:ind w:right="-1"/>
      <w:rPr>
        <w:i/>
        <w:sz w:val="18"/>
        <w:szCs w:val="18"/>
      </w:rPr>
    </w:pPr>
  </w:p>
  <w:p w14:paraId="59A1C0B4" w14:textId="77777777" w:rsidR="002559EA" w:rsidRPr="00563F29" w:rsidRDefault="002559EA" w:rsidP="00563F29">
    <w:pPr>
      <w:pStyle w:val="BodyText3"/>
      <w:pBdr>
        <w:top w:val="single" w:sz="4" w:space="1" w:color="auto"/>
      </w:pBdr>
      <w:ind w:right="-1"/>
      <w:rPr>
        <w:i/>
        <w:sz w:val="18"/>
        <w:szCs w:val="18"/>
      </w:rPr>
    </w:pPr>
    <w:r>
      <w:rPr>
        <w:noProof/>
        <w:lang w:val="en-US"/>
      </w:rPr>
      <w:drawing>
        <wp:anchor distT="0" distB="0" distL="114300" distR="114300" simplePos="0" relativeHeight="251657728" behindDoc="1" locked="0" layoutInCell="1" allowOverlap="1" wp14:anchorId="18DE8C63" wp14:editId="2CBC6BBC">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E83C4" w14:textId="77777777" w:rsidR="00184C0D" w:rsidRDefault="00184C0D">
      <w:r>
        <w:separator/>
      </w:r>
    </w:p>
  </w:footnote>
  <w:footnote w:type="continuationSeparator" w:id="0">
    <w:p w14:paraId="2283B5D3" w14:textId="77777777" w:rsidR="00184C0D" w:rsidRDefault="00184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E038A" w14:textId="6E2F12C5" w:rsidR="002559EA" w:rsidRPr="00BB7E88" w:rsidRDefault="002559EA" w:rsidP="00BB7E88">
    <w:pPr>
      <w:pStyle w:val="Header"/>
      <w:pBdr>
        <w:bottom w:val="single" w:sz="4" w:space="1" w:color="auto"/>
      </w:pBdr>
      <w:tabs>
        <w:tab w:val="left" w:pos="360"/>
        <w:tab w:val="right" w:pos="9071"/>
      </w:tabs>
      <w:rPr>
        <w:rFonts w:cs="Arial"/>
        <w:i/>
        <w:sz w:val="18"/>
        <w:szCs w:val="18"/>
      </w:rPr>
    </w:pPr>
    <w:r>
      <w:rPr>
        <w:rStyle w:val="PageNumber"/>
        <w:rFonts w:cs="Arial"/>
        <w:i/>
        <w:sz w:val="18"/>
        <w:szCs w:val="18"/>
      </w:rPr>
      <w:t>A freight distribution exercise</w:t>
    </w:r>
    <w:r>
      <w:rPr>
        <w:rStyle w:val="PageNumber"/>
        <w:rFonts w:cs="Arial"/>
        <w:i/>
        <w:sz w:val="18"/>
        <w:szCs w:val="18"/>
      </w:rPr>
      <w:tab/>
      <w:t xml:space="preserve">             Gallardo, P., Bishop, D., Murray, R., Krumdieck, S.                                         Page</w:t>
    </w:r>
    <w:r w:rsidRPr="00BB7E88">
      <w:rPr>
        <w:rStyle w:val="PageNumber"/>
        <w:rFonts w:cs="Arial"/>
        <w:i/>
        <w:sz w:val="18"/>
        <w:szCs w:val="18"/>
      </w:rPr>
      <w:t xml:space="preserve"> </w:t>
    </w:r>
    <w:r w:rsidRPr="00BB7E88">
      <w:rPr>
        <w:rStyle w:val="PageNumber"/>
        <w:rFonts w:cs="Arial"/>
        <w:i/>
        <w:sz w:val="18"/>
        <w:szCs w:val="18"/>
      </w:rPr>
      <w:fldChar w:fldCharType="begin"/>
    </w:r>
    <w:r w:rsidRPr="00BB7E88">
      <w:rPr>
        <w:rStyle w:val="PageNumber"/>
        <w:rFonts w:cs="Arial"/>
        <w:i/>
        <w:sz w:val="18"/>
        <w:szCs w:val="18"/>
      </w:rPr>
      <w:instrText xml:space="preserve"> PAGE </w:instrText>
    </w:r>
    <w:r w:rsidRPr="00BB7E88">
      <w:rPr>
        <w:rStyle w:val="PageNumber"/>
        <w:rFonts w:cs="Arial"/>
        <w:i/>
        <w:sz w:val="18"/>
        <w:szCs w:val="18"/>
      </w:rPr>
      <w:fldChar w:fldCharType="separate"/>
    </w:r>
    <w:r w:rsidR="00D0480A">
      <w:rPr>
        <w:rStyle w:val="PageNumber"/>
        <w:rFonts w:cs="Arial"/>
        <w:i/>
        <w:noProof/>
        <w:sz w:val="18"/>
        <w:szCs w:val="18"/>
      </w:rPr>
      <w:t>3</w:t>
    </w:r>
    <w:r w:rsidRPr="00BB7E88">
      <w:rPr>
        <w:rStyle w:val="PageNumber"/>
        <w:rFonts w:cs="Arial"/>
        <w:i/>
        <w:sz w:val="18"/>
        <w:szCs w:val="18"/>
      </w:rPr>
      <w:fldChar w:fldCharType="end"/>
    </w:r>
  </w:p>
  <w:p w14:paraId="7E5ABFA3" w14:textId="77777777" w:rsidR="002559EA" w:rsidRDefault="00255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56AA3"/>
    <w:multiLevelType w:val="multilevel"/>
    <w:tmpl w:val="B6E8812E"/>
    <w:lvl w:ilvl="0">
      <w:start w:val="1"/>
      <w:numFmt w:val="decimal"/>
      <w:pStyle w:val="Heading2"/>
      <w:lvlText w:val="%1"/>
      <w:lvlJc w:val="left"/>
      <w:pPr>
        <w:ind w:left="432" w:hanging="432"/>
      </w:pPr>
    </w:lvl>
    <w:lvl w:ilvl="1">
      <w:start w:val="1"/>
      <w:numFmt w:val="decimal"/>
      <w:pStyle w:val="Heading3"/>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5DBB2262"/>
    <w:multiLevelType w:val="hybridMultilevel"/>
    <w:tmpl w:val="23D062CA"/>
    <w:lvl w:ilvl="0" w:tplc="EAA68B64">
      <w:start w:val="4"/>
      <w:numFmt w:val="bullet"/>
      <w:lvlText w:val="-"/>
      <w:lvlJc w:val="left"/>
      <w:pPr>
        <w:ind w:left="1080" w:hanging="360"/>
      </w:pPr>
      <w:rPr>
        <w:rFonts w:ascii="Arial" w:eastAsia="Times New Roman" w:hAnsi="Arial" w:cs="Aria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tttt5z4vw0z3etadq5px5k0a5wraw2d092&quot;&gt;PhD References&lt;record-ids&gt;&lt;item&gt;32&lt;/item&gt;&lt;item&gt;92&lt;/item&gt;&lt;item&gt;93&lt;/item&gt;&lt;item&gt;127&lt;/item&gt;&lt;item&gt;152&lt;/item&gt;&lt;item&gt;168&lt;/item&gt;&lt;item&gt;169&lt;/item&gt;&lt;item&gt;171&lt;/item&gt;&lt;item&gt;239&lt;/item&gt;&lt;item&gt;241&lt;/item&gt;&lt;item&gt;243&lt;/item&gt;&lt;item&gt;244&lt;/item&gt;&lt;item&gt;245&lt;/item&gt;&lt;item&gt;246&lt;/item&gt;&lt;item&gt;247&lt;/item&gt;&lt;item&gt;248&lt;/item&gt;&lt;item&gt;259&lt;/item&gt;&lt;item&gt;260&lt;/item&gt;&lt;item&gt;261&lt;/item&gt;&lt;item&gt;262&lt;/item&gt;&lt;item&gt;263&lt;/item&gt;&lt;item&gt;264&lt;/item&gt;&lt;item&gt;265&lt;/item&gt;&lt;item&gt;266&lt;/item&gt;&lt;item&gt;267&lt;/item&gt;&lt;item&gt;268&lt;/item&gt;&lt;item&gt;269&lt;/item&gt;&lt;item&gt;270&lt;/item&gt;&lt;item&gt;295&lt;/item&gt;&lt;/record-ids&gt;&lt;/item&gt;&lt;/Libraries&gt;"/>
  </w:docVars>
  <w:rsids>
    <w:rsidRoot w:val="00F62E24"/>
    <w:rsid w:val="00034755"/>
    <w:rsid w:val="00041595"/>
    <w:rsid w:val="00043F98"/>
    <w:rsid w:val="00054B1E"/>
    <w:rsid w:val="00066DA7"/>
    <w:rsid w:val="00072D80"/>
    <w:rsid w:val="00082E5A"/>
    <w:rsid w:val="0008383E"/>
    <w:rsid w:val="00085C5F"/>
    <w:rsid w:val="000A2849"/>
    <w:rsid w:val="000A60CB"/>
    <w:rsid w:val="000E5C83"/>
    <w:rsid w:val="001024B0"/>
    <w:rsid w:val="00102CE0"/>
    <w:rsid w:val="00107537"/>
    <w:rsid w:val="00134C6E"/>
    <w:rsid w:val="0014075F"/>
    <w:rsid w:val="00156E5F"/>
    <w:rsid w:val="00165C7C"/>
    <w:rsid w:val="001847E9"/>
    <w:rsid w:val="00184C0D"/>
    <w:rsid w:val="00197422"/>
    <w:rsid w:val="001C2BE3"/>
    <w:rsid w:val="001C2DD2"/>
    <w:rsid w:val="001C4D70"/>
    <w:rsid w:val="001E6A82"/>
    <w:rsid w:val="001E7C9C"/>
    <w:rsid w:val="001F4884"/>
    <w:rsid w:val="001F7E80"/>
    <w:rsid w:val="002057A2"/>
    <w:rsid w:val="00217D5F"/>
    <w:rsid w:val="00251885"/>
    <w:rsid w:val="00251D2E"/>
    <w:rsid w:val="002559EA"/>
    <w:rsid w:val="00261205"/>
    <w:rsid w:val="002670DB"/>
    <w:rsid w:val="00267CF4"/>
    <w:rsid w:val="00271505"/>
    <w:rsid w:val="002A0105"/>
    <w:rsid w:val="002B55F8"/>
    <w:rsid w:val="002E2624"/>
    <w:rsid w:val="002E3D4B"/>
    <w:rsid w:val="002E523F"/>
    <w:rsid w:val="00313407"/>
    <w:rsid w:val="00331756"/>
    <w:rsid w:val="00352508"/>
    <w:rsid w:val="00355E3F"/>
    <w:rsid w:val="00364A0A"/>
    <w:rsid w:val="00393B8E"/>
    <w:rsid w:val="00396C99"/>
    <w:rsid w:val="003B7A8E"/>
    <w:rsid w:val="003C0727"/>
    <w:rsid w:val="003D249D"/>
    <w:rsid w:val="003E6BD1"/>
    <w:rsid w:val="003F4E2C"/>
    <w:rsid w:val="00403697"/>
    <w:rsid w:val="00405E3D"/>
    <w:rsid w:val="00410A8C"/>
    <w:rsid w:val="00411E8D"/>
    <w:rsid w:val="0043030E"/>
    <w:rsid w:val="00443505"/>
    <w:rsid w:val="004533CB"/>
    <w:rsid w:val="00455D4F"/>
    <w:rsid w:val="00467137"/>
    <w:rsid w:val="0047239D"/>
    <w:rsid w:val="00472C6F"/>
    <w:rsid w:val="004A5394"/>
    <w:rsid w:val="004B0D3E"/>
    <w:rsid w:val="004B3BFA"/>
    <w:rsid w:val="004D6354"/>
    <w:rsid w:val="004E6158"/>
    <w:rsid w:val="004F1202"/>
    <w:rsid w:val="004F5498"/>
    <w:rsid w:val="004F6DA0"/>
    <w:rsid w:val="004F77C0"/>
    <w:rsid w:val="00502120"/>
    <w:rsid w:val="0050300C"/>
    <w:rsid w:val="00513DAC"/>
    <w:rsid w:val="00520941"/>
    <w:rsid w:val="00526812"/>
    <w:rsid w:val="005556BE"/>
    <w:rsid w:val="005560C1"/>
    <w:rsid w:val="00561AF8"/>
    <w:rsid w:val="00563F29"/>
    <w:rsid w:val="0057331A"/>
    <w:rsid w:val="00576BD6"/>
    <w:rsid w:val="00587F85"/>
    <w:rsid w:val="0059046A"/>
    <w:rsid w:val="0059241B"/>
    <w:rsid w:val="00595A0F"/>
    <w:rsid w:val="005B4422"/>
    <w:rsid w:val="005D01E9"/>
    <w:rsid w:val="005F4FCF"/>
    <w:rsid w:val="005F745D"/>
    <w:rsid w:val="00605AB5"/>
    <w:rsid w:val="006216A8"/>
    <w:rsid w:val="00651EB1"/>
    <w:rsid w:val="006714FC"/>
    <w:rsid w:val="00682046"/>
    <w:rsid w:val="00683852"/>
    <w:rsid w:val="0069683F"/>
    <w:rsid w:val="006B08C1"/>
    <w:rsid w:val="006C3001"/>
    <w:rsid w:val="006E0CF6"/>
    <w:rsid w:val="006E3F9F"/>
    <w:rsid w:val="006E43D1"/>
    <w:rsid w:val="006E48CD"/>
    <w:rsid w:val="006E4C68"/>
    <w:rsid w:val="006F666A"/>
    <w:rsid w:val="00704538"/>
    <w:rsid w:val="0071596F"/>
    <w:rsid w:val="00731F8A"/>
    <w:rsid w:val="007354C8"/>
    <w:rsid w:val="007421F2"/>
    <w:rsid w:val="007465C6"/>
    <w:rsid w:val="00753A65"/>
    <w:rsid w:val="00781D5D"/>
    <w:rsid w:val="007B0C77"/>
    <w:rsid w:val="007D6A41"/>
    <w:rsid w:val="007E3B04"/>
    <w:rsid w:val="008119A9"/>
    <w:rsid w:val="0081394B"/>
    <w:rsid w:val="008249BB"/>
    <w:rsid w:val="00832321"/>
    <w:rsid w:val="0083540E"/>
    <w:rsid w:val="00842C01"/>
    <w:rsid w:val="00846AA4"/>
    <w:rsid w:val="0085419A"/>
    <w:rsid w:val="008918FD"/>
    <w:rsid w:val="00894651"/>
    <w:rsid w:val="00894CB7"/>
    <w:rsid w:val="00895C3D"/>
    <w:rsid w:val="008A169A"/>
    <w:rsid w:val="008C107E"/>
    <w:rsid w:val="008C73C5"/>
    <w:rsid w:val="008E04EC"/>
    <w:rsid w:val="008E3552"/>
    <w:rsid w:val="008E57F8"/>
    <w:rsid w:val="008F19F2"/>
    <w:rsid w:val="0091071A"/>
    <w:rsid w:val="0093000D"/>
    <w:rsid w:val="009402C7"/>
    <w:rsid w:val="0094582F"/>
    <w:rsid w:val="009477EB"/>
    <w:rsid w:val="00964287"/>
    <w:rsid w:val="00965A71"/>
    <w:rsid w:val="009777B4"/>
    <w:rsid w:val="00987CCB"/>
    <w:rsid w:val="009B34D8"/>
    <w:rsid w:val="009B55A4"/>
    <w:rsid w:val="009B69CA"/>
    <w:rsid w:val="009B7138"/>
    <w:rsid w:val="009C501E"/>
    <w:rsid w:val="009C50F5"/>
    <w:rsid w:val="009C6776"/>
    <w:rsid w:val="009F31DC"/>
    <w:rsid w:val="009F7CD0"/>
    <w:rsid w:val="00A01902"/>
    <w:rsid w:val="00A01F8C"/>
    <w:rsid w:val="00A217DE"/>
    <w:rsid w:val="00A27C03"/>
    <w:rsid w:val="00A304F1"/>
    <w:rsid w:val="00A45169"/>
    <w:rsid w:val="00A46E3B"/>
    <w:rsid w:val="00A47196"/>
    <w:rsid w:val="00A62F4F"/>
    <w:rsid w:val="00A6509F"/>
    <w:rsid w:val="00A75552"/>
    <w:rsid w:val="00A779E4"/>
    <w:rsid w:val="00AB0377"/>
    <w:rsid w:val="00AB1253"/>
    <w:rsid w:val="00AB181B"/>
    <w:rsid w:val="00AC0FB3"/>
    <w:rsid w:val="00AC0FED"/>
    <w:rsid w:val="00AD15E4"/>
    <w:rsid w:val="00AD3E2D"/>
    <w:rsid w:val="00AE0009"/>
    <w:rsid w:val="00AE315B"/>
    <w:rsid w:val="00B40B26"/>
    <w:rsid w:val="00B429A8"/>
    <w:rsid w:val="00B45019"/>
    <w:rsid w:val="00B47541"/>
    <w:rsid w:val="00B60DCC"/>
    <w:rsid w:val="00B72583"/>
    <w:rsid w:val="00B75CA2"/>
    <w:rsid w:val="00B86932"/>
    <w:rsid w:val="00BA17F8"/>
    <w:rsid w:val="00BB3EDB"/>
    <w:rsid w:val="00BB54B2"/>
    <w:rsid w:val="00BB7E88"/>
    <w:rsid w:val="00BD2FF1"/>
    <w:rsid w:val="00BF1F15"/>
    <w:rsid w:val="00BF7BFD"/>
    <w:rsid w:val="00C052B6"/>
    <w:rsid w:val="00C07999"/>
    <w:rsid w:val="00C07EB6"/>
    <w:rsid w:val="00C22396"/>
    <w:rsid w:val="00C24A4E"/>
    <w:rsid w:val="00C3585D"/>
    <w:rsid w:val="00C420A7"/>
    <w:rsid w:val="00C9570A"/>
    <w:rsid w:val="00CA2B7F"/>
    <w:rsid w:val="00CB5456"/>
    <w:rsid w:val="00CD3A35"/>
    <w:rsid w:val="00CE7D1D"/>
    <w:rsid w:val="00CF6962"/>
    <w:rsid w:val="00D043B8"/>
    <w:rsid w:val="00D0480A"/>
    <w:rsid w:val="00D0509D"/>
    <w:rsid w:val="00D068B1"/>
    <w:rsid w:val="00D12846"/>
    <w:rsid w:val="00D2666B"/>
    <w:rsid w:val="00D272F0"/>
    <w:rsid w:val="00D34729"/>
    <w:rsid w:val="00D43D9A"/>
    <w:rsid w:val="00D65862"/>
    <w:rsid w:val="00D6711E"/>
    <w:rsid w:val="00D75901"/>
    <w:rsid w:val="00D771D3"/>
    <w:rsid w:val="00D81211"/>
    <w:rsid w:val="00D83529"/>
    <w:rsid w:val="00DB4379"/>
    <w:rsid w:val="00DC471C"/>
    <w:rsid w:val="00DC6934"/>
    <w:rsid w:val="00DD37CF"/>
    <w:rsid w:val="00DE1393"/>
    <w:rsid w:val="00DE49BF"/>
    <w:rsid w:val="00DF6EC1"/>
    <w:rsid w:val="00DF749E"/>
    <w:rsid w:val="00E23CDA"/>
    <w:rsid w:val="00E360C7"/>
    <w:rsid w:val="00E42CC8"/>
    <w:rsid w:val="00E56F5C"/>
    <w:rsid w:val="00E605C2"/>
    <w:rsid w:val="00E60E99"/>
    <w:rsid w:val="00E61A85"/>
    <w:rsid w:val="00E701EF"/>
    <w:rsid w:val="00E80B42"/>
    <w:rsid w:val="00E92870"/>
    <w:rsid w:val="00E9567A"/>
    <w:rsid w:val="00EA42E3"/>
    <w:rsid w:val="00EB5B9A"/>
    <w:rsid w:val="00EC3488"/>
    <w:rsid w:val="00ED1D3B"/>
    <w:rsid w:val="00EF19A0"/>
    <w:rsid w:val="00EF4666"/>
    <w:rsid w:val="00EF66EC"/>
    <w:rsid w:val="00F02617"/>
    <w:rsid w:val="00F20053"/>
    <w:rsid w:val="00F4091B"/>
    <w:rsid w:val="00F415F2"/>
    <w:rsid w:val="00F54A51"/>
    <w:rsid w:val="00F556FA"/>
    <w:rsid w:val="00F567ED"/>
    <w:rsid w:val="00F62E24"/>
    <w:rsid w:val="00F63B95"/>
    <w:rsid w:val="00F86BF2"/>
    <w:rsid w:val="00F93651"/>
    <w:rsid w:val="00FD10B3"/>
    <w:rsid w:val="00FD4CFC"/>
    <w:rsid w:val="00FE5E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571C38"/>
  <w15:chartTrackingRefBased/>
  <w15:docId w15:val="{DBE4672D-7E15-411B-ABDE-C5EB7E7F2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caption" w:semiHidden="1" w:uiPriority="35" w:unhideWhenUsed="1" w:qFormat="1"/>
    <w:lsdException w:name="annotation reference" w:uiPriority="99"/>
    <w:lsdException w:name="Title" w:uiPriority="10" w:qFormat="1"/>
    <w:lsdException w:name="Subtitle" w:qFormat="1"/>
    <w:lsdException w:name="Hyperlink" w:uiPriority="99"/>
    <w:lsdException w:name="Strong" w:qFormat="1"/>
    <w:lsdException w:name="Emphasis" w:uiPriority="20"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DA0"/>
    <w:pPr>
      <w:widowControl w:val="0"/>
      <w:autoSpaceDE w:val="0"/>
      <w:autoSpaceDN w:val="0"/>
      <w:adjustRightInd w:val="0"/>
      <w:jc w:val="both"/>
    </w:pPr>
    <w:rPr>
      <w:rFonts w:ascii="Arial" w:hAnsi="Arial"/>
      <w:sz w:val="22"/>
      <w:szCs w:val="24"/>
      <w:lang w:eastAsia="en-US"/>
    </w:rPr>
  </w:style>
  <w:style w:type="paragraph" w:styleId="Heading1">
    <w:name w:val="heading 1"/>
    <w:aliases w:val="Abstract"/>
    <w:basedOn w:val="Normal"/>
    <w:next w:val="Normal"/>
    <w:link w:val="Heading1Char"/>
    <w:uiPriority w:val="9"/>
    <w:qFormat/>
    <w:rsid w:val="004533CB"/>
    <w:pPr>
      <w:widowControl/>
      <w:autoSpaceDE/>
      <w:autoSpaceDN/>
      <w:adjustRightInd/>
      <w:spacing w:before="160" w:after="160"/>
      <w:ind w:left="432" w:hanging="432"/>
      <w:outlineLvl w:val="0"/>
    </w:pPr>
    <w:rPr>
      <w:rFonts w:eastAsiaTheme="minorHAnsi" w:cstheme="minorBidi"/>
      <w:b/>
      <w:sz w:val="24"/>
      <w:szCs w:val="22"/>
      <w:lang w:val="en-US"/>
    </w:rPr>
  </w:style>
  <w:style w:type="paragraph" w:styleId="Heading2">
    <w:name w:val="heading 2"/>
    <w:basedOn w:val="Normal"/>
    <w:next w:val="Normal"/>
    <w:link w:val="Heading2Char"/>
    <w:uiPriority w:val="9"/>
    <w:unhideWhenUsed/>
    <w:qFormat/>
    <w:rsid w:val="004533CB"/>
    <w:pPr>
      <w:widowControl/>
      <w:numPr>
        <w:numId w:val="2"/>
      </w:numPr>
      <w:autoSpaceDE/>
      <w:autoSpaceDN/>
      <w:adjustRightInd/>
      <w:spacing w:before="160" w:after="160"/>
      <w:outlineLvl w:val="1"/>
    </w:pPr>
    <w:rPr>
      <w:rFonts w:eastAsiaTheme="minorHAnsi" w:cstheme="minorBidi"/>
      <w:b/>
      <w:sz w:val="24"/>
      <w:szCs w:val="22"/>
      <w:lang w:val="en-US"/>
    </w:rPr>
  </w:style>
  <w:style w:type="paragraph" w:styleId="Heading3">
    <w:name w:val="heading 3"/>
    <w:basedOn w:val="Heading2"/>
    <w:next w:val="Normal"/>
    <w:link w:val="Heading3Char"/>
    <w:uiPriority w:val="9"/>
    <w:unhideWhenUsed/>
    <w:qFormat/>
    <w:rsid w:val="004F6DA0"/>
    <w:pPr>
      <w:numPr>
        <w:ilvl w:val="1"/>
      </w:numPr>
      <w:outlineLvl w:val="2"/>
    </w:pPr>
  </w:style>
  <w:style w:type="paragraph" w:styleId="Heading4">
    <w:name w:val="heading 4"/>
    <w:basedOn w:val="Normal"/>
    <w:next w:val="Normal"/>
    <w:link w:val="Heading4Char"/>
    <w:uiPriority w:val="9"/>
    <w:semiHidden/>
    <w:unhideWhenUsed/>
    <w:qFormat/>
    <w:rsid w:val="004F6DA0"/>
    <w:pPr>
      <w:keepNext/>
      <w:keepLines/>
      <w:widowControl/>
      <w:numPr>
        <w:ilvl w:val="3"/>
        <w:numId w:val="2"/>
      </w:numPr>
      <w:autoSpaceDE/>
      <w:autoSpaceDN/>
      <w:adjustRightInd/>
      <w:spacing w:before="40"/>
      <w:outlineLvl w:val="3"/>
    </w:pPr>
    <w:rPr>
      <w:rFonts w:asciiTheme="majorHAnsi" w:eastAsiaTheme="majorEastAsia" w:hAnsiTheme="majorHAnsi" w:cstheme="majorBidi"/>
      <w:i/>
      <w:iCs/>
      <w:color w:val="2F5496" w:themeColor="accent1" w:themeShade="BF"/>
      <w:szCs w:val="22"/>
      <w:lang w:val="en-US"/>
    </w:rPr>
  </w:style>
  <w:style w:type="paragraph" w:styleId="Heading5">
    <w:name w:val="heading 5"/>
    <w:basedOn w:val="Normal"/>
    <w:next w:val="Normal"/>
    <w:link w:val="Heading5Char"/>
    <w:uiPriority w:val="9"/>
    <w:semiHidden/>
    <w:unhideWhenUsed/>
    <w:qFormat/>
    <w:rsid w:val="004F6DA0"/>
    <w:pPr>
      <w:keepNext/>
      <w:keepLines/>
      <w:widowControl/>
      <w:numPr>
        <w:ilvl w:val="4"/>
        <w:numId w:val="2"/>
      </w:numPr>
      <w:autoSpaceDE/>
      <w:autoSpaceDN/>
      <w:adjustRightInd/>
      <w:spacing w:before="40"/>
      <w:outlineLvl w:val="4"/>
    </w:pPr>
    <w:rPr>
      <w:rFonts w:asciiTheme="majorHAnsi" w:eastAsiaTheme="majorEastAsia" w:hAnsiTheme="majorHAnsi" w:cstheme="majorBidi"/>
      <w:color w:val="2F5496" w:themeColor="accent1" w:themeShade="BF"/>
      <w:szCs w:val="22"/>
      <w:lang w:val="en-US"/>
    </w:rPr>
  </w:style>
  <w:style w:type="paragraph" w:styleId="Heading6">
    <w:name w:val="heading 6"/>
    <w:basedOn w:val="Normal"/>
    <w:next w:val="Normal"/>
    <w:link w:val="Heading6Char"/>
    <w:uiPriority w:val="9"/>
    <w:semiHidden/>
    <w:unhideWhenUsed/>
    <w:qFormat/>
    <w:rsid w:val="004F6DA0"/>
    <w:pPr>
      <w:keepNext/>
      <w:keepLines/>
      <w:widowControl/>
      <w:numPr>
        <w:ilvl w:val="5"/>
        <w:numId w:val="2"/>
      </w:numPr>
      <w:autoSpaceDE/>
      <w:autoSpaceDN/>
      <w:adjustRightInd/>
      <w:spacing w:before="40"/>
      <w:outlineLvl w:val="5"/>
    </w:pPr>
    <w:rPr>
      <w:rFonts w:asciiTheme="majorHAnsi" w:eastAsiaTheme="majorEastAsia" w:hAnsiTheme="majorHAnsi" w:cstheme="majorBidi"/>
      <w:color w:val="1F3763" w:themeColor="accent1" w:themeShade="7F"/>
      <w:szCs w:val="22"/>
      <w:lang w:val="en-US"/>
    </w:rPr>
  </w:style>
  <w:style w:type="paragraph" w:styleId="Heading7">
    <w:name w:val="heading 7"/>
    <w:basedOn w:val="Normal"/>
    <w:next w:val="Normal"/>
    <w:link w:val="Heading7Char"/>
    <w:uiPriority w:val="9"/>
    <w:semiHidden/>
    <w:unhideWhenUsed/>
    <w:qFormat/>
    <w:rsid w:val="004F6DA0"/>
    <w:pPr>
      <w:keepNext/>
      <w:keepLines/>
      <w:widowControl/>
      <w:numPr>
        <w:ilvl w:val="6"/>
        <w:numId w:val="2"/>
      </w:numPr>
      <w:autoSpaceDE/>
      <w:autoSpaceDN/>
      <w:adjustRightInd/>
      <w:spacing w:before="40"/>
      <w:outlineLvl w:val="6"/>
    </w:pPr>
    <w:rPr>
      <w:rFonts w:asciiTheme="majorHAnsi" w:eastAsiaTheme="majorEastAsia" w:hAnsiTheme="majorHAnsi" w:cstheme="majorBidi"/>
      <w:i/>
      <w:iCs/>
      <w:color w:val="1F3763" w:themeColor="accent1" w:themeShade="7F"/>
      <w:szCs w:val="22"/>
      <w:lang w:val="en-US"/>
    </w:rPr>
  </w:style>
  <w:style w:type="paragraph" w:styleId="Heading8">
    <w:name w:val="heading 8"/>
    <w:basedOn w:val="Normal"/>
    <w:next w:val="Normal"/>
    <w:link w:val="Heading8Char"/>
    <w:uiPriority w:val="9"/>
    <w:semiHidden/>
    <w:unhideWhenUsed/>
    <w:qFormat/>
    <w:rsid w:val="004F6DA0"/>
    <w:pPr>
      <w:keepNext/>
      <w:keepLines/>
      <w:widowControl/>
      <w:numPr>
        <w:ilvl w:val="7"/>
        <w:numId w:val="2"/>
      </w:numPr>
      <w:autoSpaceDE/>
      <w:autoSpaceDN/>
      <w:adjustRightInd/>
      <w:spacing w:before="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4F6DA0"/>
    <w:pPr>
      <w:keepNext/>
      <w:keepLines/>
      <w:widowControl/>
      <w:numPr>
        <w:ilvl w:val="8"/>
        <w:numId w:val="2"/>
      </w:numPr>
      <w:autoSpaceDE/>
      <w:autoSpaceDN/>
      <w:adjustRightInd/>
      <w:spacing w:before="4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085C5F"/>
    <w:rPr>
      <w:sz w:val="16"/>
      <w:szCs w:val="16"/>
    </w:rPr>
  </w:style>
  <w:style w:type="paragraph" w:styleId="CommentText">
    <w:name w:val="annotation text"/>
    <w:basedOn w:val="Normal"/>
    <w:link w:val="CommentTextChar"/>
    <w:uiPriority w:val="99"/>
    <w:rsid w:val="00085C5F"/>
    <w:rPr>
      <w:sz w:val="20"/>
      <w:szCs w:val="20"/>
    </w:rPr>
  </w:style>
  <w:style w:type="character" w:customStyle="1" w:styleId="CommentTextChar">
    <w:name w:val="Comment Text Char"/>
    <w:link w:val="CommentText"/>
    <w:uiPriority w:val="99"/>
    <w:rsid w:val="00085C5F"/>
    <w:rPr>
      <w:lang w:eastAsia="en-US"/>
    </w:rPr>
  </w:style>
  <w:style w:type="paragraph" w:styleId="CommentSubject">
    <w:name w:val="annotation subject"/>
    <w:basedOn w:val="CommentText"/>
    <w:next w:val="CommentText"/>
    <w:link w:val="CommentSubjectChar"/>
    <w:uiPriority w:val="99"/>
    <w:rsid w:val="00085C5F"/>
    <w:rPr>
      <w:b/>
      <w:bCs/>
    </w:rPr>
  </w:style>
  <w:style w:type="character" w:customStyle="1" w:styleId="CommentSubjectChar">
    <w:name w:val="Comment Subject Char"/>
    <w:link w:val="CommentSubject"/>
    <w:uiPriority w:val="99"/>
    <w:rsid w:val="00085C5F"/>
    <w:rPr>
      <w:b/>
      <w:bCs/>
      <w:lang w:eastAsia="en-US"/>
    </w:rPr>
  </w:style>
  <w:style w:type="character" w:customStyle="1" w:styleId="Heading1Char">
    <w:name w:val="Heading 1 Char"/>
    <w:aliases w:val="Abstract Char"/>
    <w:basedOn w:val="DefaultParagraphFont"/>
    <w:link w:val="Heading1"/>
    <w:uiPriority w:val="9"/>
    <w:rsid w:val="004533CB"/>
    <w:rPr>
      <w:rFonts w:ascii="Arial" w:eastAsiaTheme="minorHAnsi" w:hAnsi="Arial" w:cstheme="minorBidi"/>
      <w:b/>
      <w:sz w:val="24"/>
      <w:szCs w:val="22"/>
      <w:lang w:val="en-US" w:eastAsia="en-US"/>
    </w:rPr>
  </w:style>
  <w:style w:type="character" w:customStyle="1" w:styleId="Heading2Char">
    <w:name w:val="Heading 2 Char"/>
    <w:basedOn w:val="DefaultParagraphFont"/>
    <w:link w:val="Heading2"/>
    <w:uiPriority w:val="9"/>
    <w:rsid w:val="004533CB"/>
    <w:rPr>
      <w:rFonts w:ascii="Arial" w:eastAsiaTheme="minorHAnsi" w:hAnsi="Arial" w:cstheme="minorBidi"/>
      <w:b/>
      <w:sz w:val="24"/>
      <w:szCs w:val="22"/>
      <w:lang w:val="en-US" w:eastAsia="en-US"/>
    </w:rPr>
  </w:style>
  <w:style w:type="character" w:customStyle="1" w:styleId="Heading3Char">
    <w:name w:val="Heading 3 Char"/>
    <w:basedOn w:val="DefaultParagraphFont"/>
    <w:link w:val="Heading3"/>
    <w:uiPriority w:val="9"/>
    <w:rsid w:val="004F6DA0"/>
    <w:rPr>
      <w:rFonts w:ascii="Arial" w:eastAsiaTheme="minorHAnsi" w:hAnsi="Arial" w:cstheme="minorBidi"/>
      <w:b/>
      <w:sz w:val="24"/>
      <w:szCs w:val="22"/>
      <w:lang w:val="en-US" w:eastAsia="en-US"/>
    </w:rPr>
  </w:style>
  <w:style w:type="character" w:customStyle="1" w:styleId="Heading4Char">
    <w:name w:val="Heading 4 Char"/>
    <w:basedOn w:val="DefaultParagraphFont"/>
    <w:link w:val="Heading4"/>
    <w:uiPriority w:val="9"/>
    <w:semiHidden/>
    <w:rsid w:val="004F6DA0"/>
    <w:rPr>
      <w:rFonts w:asciiTheme="majorHAnsi" w:eastAsiaTheme="majorEastAsia" w:hAnsiTheme="majorHAnsi" w:cstheme="majorBidi"/>
      <w:i/>
      <w:iCs/>
      <w:color w:val="2F5496" w:themeColor="accent1" w:themeShade="BF"/>
      <w:sz w:val="22"/>
      <w:szCs w:val="22"/>
      <w:lang w:val="en-US" w:eastAsia="en-US"/>
    </w:rPr>
  </w:style>
  <w:style w:type="character" w:customStyle="1" w:styleId="Heading5Char">
    <w:name w:val="Heading 5 Char"/>
    <w:basedOn w:val="DefaultParagraphFont"/>
    <w:link w:val="Heading5"/>
    <w:uiPriority w:val="9"/>
    <w:semiHidden/>
    <w:rsid w:val="004F6DA0"/>
    <w:rPr>
      <w:rFonts w:asciiTheme="majorHAnsi" w:eastAsiaTheme="majorEastAsia" w:hAnsiTheme="majorHAnsi" w:cstheme="majorBidi"/>
      <w:color w:val="2F5496" w:themeColor="accent1" w:themeShade="BF"/>
      <w:sz w:val="22"/>
      <w:szCs w:val="22"/>
      <w:lang w:val="en-US" w:eastAsia="en-US"/>
    </w:rPr>
  </w:style>
  <w:style w:type="character" w:customStyle="1" w:styleId="Heading6Char">
    <w:name w:val="Heading 6 Char"/>
    <w:basedOn w:val="DefaultParagraphFont"/>
    <w:link w:val="Heading6"/>
    <w:uiPriority w:val="9"/>
    <w:semiHidden/>
    <w:rsid w:val="004F6DA0"/>
    <w:rPr>
      <w:rFonts w:asciiTheme="majorHAnsi" w:eastAsiaTheme="majorEastAsia" w:hAnsiTheme="majorHAnsi" w:cstheme="majorBidi"/>
      <w:color w:val="1F3763" w:themeColor="accent1" w:themeShade="7F"/>
      <w:sz w:val="22"/>
      <w:szCs w:val="22"/>
      <w:lang w:val="en-US" w:eastAsia="en-US"/>
    </w:rPr>
  </w:style>
  <w:style w:type="character" w:customStyle="1" w:styleId="Heading7Char">
    <w:name w:val="Heading 7 Char"/>
    <w:basedOn w:val="DefaultParagraphFont"/>
    <w:link w:val="Heading7"/>
    <w:uiPriority w:val="9"/>
    <w:semiHidden/>
    <w:rsid w:val="004F6DA0"/>
    <w:rPr>
      <w:rFonts w:asciiTheme="majorHAnsi" w:eastAsiaTheme="majorEastAsia" w:hAnsiTheme="majorHAnsi" w:cstheme="majorBidi"/>
      <w:i/>
      <w:iCs/>
      <w:color w:val="1F3763" w:themeColor="accent1" w:themeShade="7F"/>
      <w:sz w:val="22"/>
      <w:szCs w:val="22"/>
      <w:lang w:val="en-US" w:eastAsia="en-US"/>
    </w:rPr>
  </w:style>
  <w:style w:type="character" w:customStyle="1" w:styleId="Heading8Char">
    <w:name w:val="Heading 8 Char"/>
    <w:basedOn w:val="DefaultParagraphFont"/>
    <w:link w:val="Heading8"/>
    <w:uiPriority w:val="9"/>
    <w:semiHidden/>
    <w:rsid w:val="004F6DA0"/>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4F6DA0"/>
    <w:rPr>
      <w:rFonts w:asciiTheme="majorHAnsi" w:eastAsiaTheme="majorEastAsia" w:hAnsiTheme="majorHAnsi" w:cstheme="majorBidi"/>
      <w:i/>
      <w:iCs/>
      <w:color w:val="272727" w:themeColor="text1" w:themeTint="D8"/>
      <w:sz w:val="21"/>
      <w:szCs w:val="21"/>
      <w:lang w:val="en-US" w:eastAsia="en-US"/>
    </w:rPr>
  </w:style>
  <w:style w:type="paragraph" w:styleId="Caption">
    <w:name w:val="caption"/>
    <w:basedOn w:val="Normal"/>
    <w:next w:val="Normal"/>
    <w:link w:val="CaptionChar"/>
    <w:uiPriority w:val="35"/>
    <w:unhideWhenUsed/>
    <w:qFormat/>
    <w:rsid w:val="004F6DA0"/>
    <w:pPr>
      <w:widowControl/>
      <w:autoSpaceDE/>
      <w:autoSpaceDN/>
      <w:adjustRightInd/>
      <w:spacing w:after="200"/>
      <w:jc w:val="center"/>
    </w:pPr>
    <w:rPr>
      <w:rFonts w:eastAsiaTheme="minorHAnsi" w:cstheme="minorBidi"/>
      <w:b/>
      <w:iCs/>
      <w:sz w:val="18"/>
      <w:szCs w:val="18"/>
      <w:lang w:val="en-US"/>
    </w:rPr>
  </w:style>
  <w:style w:type="table" w:styleId="TableGrid">
    <w:name w:val="Table Grid"/>
    <w:basedOn w:val="TableNormal"/>
    <w:rsid w:val="004F6DA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F6DA0"/>
    <w:rPr>
      <w:color w:val="808080"/>
    </w:rPr>
  </w:style>
  <w:style w:type="paragraph" w:customStyle="1" w:styleId="Equation">
    <w:name w:val="Equation"/>
    <w:basedOn w:val="Caption"/>
    <w:link w:val="EquationChar"/>
    <w:qFormat/>
    <w:rsid w:val="004F6DA0"/>
  </w:style>
  <w:style w:type="character" w:styleId="Emphasis">
    <w:name w:val="Emphasis"/>
    <w:basedOn w:val="DefaultParagraphFont"/>
    <w:uiPriority w:val="20"/>
    <w:qFormat/>
    <w:rsid w:val="004F6DA0"/>
    <w:rPr>
      <w:i/>
      <w:iCs/>
    </w:rPr>
  </w:style>
  <w:style w:type="character" w:customStyle="1" w:styleId="CaptionChar">
    <w:name w:val="Caption Char"/>
    <w:basedOn w:val="DefaultParagraphFont"/>
    <w:link w:val="Caption"/>
    <w:uiPriority w:val="35"/>
    <w:rsid w:val="004F6DA0"/>
    <w:rPr>
      <w:rFonts w:ascii="Arial" w:eastAsiaTheme="minorHAnsi" w:hAnsi="Arial" w:cstheme="minorBidi"/>
      <w:b/>
      <w:iCs/>
      <w:sz w:val="18"/>
      <w:szCs w:val="18"/>
      <w:lang w:val="en-US" w:eastAsia="en-US"/>
    </w:rPr>
  </w:style>
  <w:style w:type="character" w:customStyle="1" w:styleId="EquationChar">
    <w:name w:val="Equation Char"/>
    <w:basedOn w:val="CaptionChar"/>
    <w:link w:val="Equation"/>
    <w:rsid w:val="004F6DA0"/>
    <w:rPr>
      <w:rFonts w:ascii="Arial" w:eastAsiaTheme="minorHAnsi" w:hAnsi="Arial" w:cstheme="minorBidi"/>
      <w:b/>
      <w:iCs/>
      <w:sz w:val="18"/>
      <w:szCs w:val="18"/>
      <w:lang w:val="en-US" w:eastAsia="en-US"/>
    </w:rPr>
  </w:style>
  <w:style w:type="character" w:customStyle="1" w:styleId="BalloonTextChar">
    <w:name w:val="Balloon Text Char"/>
    <w:basedOn w:val="DefaultParagraphFont"/>
    <w:link w:val="BalloonText"/>
    <w:uiPriority w:val="99"/>
    <w:semiHidden/>
    <w:rsid w:val="004F6DA0"/>
    <w:rPr>
      <w:rFonts w:ascii="Tahoma" w:hAnsi="Tahoma" w:cs="Tahoma"/>
      <w:sz w:val="16"/>
      <w:szCs w:val="16"/>
      <w:lang w:eastAsia="en-US"/>
    </w:rPr>
  </w:style>
  <w:style w:type="paragraph" w:customStyle="1" w:styleId="EndNoteBibliographyTitle">
    <w:name w:val="EndNote Bibliography Title"/>
    <w:basedOn w:val="Normal"/>
    <w:link w:val="EndNoteBibliographyTitleChar"/>
    <w:rsid w:val="004F6DA0"/>
    <w:pPr>
      <w:widowControl/>
      <w:autoSpaceDE/>
      <w:autoSpaceDN/>
      <w:adjustRightInd/>
      <w:jc w:val="center"/>
    </w:pPr>
    <w:rPr>
      <w:rFonts w:eastAsiaTheme="minorHAnsi" w:cs="Arial"/>
      <w:noProof/>
      <w:sz w:val="20"/>
      <w:szCs w:val="22"/>
      <w:lang w:val="en-US"/>
    </w:rPr>
  </w:style>
  <w:style w:type="character" w:customStyle="1" w:styleId="EndNoteBibliographyTitleChar">
    <w:name w:val="EndNote Bibliography Title Char"/>
    <w:basedOn w:val="DefaultParagraphFont"/>
    <w:link w:val="EndNoteBibliographyTitle"/>
    <w:rsid w:val="004F6DA0"/>
    <w:rPr>
      <w:rFonts w:ascii="Arial" w:eastAsiaTheme="minorHAnsi" w:hAnsi="Arial" w:cs="Arial"/>
      <w:noProof/>
      <w:szCs w:val="22"/>
      <w:lang w:val="en-US" w:eastAsia="en-US"/>
    </w:rPr>
  </w:style>
  <w:style w:type="paragraph" w:customStyle="1" w:styleId="EndNoteBibliography">
    <w:name w:val="EndNote Bibliography"/>
    <w:basedOn w:val="Normal"/>
    <w:link w:val="EndNoteBibliographyChar"/>
    <w:rsid w:val="004F6DA0"/>
    <w:pPr>
      <w:widowControl/>
      <w:autoSpaceDE/>
      <w:autoSpaceDN/>
      <w:adjustRightInd/>
      <w:spacing w:after="160"/>
    </w:pPr>
    <w:rPr>
      <w:rFonts w:eastAsiaTheme="minorHAnsi" w:cs="Arial"/>
      <w:noProof/>
      <w:sz w:val="20"/>
      <w:szCs w:val="22"/>
      <w:lang w:val="en-US"/>
    </w:rPr>
  </w:style>
  <w:style w:type="character" w:customStyle="1" w:styleId="EndNoteBibliographyChar">
    <w:name w:val="EndNote Bibliography Char"/>
    <w:basedOn w:val="DefaultParagraphFont"/>
    <w:link w:val="EndNoteBibliography"/>
    <w:rsid w:val="004F6DA0"/>
    <w:rPr>
      <w:rFonts w:ascii="Arial" w:eastAsiaTheme="minorHAnsi" w:hAnsi="Arial" w:cs="Arial"/>
      <w:noProof/>
      <w:szCs w:val="22"/>
      <w:lang w:val="en-US" w:eastAsia="en-US"/>
    </w:rPr>
  </w:style>
  <w:style w:type="table" w:styleId="GridTable2-Accent3">
    <w:name w:val="Grid Table 2 Accent 3"/>
    <w:basedOn w:val="TableNormal"/>
    <w:uiPriority w:val="47"/>
    <w:rsid w:val="004F6DA0"/>
    <w:rPr>
      <w:rFonts w:asciiTheme="minorHAnsi" w:eastAsiaTheme="minorHAnsi" w:hAnsiTheme="minorHAnsi" w:cstheme="minorBidi"/>
      <w:sz w:val="22"/>
      <w:szCs w:val="22"/>
      <w:lang w:val="en-US"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4F6DA0"/>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4F6DA0"/>
    <w:pPr>
      <w:widowControl/>
      <w:autoSpaceDE/>
      <w:autoSpaceDN/>
      <w:adjustRightInd/>
      <w:contextualSpacing/>
    </w:pPr>
    <w:rPr>
      <w:rFonts w:eastAsiaTheme="majorEastAsia" w:cstheme="majorBidi"/>
      <w:b/>
      <w:spacing w:val="-10"/>
      <w:kern w:val="28"/>
      <w:sz w:val="28"/>
      <w:szCs w:val="56"/>
      <w:lang w:val="en-US"/>
    </w:rPr>
  </w:style>
  <w:style w:type="character" w:customStyle="1" w:styleId="TitleChar">
    <w:name w:val="Title Char"/>
    <w:basedOn w:val="DefaultParagraphFont"/>
    <w:link w:val="Title"/>
    <w:uiPriority w:val="10"/>
    <w:rsid w:val="004F6DA0"/>
    <w:rPr>
      <w:rFonts w:ascii="Arial" w:eastAsiaTheme="majorEastAsia" w:hAnsi="Arial" w:cstheme="majorBidi"/>
      <w:b/>
      <w:spacing w:val="-10"/>
      <w:kern w:val="28"/>
      <w:sz w:val="28"/>
      <w:szCs w:val="56"/>
      <w:lang w:val="en-US" w:eastAsia="en-US"/>
    </w:rPr>
  </w:style>
  <w:style w:type="paragraph" w:styleId="Revision">
    <w:name w:val="Revision"/>
    <w:hidden/>
    <w:uiPriority w:val="99"/>
    <w:semiHidden/>
    <w:rsid w:val="0059046A"/>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8CDA58-80EC-42A4-A123-EE1FEA32C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10202</Words>
  <Characters>58158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68224</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dc:description/>
  <cp:lastModifiedBy>Patricio Gallardo</cp:lastModifiedBy>
  <cp:revision>3</cp:revision>
  <cp:lastPrinted>2013-10-15T01:27:00Z</cp:lastPrinted>
  <dcterms:created xsi:type="dcterms:W3CDTF">2020-02-10T03:15:00Z</dcterms:created>
  <dcterms:modified xsi:type="dcterms:W3CDTF">2020-02-10T03:20:00Z</dcterms:modified>
</cp:coreProperties>
</file>