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53A3E" w14:textId="2C37016B" w:rsidR="00A65188" w:rsidRDefault="00C11ED7">
      <w:pPr>
        <w:rPr>
          <w:rFonts w:ascii="Montserrat" w:hAnsi="Montserrat"/>
          <w:b/>
          <w:bCs/>
          <w:color w:val="0088C5"/>
          <w:sz w:val="28"/>
          <w:szCs w:val="28"/>
        </w:rPr>
      </w:pPr>
      <w:r w:rsidRPr="70BBBC68">
        <w:rPr>
          <w:rFonts w:ascii="Montserrat" w:hAnsi="Montserrat"/>
          <w:b/>
          <w:bCs/>
          <w:color w:val="0088C5"/>
          <w:sz w:val="28"/>
          <w:szCs w:val="28"/>
        </w:rPr>
        <w:t>Presentation Title (limited to 10 words)</w:t>
      </w:r>
    </w:p>
    <w:p w14:paraId="03F49BD5" w14:textId="46A15624" w:rsidR="00442CAD" w:rsidRPr="00442CAD" w:rsidRDefault="00442CAD" w:rsidP="00442CAD">
      <w:pPr>
        <w:rPr>
          <w:rFonts w:ascii="Montserrat" w:hAnsi="Montserrat"/>
          <w:b/>
          <w:bCs/>
        </w:rPr>
      </w:pPr>
      <w:r w:rsidRPr="00442CAD">
        <w:rPr>
          <w:rFonts w:ascii="Montserrat" w:hAnsi="Montserrat"/>
          <w:b/>
          <w:bCs/>
        </w:rPr>
        <w:t xml:space="preserve">Visualising Uncertainty: Communicating Coastal Disruption </w:t>
      </w:r>
      <w:r w:rsidR="00CA259A">
        <w:rPr>
          <w:rFonts w:ascii="Montserrat" w:hAnsi="Montserrat"/>
          <w:b/>
          <w:bCs/>
        </w:rPr>
        <w:t xml:space="preserve">to Transport Networks </w:t>
      </w:r>
    </w:p>
    <w:p w14:paraId="5A0AF98B" w14:textId="643296CE" w:rsidR="00442CAD" w:rsidRPr="00442CAD" w:rsidRDefault="00442CAD" w:rsidP="00442CAD">
      <w:pPr>
        <w:rPr>
          <w:rFonts w:ascii="Montserrat" w:hAnsi="Montserrat"/>
        </w:rPr>
      </w:pPr>
      <w:r w:rsidRPr="00442CAD">
        <w:rPr>
          <w:rFonts w:ascii="Montserrat" w:hAnsi="Montserrat"/>
        </w:rPr>
        <w:t>Aotearoa is defined by its long coastal edge—home to many communities connected by low-volume roads that are increasingly vulnerable to erosion and inundation. As sea levels rise and land-based flooding intensifies, these communities will face significant change. How do we visualise that uncertainty in a way that informs, empowers, and engages</w:t>
      </w:r>
      <w:r w:rsidR="002E7E99">
        <w:rPr>
          <w:rFonts w:ascii="Montserrat" w:hAnsi="Montserrat"/>
        </w:rPr>
        <w:t>, without technical overwhelm</w:t>
      </w:r>
      <w:r w:rsidRPr="00442CAD">
        <w:rPr>
          <w:rFonts w:ascii="Montserrat" w:hAnsi="Montserrat"/>
        </w:rPr>
        <w:t>?</w:t>
      </w:r>
    </w:p>
    <w:p w14:paraId="7214280E" w14:textId="569528C6" w:rsidR="00442CAD" w:rsidRPr="00442CAD" w:rsidRDefault="00442CAD" w:rsidP="00442CAD">
      <w:pPr>
        <w:rPr>
          <w:rFonts w:ascii="Montserrat" w:hAnsi="Montserrat"/>
        </w:rPr>
      </w:pPr>
      <w:r w:rsidRPr="00442CAD">
        <w:rPr>
          <w:rFonts w:ascii="Montserrat" w:hAnsi="Montserrat"/>
        </w:rPr>
        <w:t xml:space="preserve">Communicating change is challenging but essential. People need to understand what different adaptation pathways mean </w:t>
      </w:r>
      <w:r w:rsidR="002E7E99">
        <w:rPr>
          <w:rFonts w:ascii="Montserrat" w:hAnsi="Montserrat"/>
        </w:rPr>
        <w:t xml:space="preserve">for them </w:t>
      </w:r>
      <w:r w:rsidRPr="00442CAD">
        <w:rPr>
          <w:rFonts w:ascii="Montserrat" w:hAnsi="Montserrat"/>
        </w:rPr>
        <w:t>in tangible terms—</w:t>
      </w:r>
      <w:r w:rsidR="002E7E99">
        <w:rPr>
          <w:rFonts w:ascii="Montserrat" w:hAnsi="Montserrat"/>
        </w:rPr>
        <w:t>including</w:t>
      </w:r>
      <w:r w:rsidRPr="00442CAD">
        <w:rPr>
          <w:rFonts w:ascii="Montserrat" w:hAnsi="Montserrat"/>
        </w:rPr>
        <w:t xml:space="preserve"> access to their homes, livelihoods, and significant places. When dealing with emotive topics</w:t>
      </w:r>
      <w:r w:rsidR="002E7E99">
        <w:rPr>
          <w:rFonts w:ascii="Montserrat" w:hAnsi="Montserrat"/>
        </w:rPr>
        <w:t xml:space="preserve"> - </w:t>
      </w:r>
      <w:r w:rsidRPr="00442CAD">
        <w:rPr>
          <w:rFonts w:ascii="Montserrat" w:hAnsi="Montserrat"/>
        </w:rPr>
        <w:t>technical reports, charts, and tables often overwhelm rather than inform. When communication is too complex, people disengage—missing the opportunity to meaningfully</w:t>
      </w:r>
      <w:r w:rsidR="0086756A" w:rsidRPr="0086756A">
        <w:rPr>
          <w:rFonts w:ascii="Montserrat" w:hAnsi="Montserrat"/>
        </w:rPr>
        <w:t xml:space="preserve"> </w:t>
      </w:r>
      <w:r w:rsidR="0086756A" w:rsidRPr="00442CAD">
        <w:rPr>
          <w:rFonts w:ascii="Montserrat" w:hAnsi="Montserrat"/>
        </w:rPr>
        <w:t>participate</w:t>
      </w:r>
      <w:r w:rsidRPr="00442CAD">
        <w:rPr>
          <w:rFonts w:ascii="Montserrat" w:hAnsi="Montserrat"/>
        </w:rPr>
        <w:t xml:space="preserve"> in decisions about their future.</w:t>
      </w:r>
    </w:p>
    <w:p w14:paraId="0A5183C5" w14:textId="6D268446" w:rsidR="00442CAD" w:rsidRPr="00442CAD" w:rsidRDefault="00442CAD" w:rsidP="00442CAD">
      <w:pPr>
        <w:rPr>
          <w:rFonts w:ascii="Montserrat" w:hAnsi="Montserrat"/>
        </w:rPr>
      </w:pPr>
      <w:r w:rsidRPr="00442CAD">
        <w:rPr>
          <w:rFonts w:ascii="Montserrat" w:hAnsi="Montserrat"/>
        </w:rPr>
        <w:t>This is where effective visual communication becomes essential. Using clear, approachable graphics can help people understand what it all means for them, enabling participation and reducing fear—giving back a sense of control over the future.</w:t>
      </w:r>
      <w:r w:rsidR="002E7E99">
        <w:rPr>
          <w:rFonts w:ascii="Montserrat" w:hAnsi="Montserrat"/>
        </w:rPr>
        <w:t xml:space="preserve"> It is an artform, striking the balance between realism and imagination, allowing room for uncertainty, but providing a sense of direction.</w:t>
      </w:r>
    </w:p>
    <w:p w14:paraId="7438D895" w14:textId="10ACE4B6" w:rsidR="00442CAD" w:rsidRPr="00442CAD" w:rsidRDefault="00442CAD" w:rsidP="00442CAD">
      <w:pPr>
        <w:rPr>
          <w:rFonts w:ascii="Montserrat" w:hAnsi="Montserrat"/>
        </w:rPr>
      </w:pPr>
      <w:r w:rsidRPr="00442CAD">
        <w:rPr>
          <w:rFonts w:ascii="Montserrat" w:hAnsi="Montserrat"/>
        </w:rPr>
        <w:t xml:space="preserve">This poster presents a case study from the </w:t>
      </w:r>
      <w:r w:rsidRPr="00442CAD">
        <w:rPr>
          <w:rFonts w:ascii="Montserrat" w:hAnsi="Montserrat"/>
        </w:rPr>
        <w:t>CCC</w:t>
      </w:r>
      <w:r w:rsidRPr="00442CAD">
        <w:rPr>
          <w:rFonts w:ascii="Montserrat" w:hAnsi="Montserrat"/>
        </w:rPr>
        <w:t xml:space="preserve"> Coastal Hazards Adaptation Plan</w:t>
      </w:r>
      <w:r w:rsidRPr="00442CAD">
        <w:rPr>
          <w:rFonts w:ascii="Montserrat" w:hAnsi="Montserrat"/>
        </w:rPr>
        <w:t xml:space="preserve"> ‘</w:t>
      </w:r>
      <w:r w:rsidRPr="00442CAD">
        <w:rPr>
          <w:rFonts w:ascii="Montserrat" w:hAnsi="Montserrat"/>
        </w:rPr>
        <w:t xml:space="preserve">Planning for sea-level rise in </w:t>
      </w:r>
      <w:proofErr w:type="spellStart"/>
      <w:r w:rsidRPr="00442CAD">
        <w:rPr>
          <w:rFonts w:ascii="Montserrat" w:hAnsi="Montserrat"/>
        </w:rPr>
        <w:t>Whakaraupō</w:t>
      </w:r>
      <w:proofErr w:type="spellEnd"/>
      <w:r w:rsidRPr="00442CAD">
        <w:rPr>
          <w:rFonts w:ascii="Montserrat" w:hAnsi="Montserrat"/>
        </w:rPr>
        <w:t xml:space="preserve"> Lyttelton Harbour and </w:t>
      </w:r>
      <w:proofErr w:type="spellStart"/>
      <w:r w:rsidRPr="00442CAD">
        <w:rPr>
          <w:rFonts w:ascii="Montserrat" w:hAnsi="Montserrat"/>
        </w:rPr>
        <w:t>Koukourarata</w:t>
      </w:r>
      <w:proofErr w:type="spellEnd"/>
      <w:r w:rsidRPr="00442CAD">
        <w:rPr>
          <w:rFonts w:ascii="Montserrat" w:hAnsi="Montserrat"/>
        </w:rPr>
        <w:t xml:space="preserve"> Port Levy</w:t>
      </w:r>
      <w:r w:rsidRPr="00442CAD">
        <w:rPr>
          <w:rFonts w:ascii="Montserrat" w:hAnsi="Montserrat"/>
        </w:rPr>
        <w:t xml:space="preserve">’, led by the CCC Coastal Hazards Adaptation team. </w:t>
      </w:r>
      <w:r>
        <w:rPr>
          <w:rFonts w:ascii="Montserrat" w:hAnsi="Montserrat"/>
        </w:rPr>
        <w:t>This project</w:t>
      </w:r>
      <w:r w:rsidRPr="00442CAD">
        <w:rPr>
          <w:rFonts w:ascii="Montserrat" w:hAnsi="Montserrat"/>
        </w:rPr>
        <w:t xml:space="preserve"> involved</w:t>
      </w:r>
      <w:r>
        <w:rPr>
          <w:rFonts w:ascii="Montserrat" w:hAnsi="Montserrat"/>
        </w:rPr>
        <w:t xml:space="preserve"> working alongside the team to</w:t>
      </w:r>
      <w:r w:rsidRPr="00442CAD">
        <w:rPr>
          <w:rFonts w:ascii="Montserrat" w:hAnsi="Montserrat"/>
        </w:rPr>
        <w:t xml:space="preserve"> translat</w:t>
      </w:r>
      <w:r>
        <w:rPr>
          <w:rFonts w:ascii="Montserrat" w:hAnsi="Montserrat"/>
        </w:rPr>
        <w:t>e</w:t>
      </w:r>
      <w:r w:rsidRPr="00442CAD">
        <w:rPr>
          <w:rFonts w:ascii="Montserrat" w:hAnsi="Montserrat"/>
        </w:rPr>
        <w:t xml:space="preserve"> theoretical scenarios into simple, relatable graphics</w:t>
      </w:r>
      <w:r>
        <w:rPr>
          <w:rFonts w:ascii="Montserrat" w:hAnsi="Montserrat"/>
        </w:rPr>
        <w:t xml:space="preserve"> to support community consultation. </w:t>
      </w:r>
      <w:r w:rsidRPr="00442CAD">
        <w:rPr>
          <w:rFonts w:ascii="Montserrat" w:hAnsi="Montserrat"/>
        </w:rPr>
        <w:t xml:space="preserve"> </w:t>
      </w:r>
      <w:r>
        <w:rPr>
          <w:rFonts w:ascii="Montserrat" w:hAnsi="Montserrat"/>
        </w:rPr>
        <w:t xml:space="preserve">The purpose was to </w:t>
      </w:r>
      <w:r w:rsidRPr="00442CAD">
        <w:rPr>
          <w:rFonts w:ascii="Montserrat" w:hAnsi="Montserrat"/>
        </w:rPr>
        <w:t>show</w:t>
      </w:r>
      <w:r>
        <w:rPr>
          <w:rFonts w:ascii="Montserrat" w:hAnsi="Montserrat"/>
        </w:rPr>
        <w:t xml:space="preserve"> the </w:t>
      </w:r>
      <w:r w:rsidR="00DE0830">
        <w:rPr>
          <w:rFonts w:ascii="Montserrat" w:hAnsi="Montserrat"/>
        </w:rPr>
        <w:t xml:space="preserve">future </w:t>
      </w:r>
      <w:r>
        <w:rPr>
          <w:rFonts w:ascii="Montserrat" w:hAnsi="Montserrat"/>
        </w:rPr>
        <w:t>intention for Council infrastructure,</w:t>
      </w:r>
      <w:r w:rsidR="00DE0830">
        <w:rPr>
          <w:rFonts w:ascii="Montserrat" w:hAnsi="Montserrat"/>
        </w:rPr>
        <w:t xml:space="preserve"> and what that would mean for </w:t>
      </w:r>
      <w:r w:rsidR="0086756A">
        <w:rPr>
          <w:rFonts w:ascii="Montserrat" w:hAnsi="Montserrat"/>
        </w:rPr>
        <w:t xml:space="preserve">how </w:t>
      </w:r>
      <w:r w:rsidR="00DE0830">
        <w:rPr>
          <w:rFonts w:ascii="Montserrat" w:hAnsi="Montserrat"/>
        </w:rPr>
        <w:t xml:space="preserve">people </w:t>
      </w:r>
      <w:r w:rsidR="00804FC7">
        <w:rPr>
          <w:rFonts w:ascii="Montserrat" w:hAnsi="Montserrat"/>
        </w:rPr>
        <w:t xml:space="preserve">move around the bay in </w:t>
      </w:r>
      <w:r w:rsidR="00DE0830">
        <w:rPr>
          <w:rFonts w:ascii="Montserrat" w:hAnsi="Montserrat"/>
        </w:rPr>
        <w:t>30-</w:t>
      </w:r>
      <w:proofErr w:type="spellStart"/>
      <w:r w:rsidR="00DE0830">
        <w:rPr>
          <w:rFonts w:ascii="Montserrat" w:hAnsi="Montserrat"/>
        </w:rPr>
        <w:t>years time</w:t>
      </w:r>
      <w:proofErr w:type="spellEnd"/>
      <w:r w:rsidR="00DE0830">
        <w:rPr>
          <w:rFonts w:ascii="Montserrat" w:hAnsi="Montserrat"/>
        </w:rPr>
        <w:t>,</w:t>
      </w:r>
      <w:r w:rsidRPr="00442CAD">
        <w:rPr>
          <w:rFonts w:ascii="Montserrat" w:hAnsi="Montserrat"/>
        </w:rPr>
        <w:t xml:space="preserve"> </w:t>
      </w:r>
      <w:r w:rsidR="00DE0830">
        <w:rPr>
          <w:rFonts w:ascii="Montserrat" w:hAnsi="Montserrat"/>
        </w:rPr>
        <w:t xml:space="preserve">supporting discussion around </w:t>
      </w:r>
      <w:r w:rsidR="00DE0830" w:rsidRPr="00442CAD">
        <w:rPr>
          <w:rFonts w:ascii="Montserrat" w:hAnsi="Montserrat"/>
        </w:rPr>
        <w:t xml:space="preserve">reduced service levels, temporary operations, emergency access, and increased use of </w:t>
      </w:r>
      <w:r w:rsidR="002E7E99">
        <w:rPr>
          <w:rFonts w:ascii="Montserrat" w:hAnsi="Montserrat"/>
        </w:rPr>
        <w:t>marine</w:t>
      </w:r>
      <w:r w:rsidR="00DE0830" w:rsidRPr="00442CAD">
        <w:rPr>
          <w:rFonts w:ascii="Montserrat" w:hAnsi="Montserrat"/>
        </w:rPr>
        <w:t xml:space="preserve"> transport.</w:t>
      </w:r>
    </w:p>
    <w:p w14:paraId="796B5772" w14:textId="4BD86B20" w:rsidR="00DE0830" w:rsidRDefault="00DE0830" w:rsidP="00442CAD">
      <w:pPr>
        <w:rPr>
          <w:rFonts w:ascii="Montserrat" w:hAnsi="Montserrat"/>
        </w:rPr>
      </w:pPr>
      <w:r>
        <w:rPr>
          <w:rFonts w:ascii="Montserrat" w:hAnsi="Montserrat"/>
        </w:rPr>
        <w:t>This poster makes a call to ‘value the visual’ and invites reflect</w:t>
      </w:r>
      <w:r w:rsidR="002E7E99">
        <w:rPr>
          <w:rFonts w:ascii="Montserrat" w:hAnsi="Montserrat"/>
        </w:rPr>
        <w:t>ion on</w:t>
      </w:r>
      <w:r w:rsidR="00442CAD" w:rsidRPr="00442CAD">
        <w:rPr>
          <w:rFonts w:ascii="Montserrat" w:hAnsi="Montserrat"/>
        </w:rPr>
        <w:t>:</w:t>
      </w:r>
      <w:r>
        <w:rPr>
          <w:rFonts w:ascii="Montserrat" w:hAnsi="Montserrat"/>
        </w:rPr>
        <w:t xml:space="preserve"> </w:t>
      </w:r>
    </w:p>
    <w:p w14:paraId="12982C0D" w14:textId="18D9D5BE" w:rsidR="00442CAD" w:rsidRPr="00442CAD" w:rsidRDefault="0086756A" w:rsidP="00442CAD">
      <w:pPr>
        <w:rPr>
          <w:rFonts w:ascii="Montserrat" w:hAnsi="Montserrat"/>
        </w:rPr>
      </w:pPr>
      <w:r>
        <w:rPr>
          <w:rFonts w:ascii="Montserrat" w:hAnsi="Montserrat"/>
        </w:rPr>
        <w:t>How can we more effectively use</w:t>
      </w:r>
      <w:r w:rsidR="00442CAD" w:rsidRPr="00442CAD">
        <w:rPr>
          <w:rFonts w:ascii="Montserrat" w:hAnsi="Montserrat"/>
        </w:rPr>
        <w:t xml:space="preserve"> visual communication to support conversations with coastal communities facing uncertain futures?</w:t>
      </w:r>
    </w:p>
    <w:p w14:paraId="78C9137C" w14:textId="77777777" w:rsidR="00242828" w:rsidRPr="00442CAD" w:rsidRDefault="00242828" w:rsidP="00442CAD">
      <w:pPr>
        <w:rPr>
          <w:rFonts w:ascii="Montserrat" w:hAnsi="Montserrat"/>
        </w:rPr>
      </w:pPr>
    </w:p>
    <w:p w14:paraId="774554A8" w14:textId="77777777" w:rsidR="00804FC7" w:rsidRPr="00804FC7" w:rsidRDefault="60BFF434" w:rsidP="00804FC7">
      <w:pPr>
        <w:rPr>
          <w:rFonts w:ascii="Montserrat" w:hAnsi="Montserrat"/>
          <w:i/>
          <w:iCs/>
        </w:rPr>
      </w:pPr>
      <w:r w:rsidRPr="00804FC7">
        <w:rPr>
          <w:rFonts w:ascii="Montserrat" w:hAnsi="Montserrat"/>
          <w:i/>
          <w:iCs/>
        </w:rPr>
        <w:t xml:space="preserve">Preference for </w:t>
      </w:r>
      <w:r w:rsidR="0025053D" w:rsidRPr="00804FC7">
        <w:rPr>
          <w:rFonts w:ascii="Montserrat" w:hAnsi="Montserrat"/>
          <w:i/>
          <w:iCs/>
        </w:rPr>
        <w:t xml:space="preserve">a poster format. </w:t>
      </w:r>
    </w:p>
    <w:p w14:paraId="07072959" w14:textId="27186823" w:rsidR="00442CAD" w:rsidRPr="00804FC7" w:rsidRDefault="0025053D" w:rsidP="00804FC7">
      <w:pPr>
        <w:rPr>
          <w:rFonts w:ascii="Segoe UI" w:eastAsia="Segoe UI" w:hAnsi="Segoe UI" w:cs="Segoe UI"/>
          <w:i/>
          <w:iCs/>
          <w:color w:val="424242"/>
          <w:sz w:val="20"/>
          <w:szCs w:val="20"/>
        </w:rPr>
      </w:pPr>
      <w:r w:rsidRPr="00804FC7">
        <w:rPr>
          <w:rFonts w:ascii="Montserrat" w:hAnsi="Montserrat"/>
          <w:i/>
          <w:iCs/>
        </w:rPr>
        <w:t>Example of content.</w:t>
      </w:r>
      <w:r w:rsidR="00CF7328" w:rsidRPr="00804FC7">
        <w:rPr>
          <w:rFonts w:ascii="Montserrat" w:hAnsi="Montserrat"/>
          <w:i/>
          <w:iCs/>
        </w:rPr>
        <w:t xml:space="preserve"> PTO</w:t>
      </w:r>
    </w:p>
    <w:p w14:paraId="3B22F536" w14:textId="77777777" w:rsidR="00804FC7" w:rsidRDefault="00CF7328" w:rsidP="70BBBC68">
      <w:pPr>
        <w:rPr>
          <w:rFonts w:ascii="Segoe UI" w:eastAsia="Segoe UI" w:hAnsi="Segoe UI" w:cs="Segoe UI"/>
          <w:color w:val="424242"/>
          <w:sz w:val="18"/>
          <w:szCs w:val="18"/>
        </w:rPr>
      </w:pPr>
      <w:r w:rsidRPr="0025053D">
        <w:rPr>
          <w:rFonts w:ascii="Segoe UI" w:eastAsia="Segoe UI" w:hAnsi="Segoe UI" w:cs="Segoe UI"/>
          <w:color w:val="424242"/>
          <w:sz w:val="24"/>
          <w:szCs w:val="24"/>
        </w:rPr>
        <w:lastRenderedPageBreak/>
        <w:drawing>
          <wp:inline distT="0" distB="0" distL="0" distR="0" wp14:anchorId="1CAE1A3C" wp14:editId="156C9904">
            <wp:extent cx="5669280" cy="3959206"/>
            <wp:effectExtent l="0" t="0" r="7620" b="3810"/>
            <wp:docPr id="14305177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517704" name=""/>
                    <pic:cNvPicPr/>
                  </pic:nvPicPr>
                  <pic:blipFill rotWithShape="1">
                    <a:blip r:embed="rId7"/>
                    <a:srcRect l="1053"/>
                    <a:stretch/>
                  </pic:blipFill>
                  <pic:spPr bwMode="auto">
                    <a:xfrm>
                      <a:off x="0" y="0"/>
                      <a:ext cx="5696301" cy="39780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42CAD" w:rsidRPr="00442CAD">
        <w:rPr>
          <w:rFonts w:ascii="Montserrat" w:hAnsi="Montserrat"/>
        </w:rPr>
        <w:drawing>
          <wp:inline distT="0" distB="0" distL="0" distR="0" wp14:anchorId="7CF37C17" wp14:editId="1ADC84D6">
            <wp:extent cx="5001321" cy="3536830"/>
            <wp:effectExtent l="0" t="0" r="0" b="6985"/>
            <wp:docPr id="12862352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23520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13291" cy="3545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59254" w14:textId="383EAA77" w:rsidR="00442CAD" w:rsidRDefault="00804FC7" w:rsidP="70BBBC68">
      <w:pPr>
        <w:rPr>
          <w:rFonts w:ascii="Montserrat" w:hAnsi="Montserrat"/>
        </w:rPr>
      </w:pPr>
      <w:hyperlink r:id="rId9" w:history="1">
        <w:r w:rsidRPr="006B48A9">
          <w:rPr>
            <w:rStyle w:val="Hyperlink"/>
            <w:rFonts w:ascii="Segoe UI" w:eastAsia="Segoe UI" w:hAnsi="Segoe UI" w:cs="Segoe UI"/>
            <w:sz w:val="18"/>
            <w:szCs w:val="18"/>
          </w:rPr>
          <w:t>https://ccc.govt.nz/assets/Documents/Environment/Coast/CHA/CHAP-Whakaraupo-Lyttelton-Harb</w:t>
        </w:r>
        <w:r w:rsidRPr="006B48A9">
          <w:rPr>
            <w:rStyle w:val="Hyperlink"/>
            <w:rFonts w:ascii="Segoe UI" w:eastAsia="Segoe UI" w:hAnsi="Segoe UI" w:cs="Segoe UI"/>
            <w:sz w:val="18"/>
            <w:szCs w:val="18"/>
          </w:rPr>
          <w:t>o</w:t>
        </w:r>
        <w:r w:rsidRPr="006B48A9">
          <w:rPr>
            <w:rStyle w:val="Hyperlink"/>
            <w:rFonts w:ascii="Segoe UI" w:eastAsia="Segoe UI" w:hAnsi="Segoe UI" w:cs="Segoe UI"/>
            <w:sz w:val="18"/>
            <w:szCs w:val="18"/>
          </w:rPr>
          <w:t>ur-and-Koukourarata-Port-Levy-2025.pdf</w:t>
        </w:r>
      </w:hyperlink>
    </w:p>
    <w:sectPr w:rsidR="00442CAD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6176B" w14:textId="77777777" w:rsidR="003D73E8" w:rsidRDefault="003D73E8" w:rsidP="00C11ED7">
      <w:pPr>
        <w:spacing w:after="0" w:line="240" w:lineRule="auto"/>
      </w:pPr>
      <w:r>
        <w:separator/>
      </w:r>
    </w:p>
  </w:endnote>
  <w:endnote w:type="continuationSeparator" w:id="0">
    <w:p w14:paraId="7DD1FB8A" w14:textId="77777777" w:rsidR="003D73E8" w:rsidRDefault="003D73E8" w:rsidP="00C11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5083D" w14:textId="3D25F34A" w:rsidR="00C11ED7" w:rsidRPr="00C11ED7" w:rsidRDefault="00C11ED7">
    <w:pPr>
      <w:pStyle w:val="Footer"/>
      <w:rPr>
        <w:rFonts w:ascii="Montserrat" w:hAnsi="Montserrat"/>
      </w:rPr>
    </w:pPr>
    <w:r w:rsidRPr="00C11ED7">
      <w:rPr>
        <w:rFonts w:ascii="Montserrat" w:hAnsi="Montserrat"/>
      </w:rPr>
      <w:t>Transportation Conference 2026 – Call for Abstracts submission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B6A25" w14:textId="77777777" w:rsidR="003D73E8" w:rsidRDefault="003D73E8" w:rsidP="00C11ED7">
      <w:pPr>
        <w:spacing w:after="0" w:line="240" w:lineRule="auto"/>
      </w:pPr>
      <w:r>
        <w:separator/>
      </w:r>
    </w:p>
  </w:footnote>
  <w:footnote w:type="continuationSeparator" w:id="0">
    <w:p w14:paraId="76464EF5" w14:textId="77777777" w:rsidR="003D73E8" w:rsidRDefault="003D73E8" w:rsidP="00C11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76620" w14:textId="769139FB" w:rsidR="00C11ED7" w:rsidRDefault="00C11ED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6A55FC" wp14:editId="10C58CCE">
          <wp:simplePos x="0" y="0"/>
          <wp:positionH relativeFrom="page">
            <wp:align>left</wp:align>
          </wp:positionH>
          <wp:positionV relativeFrom="paragraph">
            <wp:posOffset>-440055</wp:posOffset>
          </wp:positionV>
          <wp:extent cx="7595235" cy="1572895"/>
          <wp:effectExtent l="0" t="0" r="5715" b="8255"/>
          <wp:wrapThrough wrapText="bothSides">
            <wp:wrapPolygon edited="0">
              <wp:start x="0" y="0"/>
              <wp:lineTo x="0" y="21452"/>
              <wp:lineTo x="21562" y="21452"/>
              <wp:lineTo x="21562" y="0"/>
              <wp:lineTo x="0" y="0"/>
            </wp:wrapPolygon>
          </wp:wrapThrough>
          <wp:docPr id="18270808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708088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5818" cy="157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93943"/>
    <w:multiLevelType w:val="hybridMultilevel"/>
    <w:tmpl w:val="B31004EC"/>
    <w:lvl w:ilvl="0" w:tplc="1B341292">
      <w:numFmt w:val="bullet"/>
      <w:lvlText w:val="-"/>
      <w:lvlJc w:val="left"/>
      <w:pPr>
        <w:ind w:left="720" w:hanging="360"/>
      </w:pPr>
      <w:rPr>
        <w:rFonts w:ascii="Segoe UI" w:eastAsia="Segoe UI" w:hAnsi="Segoe UI" w:cs="Segoe U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792274"/>
    <w:multiLevelType w:val="multilevel"/>
    <w:tmpl w:val="D570B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DD5C2B"/>
    <w:multiLevelType w:val="multilevel"/>
    <w:tmpl w:val="5470C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91D2EA5"/>
    <w:multiLevelType w:val="hybridMultilevel"/>
    <w:tmpl w:val="3E5E163E"/>
    <w:lvl w:ilvl="0" w:tplc="EF52AD76"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B7269F"/>
    <w:multiLevelType w:val="hybridMultilevel"/>
    <w:tmpl w:val="6714EA14"/>
    <w:lvl w:ilvl="0" w:tplc="39724B98"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7069726">
    <w:abstractNumId w:val="4"/>
  </w:num>
  <w:num w:numId="2" w16cid:durableId="2077707618">
    <w:abstractNumId w:val="3"/>
  </w:num>
  <w:num w:numId="3" w16cid:durableId="1646347791">
    <w:abstractNumId w:val="2"/>
  </w:num>
  <w:num w:numId="4" w16cid:durableId="2083478181">
    <w:abstractNumId w:val="1"/>
  </w:num>
  <w:num w:numId="5" w16cid:durableId="7292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D7"/>
    <w:rsid w:val="00012322"/>
    <w:rsid w:val="00024C70"/>
    <w:rsid w:val="0005C968"/>
    <w:rsid w:val="00107C2E"/>
    <w:rsid w:val="00110000"/>
    <w:rsid w:val="001C5FFF"/>
    <w:rsid w:val="00242828"/>
    <w:rsid w:val="0025053D"/>
    <w:rsid w:val="00263A8D"/>
    <w:rsid w:val="002B0EAB"/>
    <w:rsid w:val="002C4AFD"/>
    <w:rsid w:val="002D3661"/>
    <w:rsid w:val="002E7E99"/>
    <w:rsid w:val="00303BD6"/>
    <w:rsid w:val="00384E3D"/>
    <w:rsid w:val="00392E8F"/>
    <w:rsid w:val="003B00FA"/>
    <w:rsid w:val="003D73E8"/>
    <w:rsid w:val="004342EA"/>
    <w:rsid w:val="00442CAD"/>
    <w:rsid w:val="004568D2"/>
    <w:rsid w:val="00463937"/>
    <w:rsid w:val="00474D08"/>
    <w:rsid w:val="00483E07"/>
    <w:rsid w:val="004B0499"/>
    <w:rsid w:val="004B3D0E"/>
    <w:rsid w:val="004D7871"/>
    <w:rsid w:val="0052037F"/>
    <w:rsid w:val="0053583D"/>
    <w:rsid w:val="00535BEE"/>
    <w:rsid w:val="005679A9"/>
    <w:rsid w:val="0057614C"/>
    <w:rsid w:val="00600FED"/>
    <w:rsid w:val="00686C34"/>
    <w:rsid w:val="00686D4C"/>
    <w:rsid w:val="006C1D98"/>
    <w:rsid w:val="006C46BB"/>
    <w:rsid w:val="00756723"/>
    <w:rsid w:val="00763998"/>
    <w:rsid w:val="007E3BEF"/>
    <w:rsid w:val="00804FC7"/>
    <w:rsid w:val="0086756A"/>
    <w:rsid w:val="00924F26"/>
    <w:rsid w:val="009433C9"/>
    <w:rsid w:val="00A45AC5"/>
    <w:rsid w:val="00A65188"/>
    <w:rsid w:val="00A96565"/>
    <w:rsid w:val="00C11ED7"/>
    <w:rsid w:val="00C21C73"/>
    <w:rsid w:val="00C46CBE"/>
    <w:rsid w:val="00C621A9"/>
    <w:rsid w:val="00CA259A"/>
    <w:rsid w:val="00CF7328"/>
    <w:rsid w:val="00D21F6F"/>
    <w:rsid w:val="00DC20D3"/>
    <w:rsid w:val="00DD164A"/>
    <w:rsid w:val="00DD7CD4"/>
    <w:rsid w:val="00DE0830"/>
    <w:rsid w:val="00DF5AB5"/>
    <w:rsid w:val="00E826F5"/>
    <w:rsid w:val="00E96B7C"/>
    <w:rsid w:val="00EE3F25"/>
    <w:rsid w:val="00F02E2A"/>
    <w:rsid w:val="00F048B3"/>
    <w:rsid w:val="015427A7"/>
    <w:rsid w:val="027A2E05"/>
    <w:rsid w:val="0376CF71"/>
    <w:rsid w:val="05A724B4"/>
    <w:rsid w:val="097118D2"/>
    <w:rsid w:val="0DD40112"/>
    <w:rsid w:val="0E18C24B"/>
    <w:rsid w:val="121AA2FF"/>
    <w:rsid w:val="129BB6CA"/>
    <w:rsid w:val="13B40B6C"/>
    <w:rsid w:val="151DD918"/>
    <w:rsid w:val="165D208E"/>
    <w:rsid w:val="1696DCD1"/>
    <w:rsid w:val="1880090F"/>
    <w:rsid w:val="1890ADE1"/>
    <w:rsid w:val="1B2D1147"/>
    <w:rsid w:val="1D1077C1"/>
    <w:rsid w:val="22A7732F"/>
    <w:rsid w:val="243CA9E2"/>
    <w:rsid w:val="26E1B0DE"/>
    <w:rsid w:val="272526DF"/>
    <w:rsid w:val="27A0B99D"/>
    <w:rsid w:val="29A2523F"/>
    <w:rsid w:val="2A0D72A4"/>
    <w:rsid w:val="2A26F2A9"/>
    <w:rsid w:val="2BE0EA78"/>
    <w:rsid w:val="2C6562DD"/>
    <w:rsid w:val="2D064600"/>
    <w:rsid w:val="2D7A62EB"/>
    <w:rsid w:val="2E4AC5CF"/>
    <w:rsid w:val="3055162B"/>
    <w:rsid w:val="30F5F26A"/>
    <w:rsid w:val="32C56FB5"/>
    <w:rsid w:val="3384A446"/>
    <w:rsid w:val="3405531C"/>
    <w:rsid w:val="342E79B4"/>
    <w:rsid w:val="3C75A753"/>
    <w:rsid w:val="3F6252A3"/>
    <w:rsid w:val="403BCAEA"/>
    <w:rsid w:val="42EDEB5F"/>
    <w:rsid w:val="43F54EBA"/>
    <w:rsid w:val="46787E0B"/>
    <w:rsid w:val="476AAA21"/>
    <w:rsid w:val="486F3B65"/>
    <w:rsid w:val="488DB82A"/>
    <w:rsid w:val="49F7B7B9"/>
    <w:rsid w:val="4D347361"/>
    <w:rsid w:val="4D585B08"/>
    <w:rsid w:val="4EE8F5E9"/>
    <w:rsid w:val="4EFABDB0"/>
    <w:rsid w:val="4FAECB1E"/>
    <w:rsid w:val="50CE26A5"/>
    <w:rsid w:val="52775AB8"/>
    <w:rsid w:val="5497EA9A"/>
    <w:rsid w:val="55C1737A"/>
    <w:rsid w:val="560A3B1B"/>
    <w:rsid w:val="56264AC7"/>
    <w:rsid w:val="5660D38D"/>
    <w:rsid w:val="56A84A66"/>
    <w:rsid w:val="574ACC04"/>
    <w:rsid w:val="59024D14"/>
    <w:rsid w:val="5CA665C5"/>
    <w:rsid w:val="5D8773E0"/>
    <w:rsid w:val="60BFF434"/>
    <w:rsid w:val="62A30C6E"/>
    <w:rsid w:val="631BCD48"/>
    <w:rsid w:val="63572442"/>
    <w:rsid w:val="64B866D0"/>
    <w:rsid w:val="657C97C5"/>
    <w:rsid w:val="66091534"/>
    <w:rsid w:val="66411F00"/>
    <w:rsid w:val="66ABF494"/>
    <w:rsid w:val="672A9B3E"/>
    <w:rsid w:val="680AB90A"/>
    <w:rsid w:val="68A51940"/>
    <w:rsid w:val="6A9B0D47"/>
    <w:rsid w:val="6AC420BB"/>
    <w:rsid w:val="6B4E3A07"/>
    <w:rsid w:val="6C33B463"/>
    <w:rsid w:val="6CC8752A"/>
    <w:rsid w:val="6D03C8BE"/>
    <w:rsid w:val="708AB830"/>
    <w:rsid w:val="70BBBC68"/>
    <w:rsid w:val="73C80481"/>
    <w:rsid w:val="73E190D1"/>
    <w:rsid w:val="74D54AE4"/>
    <w:rsid w:val="74E5EEB0"/>
    <w:rsid w:val="7634910F"/>
    <w:rsid w:val="76C53455"/>
    <w:rsid w:val="7ED9EC20"/>
    <w:rsid w:val="7F744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AC3A4"/>
  <w15:chartTrackingRefBased/>
  <w15:docId w15:val="{9240CF79-14A6-4C11-983F-943071FDB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1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E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E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E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E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E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E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E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E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E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E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E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1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1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1E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1E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1E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E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E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ED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ED7"/>
  </w:style>
  <w:style w:type="paragraph" w:styleId="Footer">
    <w:name w:val="footer"/>
    <w:basedOn w:val="Normal"/>
    <w:link w:val="Foot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ED7"/>
  </w:style>
  <w:style w:type="character" w:styleId="Hyperlink">
    <w:name w:val="Hyperlink"/>
    <w:basedOn w:val="DefaultParagraphFont"/>
    <w:uiPriority w:val="99"/>
    <w:unhideWhenUsed/>
    <w:rsid w:val="0025053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053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F732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ccc.govt.nz/assets/Documents/Environment/Coast/CHA/CHAP-Whakaraupo-Lyttelton-Harbour-and-Koukourarata-Port-Levy-2025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Gallagher</dc:creator>
  <cp:keywords/>
  <dc:description/>
  <cp:lastModifiedBy>Megan Walker</cp:lastModifiedBy>
  <cp:revision>9</cp:revision>
  <dcterms:created xsi:type="dcterms:W3CDTF">2025-08-07T21:48:00Z</dcterms:created>
  <dcterms:modified xsi:type="dcterms:W3CDTF">2025-08-08T02:40:00Z</dcterms:modified>
</cp:coreProperties>
</file>