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0FA7A16D" w:rsidR="00714297" w:rsidRPr="00777BE0" w:rsidRDefault="009F0134" w:rsidP="00B745C8">
      <w:pPr>
        <w:pStyle w:val="Heading1"/>
        <w:keepNext w:val="0"/>
        <w:spacing w:before="0" w:after="0"/>
        <w:rPr>
          <w:rFonts w:asciiTheme="minorHAnsi" w:hAnsiTheme="minorHAnsi" w:cstheme="minorHAnsi"/>
          <w:bCs w:val="0"/>
          <w:color w:val="00ABB6"/>
          <w:sz w:val="36"/>
          <w:szCs w:val="36"/>
          <w:lang w:val="en-NZ" w:eastAsia="en-NZ"/>
        </w:rPr>
      </w:pPr>
      <w:r w:rsidRPr="009F0134">
        <w:rPr>
          <w:rFonts w:asciiTheme="minorHAnsi" w:hAnsiTheme="minorHAnsi" w:cstheme="minorHAnsi"/>
          <w:bCs w:val="0"/>
          <w:color w:val="00ABB6"/>
          <w:sz w:val="36"/>
          <w:szCs w:val="36"/>
          <w:lang w:val="en-NZ" w:eastAsia="en-NZ"/>
        </w:rPr>
        <w:t xml:space="preserve">New ways to compare options: assessing </w:t>
      </w:r>
      <w:proofErr w:type="spellStart"/>
      <w:r w:rsidRPr="009F0134">
        <w:rPr>
          <w:rFonts w:asciiTheme="minorHAnsi" w:hAnsiTheme="minorHAnsi" w:cstheme="minorHAnsi"/>
          <w:bCs w:val="0"/>
          <w:color w:val="00ABB6"/>
          <w:sz w:val="36"/>
          <w:szCs w:val="36"/>
          <w:lang w:val="en-NZ" w:eastAsia="en-NZ"/>
        </w:rPr>
        <w:t>VKT</w:t>
      </w:r>
      <w:proofErr w:type="spellEnd"/>
      <w:r w:rsidRPr="009F0134">
        <w:rPr>
          <w:rFonts w:asciiTheme="minorHAnsi" w:hAnsiTheme="minorHAnsi" w:cstheme="minorHAnsi"/>
          <w:bCs w:val="0"/>
          <w:color w:val="00ABB6"/>
          <w:sz w:val="36"/>
          <w:szCs w:val="36"/>
          <w:lang w:val="en-NZ" w:eastAsia="en-NZ"/>
        </w:rPr>
        <w:t xml:space="preserve"> reduction approaches to understand co-benefits and long-term value</w:t>
      </w:r>
      <w:r w:rsidRPr="009F0134">
        <w:rPr>
          <w:rFonts w:asciiTheme="minorHAnsi" w:hAnsiTheme="minorHAnsi" w:cstheme="minorHAnsi"/>
          <w:bCs w:val="0"/>
          <w:color w:val="00ABB6"/>
          <w:sz w:val="36"/>
          <w:szCs w:val="36"/>
          <w:lang w:val="en-NZ" w:eastAsia="en-NZ"/>
        </w:rPr>
        <w:t xml:space="preserve"> </w:t>
      </w:r>
    </w:p>
    <w:p w14:paraId="621716A6" w14:textId="5D423AAD" w:rsidR="00DF7B85" w:rsidRPr="009F0134" w:rsidRDefault="009F0134" w:rsidP="00CA531A">
      <w:pPr>
        <w:ind w:left="45"/>
        <w:jc w:val="center"/>
        <w:rPr>
          <w:rFonts w:asciiTheme="minorHAnsi" w:eastAsia="Times New Roman" w:hAnsiTheme="minorHAnsi" w:cstheme="minorHAnsi"/>
          <w:b/>
          <w:color w:val="00ABB6"/>
          <w:kern w:val="32"/>
          <w:sz w:val="36"/>
          <w:szCs w:val="36"/>
          <w:lang w:val="en-NZ" w:eastAsia="en-NZ"/>
        </w:rPr>
      </w:pPr>
      <w:r w:rsidRPr="009F0134">
        <w:rPr>
          <w:rFonts w:asciiTheme="minorHAnsi" w:eastAsia="Times New Roman" w:hAnsiTheme="minorHAnsi" w:cstheme="minorHAnsi"/>
          <w:b/>
          <w:color w:val="00ABB6"/>
          <w:kern w:val="32"/>
          <w:sz w:val="36"/>
          <w:szCs w:val="36"/>
          <w:lang w:val="en-NZ" w:eastAsia="en-NZ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777BE0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05A57AE" w14:textId="0D050F94" w:rsidR="009F0134" w:rsidRDefault="009F0134" w:rsidP="009F0134">
            <w:pPr>
              <w:rPr>
                <w:rFonts w:asciiTheme="minorHAnsi" w:hAnsiTheme="minorHAnsi" w:cstheme="minorBidi"/>
                <w:sz w:val="22"/>
                <w:szCs w:val="22"/>
                <w:lang w:val="en-NZ" w:eastAsia="en-US"/>
              </w:rPr>
            </w:pPr>
            <w:bookmarkStart w:id="0" w:name="_Hlk128760908"/>
            <w:r>
              <w:rPr>
                <w:rFonts w:asciiTheme="minorHAnsi" w:hAnsiTheme="minorHAnsi" w:cstheme="minorBidi"/>
                <w:lang w:eastAsia="en-US"/>
              </w:rPr>
              <w:t>We need new tools to better inform long-term decisions</w:t>
            </w:r>
            <w:r>
              <w:rPr>
                <w:rFonts w:asciiTheme="minorHAnsi" w:hAnsiTheme="minorHAnsi" w:cstheme="minorBidi"/>
                <w:lang w:eastAsia="en-US"/>
              </w:rPr>
              <w:t xml:space="preserve"> </w:t>
            </w:r>
            <w:bookmarkStart w:id="1" w:name="_Hlk128760820"/>
            <w:r>
              <w:rPr>
                <w:rFonts w:asciiTheme="minorHAnsi" w:hAnsiTheme="minorHAnsi" w:cstheme="minorBidi"/>
                <w:lang w:eastAsia="en-US"/>
              </w:rPr>
              <w:t>across the transport system</w:t>
            </w:r>
            <w:bookmarkEnd w:id="1"/>
            <w:r>
              <w:rPr>
                <w:rFonts w:asciiTheme="minorHAnsi" w:hAnsiTheme="minorHAnsi" w:cstheme="minorBidi"/>
                <w:lang w:eastAsia="en-US"/>
              </w:rPr>
              <w:t xml:space="preserve">. Te </w:t>
            </w:r>
            <w:proofErr w:type="spellStart"/>
            <w:r>
              <w:rPr>
                <w:rFonts w:asciiTheme="minorHAnsi" w:hAnsiTheme="minorHAnsi" w:cstheme="minorBidi"/>
                <w:lang w:eastAsia="en-US"/>
              </w:rPr>
              <w:t>Manatū</w:t>
            </w:r>
            <w:proofErr w:type="spellEnd"/>
            <w:r>
              <w:rPr>
                <w:rFonts w:asciiTheme="minorHAnsi" w:hAnsiTheme="minorHAnsi" w:cstheme="minorBidi"/>
                <w:lang w:eastAsia="en-US"/>
              </w:rPr>
              <w:t xml:space="preserve"> Waka have developed a Generational Investment Approach (GIA) to ensure short and medium-term interventions in the transport system align with </w:t>
            </w:r>
            <w:r>
              <w:rPr>
                <w:rFonts w:asciiTheme="minorHAnsi" w:hAnsiTheme="minorHAnsi" w:cstheme="minorBidi"/>
                <w:lang w:eastAsia="en-US"/>
              </w:rPr>
              <w:t xml:space="preserve">long-term </w:t>
            </w:r>
            <w:r>
              <w:rPr>
                <w:rFonts w:asciiTheme="minorHAnsi" w:hAnsiTheme="minorHAnsi" w:cstheme="minorBidi"/>
                <w:lang w:eastAsia="en-US"/>
              </w:rPr>
              <w:t>objectives. By taking a generational perspective (out to 30-50 years) the GIA aims to produce investment and policy advice that takes system-wide impacts into account, reveals interdependencies,</w:t>
            </w:r>
            <w:r>
              <w:rPr>
                <w:rFonts w:asciiTheme="minorHAnsi" w:hAnsiTheme="minorHAnsi" w:cstheme="minorBidi"/>
                <w:lang w:eastAsia="en-US"/>
              </w:rPr>
              <w:t xml:space="preserve"> demonstrates co-</w:t>
            </w:r>
            <w:proofErr w:type="gramStart"/>
            <w:r>
              <w:rPr>
                <w:rFonts w:asciiTheme="minorHAnsi" w:hAnsiTheme="minorHAnsi" w:cstheme="minorBidi"/>
                <w:lang w:eastAsia="en-US"/>
              </w:rPr>
              <w:t>benefits</w:t>
            </w:r>
            <w:proofErr w:type="gramEnd"/>
            <w:r>
              <w:rPr>
                <w:rFonts w:asciiTheme="minorHAnsi" w:hAnsiTheme="minorHAnsi" w:cstheme="minorBidi"/>
                <w:lang w:eastAsia="en-US"/>
              </w:rPr>
              <w:t xml:space="preserve"> and builds a portfolio of options that can adaptively managed over time.  </w:t>
            </w:r>
          </w:p>
          <w:p w14:paraId="54E29277" w14:textId="77777777" w:rsidR="009F0134" w:rsidRDefault="009F0134" w:rsidP="009F0134">
            <w:pPr>
              <w:rPr>
                <w:rFonts w:asciiTheme="minorHAnsi" w:hAnsiTheme="minorHAnsi" w:cstheme="minorBidi"/>
                <w:lang w:eastAsia="en-US"/>
              </w:rPr>
            </w:pPr>
          </w:p>
          <w:p w14:paraId="1319BA92" w14:textId="77777777" w:rsidR="009F0134" w:rsidRDefault="009F0134" w:rsidP="009F0134">
            <w:pPr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 xml:space="preserve">This presentation will show how GIA tools were applied to assessing </w:t>
            </w:r>
            <w:proofErr w:type="spellStart"/>
            <w:r>
              <w:rPr>
                <w:rFonts w:asciiTheme="minorHAnsi" w:hAnsiTheme="minorHAnsi" w:cstheme="minorBidi"/>
                <w:lang w:eastAsia="en-US"/>
              </w:rPr>
              <w:t>VKT</w:t>
            </w:r>
            <w:proofErr w:type="spellEnd"/>
            <w:r>
              <w:rPr>
                <w:rFonts w:asciiTheme="minorHAnsi" w:hAnsiTheme="minorHAnsi" w:cstheme="minorBidi"/>
                <w:lang w:eastAsia="en-US"/>
              </w:rPr>
              <w:t xml:space="preserve"> reduction approaches to provide new understanding of co-benefits long-term value of approaches relative to each other.</w:t>
            </w:r>
          </w:p>
          <w:bookmarkEnd w:id="0"/>
          <w:p w14:paraId="2ACCD1EC" w14:textId="68647145" w:rsidR="00F0625E" w:rsidRPr="00777BE0" w:rsidRDefault="00F0625E" w:rsidP="00E73F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BDBD50" w14:textId="4A5DF683" w:rsidR="00BE3A75" w:rsidRPr="00777BE0" w:rsidRDefault="00BE3A75" w:rsidP="0065711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BE3A75" w:rsidRPr="00777BE0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E446" w14:textId="77777777" w:rsidR="00DE1D8A" w:rsidRDefault="00DE1D8A">
      <w:r>
        <w:separator/>
      </w:r>
    </w:p>
  </w:endnote>
  <w:endnote w:type="continuationSeparator" w:id="0">
    <w:p w14:paraId="37AD2938" w14:textId="77777777" w:rsidR="00DE1D8A" w:rsidRDefault="00DE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Default="00D35B40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2DFCA" wp14:editId="3E1D46E6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6DE" w14:textId="77777777" w:rsidR="00CD1AF5" w:rsidRDefault="00CD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5E65" w14:textId="77777777" w:rsidR="00DE1D8A" w:rsidRDefault="00DE1D8A">
      <w:r>
        <w:separator/>
      </w:r>
    </w:p>
  </w:footnote>
  <w:footnote w:type="continuationSeparator" w:id="0">
    <w:p w14:paraId="3D3466CC" w14:textId="77777777" w:rsidR="00DE1D8A" w:rsidRDefault="00DE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F14B" w14:textId="77777777" w:rsidR="00CD1AF5" w:rsidRDefault="00CD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A422" w14:textId="564A3C53" w:rsidR="00F37C39" w:rsidRDefault="00CD1AF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F9165D" wp14:editId="3723B54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1169" cy="1895475"/>
          <wp:effectExtent l="0" t="0" r="1270" b="0"/>
          <wp:wrapTight wrapText="bothSides">
            <wp:wrapPolygon edited="0">
              <wp:start x="0" y="0"/>
              <wp:lineTo x="0" y="21274"/>
              <wp:lineTo x="21549" y="21274"/>
              <wp:lineTo x="215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30" cy="189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96E97" w14:textId="77777777" w:rsidR="00A00C0B" w:rsidRDefault="00A0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2BEB" w14:textId="77777777" w:rsidR="00CD1AF5" w:rsidRDefault="00CD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.85pt;height:83.05pt" o:bullet="t">
        <v:imagedata r:id="rId1" o:title="Bullet Point"/>
      </v:shape>
    </w:pict>
  </w:numPicBullet>
  <w:numPicBullet w:numPicBulletId="1">
    <w:pict>
      <v:shape id="_x0000_i1047" type="#_x0000_t75" style="width:177.1pt;height:169.25pt" o:bullet="t">
        <v:imagedata r:id="rId2" o:title="Conf-Icon"/>
      </v:shape>
    </w:pict>
  </w:numPicBullet>
  <w:numPicBullet w:numPicBulletId="2">
    <w:pict>
      <v:shape id="_x0000_i1048" type="#_x0000_t75" style="width:151.35pt;height:144.55pt" o:bullet="t">
        <v:imagedata r:id="rId3" o:title="Conf-Icon"/>
      </v:shape>
    </w:pict>
  </w:numPicBullet>
  <w:numPicBullet w:numPicBulletId="3">
    <w:pict>
      <v:shape id="_x0000_i1049" type="#_x0000_t75" style="width:122.45pt;height:112.45pt" o:bullet="t">
        <v:imagedata r:id="rId4" o:title="Bullet Point"/>
      </v:shape>
    </w:pict>
  </w:numPicBullet>
  <w:numPicBullet w:numPicBulletId="4">
    <w:pict>
      <v:shape id="_x0000_i1050" type="#_x0000_t75" style="width:109.3pt;height:107.2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54589">
    <w:abstractNumId w:val="10"/>
  </w:num>
  <w:num w:numId="2" w16cid:durableId="434449148">
    <w:abstractNumId w:val="5"/>
  </w:num>
  <w:num w:numId="3" w16cid:durableId="316153324">
    <w:abstractNumId w:val="6"/>
  </w:num>
  <w:num w:numId="4" w16cid:durableId="1277056313">
    <w:abstractNumId w:val="30"/>
  </w:num>
  <w:num w:numId="5" w16cid:durableId="1675262571">
    <w:abstractNumId w:val="15"/>
  </w:num>
  <w:num w:numId="6" w16cid:durableId="1710567480">
    <w:abstractNumId w:val="0"/>
  </w:num>
  <w:num w:numId="7" w16cid:durableId="969675530">
    <w:abstractNumId w:val="3"/>
  </w:num>
  <w:num w:numId="8" w16cid:durableId="1036780535">
    <w:abstractNumId w:val="2"/>
  </w:num>
  <w:num w:numId="9" w16cid:durableId="1657300799">
    <w:abstractNumId w:val="29"/>
  </w:num>
  <w:num w:numId="10" w16cid:durableId="216817450">
    <w:abstractNumId w:val="16"/>
  </w:num>
  <w:num w:numId="11" w16cid:durableId="1894076698">
    <w:abstractNumId w:val="26"/>
  </w:num>
  <w:num w:numId="12" w16cid:durableId="825121832">
    <w:abstractNumId w:val="13"/>
  </w:num>
  <w:num w:numId="13" w16cid:durableId="1317219387">
    <w:abstractNumId w:val="21"/>
  </w:num>
  <w:num w:numId="14" w16cid:durableId="2079206058">
    <w:abstractNumId w:val="1"/>
  </w:num>
  <w:num w:numId="15" w16cid:durableId="1384063903">
    <w:abstractNumId w:val="24"/>
  </w:num>
  <w:num w:numId="16" w16cid:durableId="276645123">
    <w:abstractNumId w:val="18"/>
  </w:num>
  <w:num w:numId="17" w16cid:durableId="874924734">
    <w:abstractNumId w:val="14"/>
  </w:num>
  <w:num w:numId="18" w16cid:durableId="425006066">
    <w:abstractNumId w:val="27"/>
  </w:num>
  <w:num w:numId="19" w16cid:durableId="2016150254">
    <w:abstractNumId w:val="9"/>
  </w:num>
  <w:num w:numId="20" w16cid:durableId="1150709095">
    <w:abstractNumId w:val="23"/>
  </w:num>
  <w:num w:numId="21" w16cid:durableId="924191598">
    <w:abstractNumId w:val="11"/>
  </w:num>
  <w:num w:numId="22" w16cid:durableId="529338722">
    <w:abstractNumId w:val="17"/>
  </w:num>
  <w:num w:numId="23" w16cid:durableId="1797135258">
    <w:abstractNumId w:val="25"/>
  </w:num>
  <w:num w:numId="24" w16cid:durableId="1301501517">
    <w:abstractNumId w:val="4"/>
  </w:num>
  <w:num w:numId="25" w16cid:durableId="859508147">
    <w:abstractNumId w:val="19"/>
  </w:num>
  <w:num w:numId="26" w16cid:durableId="2010982400">
    <w:abstractNumId w:val="8"/>
  </w:num>
  <w:num w:numId="27" w16cid:durableId="2135170981">
    <w:abstractNumId w:val="22"/>
  </w:num>
  <w:num w:numId="28" w16cid:durableId="125464797">
    <w:abstractNumId w:val="20"/>
  </w:num>
  <w:num w:numId="29" w16cid:durableId="1091658084">
    <w:abstractNumId w:val="7"/>
  </w:num>
  <w:num w:numId="30" w16cid:durableId="1289703083">
    <w:abstractNumId w:val="12"/>
  </w:num>
  <w:num w:numId="31" w16cid:durableId="21453470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77BE0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0134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1AF5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E1D8A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848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4</cp:revision>
  <cp:lastPrinted>2017-09-24T23:53:00Z</cp:lastPrinted>
  <dcterms:created xsi:type="dcterms:W3CDTF">2021-09-10T02:34:00Z</dcterms:created>
  <dcterms:modified xsi:type="dcterms:W3CDTF">2023-03-01T23:06:00Z</dcterms:modified>
</cp:coreProperties>
</file>