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B0C" w14:textId="62AF8E7C" w:rsidR="00714297" w:rsidRPr="00F37C39" w:rsidRDefault="00CB4F3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Applying a Whole-of-life Climate Lens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2C4584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515EEF55" w:rsidR="002C4584" w:rsidRPr="002C4584" w:rsidRDefault="002C4584" w:rsidP="00CB4F36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5BF34AFA" w14:textId="6C90973D" w:rsidR="00D07342" w:rsidRDefault="00F11AFA" w:rsidP="00FD5171">
      <w:pPr>
        <w:pStyle w:val="NoSpacing"/>
        <w:rPr>
          <w:rFonts w:cs="Circular Std Book"/>
          <w:bCs/>
        </w:rPr>
      </w:pPr>
      <w:r w:rsidRPr="008F33B7">
        <w:rPr>
          <w:rFonts w:cs="Montserrat"/>
          <w:lang w:val="en-US" w:eastAsia="en-NZ"/>
        </w:rPr>
        <w:t>Central and Local Government have declared a climate emergency and are</w:t>
      </w:r>
      <w:r w:rsidR="000D536E" w:rsidRPr="008F33B7">
        <w:rPr>
          <w:rFonts w:cs="Montserrat"/>
          <w:lang w:val="en-US" w:eastAsia="en-NZ"/>
        </w:rPr>
        <w:t xml:space="preserve"> </w:t>
      </w:r>
      <w:r w:rsidRPr="008F33B7">
        <w:rPr>
          <w:rFonts w:cs="Montserrat"/>
          <w:lang w:val="en-US" w:eastAsia="en-NZ"/>
        </w:rPr>
        <w:t xml:space="preserve">preparing legislation, regulation, policy and strategies to enable </w:t>
      </w:r>
      <w:proofErr w:type="spellStart"/>
      <w:r w:rsidRPr="008F33B7">
        <w:rPr>
          <w:rFonts w:cs="Montserrat"/>
          <w:lang w:val="en-US" w:eastAsia="en-NZ"/>
        </w:rPr>
        <w:t>Aotearoa</w:t>
      </w:r>
      <w:proofErr w:type="spellEnd"/>
      <w:r w:rsidRPr="008F33B7">
        <w:rPr>
          <w:rFonts w:cs="Montserrat"/>
          <w:lang w:val="en-US" w:eastAsia="en-NZ"/>
        </w:rPr>
        <w:t xml:space="preserve"> to</w:t>
      </w:r>
      <w:r w:rsidR="000D536E" w:rsidRPr="008F33B7">
        <w:rPr>
          <w:rFonts w:cs="Montserrat"/>
          <w:lang w:val="en-US" w:eastAsia="en-NZ"/>
        </w:rPr>
        <w:t xml:space="preserve"> </w:t>
      </w:r>
      <w:r w:rsidRPr="008F33B7">
        <w:rPr>
          <w:rFonts w:cs="Montserrat"/>
          <w:lang w:val="en-US" w:eastAsia="en-NZ"/>
        </w:rPr>
        <w:t xml:space="preserve">transition into a low carbon economy. </w:t>
      </w:r>
      <w:r w:rsidR="00D07342">
        <w:rPr>
          <w:lang w:val="en-US"/>
        </w:rPr>
        <w:t>T</w:t>
      </w:r>
      <w:r w:rsidR="00FD5171">
        <w:rPr>
          <w:lang w:val="en-US"/>
        </w:rPr>
        <w:t>he Climate Change Commissio</w:t>
      </w:r>
      <w:r w:rsidR="00D07342">
        <w:rPr>
          <w:lang w:val="en-US"/>
        </w:rPr>
        <w:t xml:space="preserve">n’s </w:t>
      </w:r>
      <w:r w:rsidR="00D07342">
        <w:rPr>
          <w:shd w:val="clear" w:color="auto" w:fill="FFFFFF"/>
        </w:rPr>
        <w:t>recommendations involve</w:t>
      </w:r>
      <w:r w:rsidR="00FD5171">
        <w:rPr>
          <w:shd w:val="clear" w:color="auto" w:fill="FFFFFF"/>
        </w:rPr>
        <w:t xml:space="preserve"> steep cuts across every sector of the economy, but particularly in transport. </w:t>
      </w:r>
      <w:r w:rsidRPr="00D07342">
        <w:rPr>
          <w:rFonts w:cs="Circular Std Book"/>
          <w:bCs/>
        </w:rPr>
        <w:t xml:space="preserve">Majority of </w:t>
      </w:r>
      <w:r w:rsidR="008F33B7" w:rsidRPr="00D07342">
        <w:rPr>
          <w:rFonts w:cs="Circular Std Book"/>
          <w:bCs/>
        </w:rPr>
        <w:t xml:space="preserve">us </w:t>
      </w:r>
      <w:r w:rsidRPr="00D07342">
        <w:rPr>
          <w:rFonts w:cs="Circular Std Book"/>
          <w:bCs/>
        </w:rPr>
        <w:t>ar</w:t>
      </w:r>
      <w:r w:rsidR="000D536E" w:rsidRPr="00D07342">
        <w:rPr>
          <w:rFonts w:cs="Circular Std Book"/>
          <w:bCs/>
        </w:rPr>
        <w:t xml:space="preserve">e on board with the vision, </w:t>
      </w:r>
      <w:r w:rsidR="007C2E03">
        <w:rPr>
          <w:rFonts w:cs="Circular Std Book"/>
          <w:bCs/>
        </w:rPr>
        <w:t>but there are question</w:t>
      </w:r>
      <w:r w:rsidR="00FD5171" w:rsidRPr="00D07342">
        <w:rPr>
          <w:rFonts w:cs="Circular Std Book"/>
          <w:bCs/>
        </w:rPr>
        <w:t xml:space="preserve"> marks around the ‘how’. </w:t>
      </w:r>
      <w:r w:rsidR="00D07342">
        <w:rPr>
          <w:rFonts w:cs="Circular Std Book"/>
          <w:bCs/>
        </w:rPr>
        <w:t xml:space="preserve">How do we ensure the decision we make today don’t lock in carbon for generations to come? </w:t>
      </w:r>
    </w:p>
    <w:p w14:paraId="7BD17998" w14:textId="77777777" w:rsidR="00D07342" w:rsidRDefault="00D07342" w:rsidP="00FD5171">
      <w:pPr>
        <w:pStyle w:val="NoSpacing"/>
        <w:rPr>
          <w:rFonts w:cs="Circular Std Book"/>
          <w:bCs/>
        </w:rPr>
      </w:pPr>
    </w:p>
    <w:p w14:paraId="69F9E953" w14:textId="0B7F6F5A" w:rsidR="00F11AFA" w:rsidRPr="00D07342" w:rsidRDefault="00D07342" w:rsidP="00FD5171">
      <w:pPr>
        <w:pStyle w:val="NoSpacing"/>
        <w:rPr>
          <w:shd w:val="clear" w:color="auto" w:fill="FFFFFF"/>
        </w:rPr>
      </w:pPr>
      <w:r>
        <w:rPr>
          <w:lang w:val="en-GB"/>
        </w:rPr>
        <w:t>The problem is that w</w:t>
      </w:r>
      <w:r w:rsidRPr="00D07342">
        <w:rPr>
          <w:lang w:val="en-GB"/>
        </w:rPr>
        <w:t>e have not yet created an environment that draws in low-carbon thinking and collaboration early enough in the infrastructure development process</w:t>
      </w:r>
      <w:r w:rsidRPr="00D07342">
        <w:rPr>
          <w:rFonts w:cs="Circular Std Book"/>
          <w:bCs/>
        </w:rPr>
        <w:t xml:space="preserve">. If we are to deliver on the Commission’s recommendations, we must design </w:t>
      </w:r>
      <w:r w:rsidR="000D536E" w:rsidRPr="00D07342">
        <w:rPr>
          <w:rFonts w:cs="Montserrat"/>
          <w:lang w:val="en-US" w:eastAsia="en-NZ"/>
        </w:rPr>
        <w:t>a simple an</w:t>
      </w:r>
      <w:r w:rsidRPr="00D07342">
        <w:rPr>
          <w:rFonts w:cs="Montserrat"/>
          <w:lang w:val="en-US" w:eastAsia="en-NZ"/>
        </w:rPr>
        <w:t>d cost effective way of applying</w:t>
      </w:r>
      <w:r w:rsidR="000D536E" w:rsidRPr="00D07342">
        <w:rPr>
          <w:rFonts w:cs="Montserrat"/>
          <w:lang w:val="en-US" w:eastAsia="en-NZ"/>
        </w:rPr>
        <w:t xml:space="preserve"> a climate and carbon lens to decision making.</w:t>
      </w:r>
      <w:r w:rsidR="000D536E" w:rsidRPr="00D07342">
        <w:rPr>
          <w:rFonts w:cs="Circular Std Book"/>
          <w:bCs/>
        </w:rPr>
        <w:t xml:space="preserve"> </w:t>
      </w:r>
    </w:p>
    <w:p w14:paraId="344C684D" w14:textId="77777777" w:rsidR="00F11AFA" w:rsidRPr="008F33B7" w:rsidRDefault="00F11AFA" w:rsidP="002C4584">
      <w:pPr>
        <w:rPr>
          <w:rFonts w:ascii="Montserrat Light" w:hAnsi="Montserrat Light" w:cs="Circular Std Book"/>
          <w:bCs/>
          <w:sz w:val="20"/>
          <w:szCs w:val="20"/>
        </w:rPr>
      </w:pPr>
    </w:p>
    <w:p w14:paraId="6B91070F" w14:textId="43BB9092" w:rsidR="008F33B7" w:rsidRPr="008F33B7" w:rsidRDefault="00CC01D3" w:rsidP="008F33B7">
      <w:pPr>
        <w:autoSpaceDE w:val="0"/>
        <w:autoSpaceDN w:val="0"/>
        <w:adjustRightInd w:val="0"/>
        <w:rPr>
          <w:rFonts w:ascii="Montserrat Light" w:hAnsi="Montserrat Light" w:cs="Montserrat"/>
          <w:sz w:val="20"/>
          <w:szCs w:val="20"/>
          <w:lang w:val="en-US" w:eastAsia="en-NZ"/>
        </w:rPr>
      </w:pPr>
      <w:r>
        <w:rPr>
          <w:rFonts w:ascii="Montserrat Light" w:hAnsi="Montserrat Light" w:cs="Montserrat"/>
          <w:sz w:val="20"/>
          <w:szCs w:val="20"/>
          <w:lang w:val="en-US" w:eastAsia="en-NZ"/>
        </w:rPr>
        <w:t>B</w:t>
      </w:r>
      <w:r w:rsidR="000D536E" w:rsidRPr="008F33B7">
        <w:rPr>
          <w:rFonts w:ascii="Montserrat Light" w:hAnsi="Montserrat Light" w:cs="Montserrat"/>
          <w:sz w:val="20"/>
          <w:szCs w:val="20"/>
          <w:lang w:val="en-US" w:eastAsia="en-NZ"/>
        </w:rPr>
        <w:t>y including w</w:t>
      </w:r>
      <w:r w:rsidR="00F11AFA" w:rsidRPr="008F33B7">
        <w:rPr>
          <w:rFonts w:ascii="Montserrat Light" w:hAnsi="Montserrat Light" w:cs="Montserrat"/>
          <w:sz w:val="20"/>
          <w:szCs w:val="20"/>
          <w:lang w:val="en-US" w:eastAsia="en-NZ"/>
        </w:rPr>
        <w:t xml:space="preserve">hole-of-life </w:t>
      </w:r>
      <w:r w:rsidR="000D536E" w:rsidRPr="008F33B7">
        <w:rPr>
          <w:rFonts w:ascii="Montserrat Light" w:hAnsi="Montserrat Light" w:cs="Montserrat"/>
          <w:sz w:val="20"/>
          <w:szCs w:val="20"/>
          <w:lang w:val="en-US" w:eastAsia="en-NZ"/>
        </w:rPr>
        <w:t>emissions</w:t>
      </w:r>
      <w:r w:rsidR="007C2E03">
        <w:rPr>
          <w:rFonts w:ascii="Montserrat Light" w:hAnsi="Montserrat Light" w:cs="Montserrat"/>
          <w:sz w:val="20"/>
          <w:szCs w:val="20"/>
          <w:lang w:val="en-US" w:eastAsia="en-NZ"/>
        </w:rPr>
        <w:t xml:space="preserve"> </w:t>
      </w:r>
      <w:r w:rsidR="000D536E" w:rsidRPr="008F33B7">
        <w:rPr>
          <w:rFonts w:ascii="Montserrat Light" w:hAnsi="Montserrat Light" w:cs="Montserrat"/>
          <w:sz w:val="20"/>
          <w:szCs w:val="20"/>
          <w:lang w:val="en-US" w:eastAsia="en-NZ"/>
        </w:rPr>
        <w:t xml:space="preserve">in </w:t>
      </w:r>
      <w:r>
        <w:rPr>
          <w:rFonts w:ascii="Montserrat Light" w:hAnsi="Montserrat Light" w:cs="Montserrat"/>
          <w:sz w:val="20"/>
          <w:szCs w:val="20"/>
          <w:lang w:val="en-US" w:eastAsia="en-NZ"/>
        </w:rPr>
        <w:t>business cases we can</w:t>
      </w:r>
      <w:r w:rsidR="000D536E" w:rsidRPr="008F33B7">
        <w:rPr>
          <w:rFonts w:ascii="Montserrat Light" w:hAnsi="Montserrat Light" w:cs="Montserrat"/>
          <w:sz w:val="20"/>
          <w:szCs w:val="20"/>
          <w:lang w:val="en-US" w:eastAsia="en-NZ"/>
        </w:rPr>
        <w:t xml:space="preserve"> </w:t>
      </w:r>
      <w:r w:rsidR="000D536E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present meaningful, quantitative </w:t>
      </w:r>
      <w:r>
        <w:rPr>
          <w:rFonts w:ascii="Montserrat Light" w:hAnsi="Montserrat Light" w:cs="Montserrat-Medium"/>
          <w:sz w:val="20"/>
          <w:szCs w:val="20"/>
          <w:lang w:val="en-US" w:eastAsia="en-NZ"/>
        </w:rPr>
        <w:t>data that</w:t>
      </w:r>
      <w:r w:rsidR="000D536E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 inform</w:t>
      </w:r>
      <w:r>
        <w:rPr>
          <w:rFonts w:ascii="Montserrat Light" w:hAnsi="Montserrat Light" w:cs="Montserrat-Medium"/>
          <w:sz w:val="20"/>
          <w:szCs w:val="20"/>
          <w:lang w:val="en-US" w:eastAsia="en-NZ"/>
        </w:rPr>
        <w:t>s</w:t>
      </w:r>
      <w:r w:rsidR="000D536E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 decision making within transport strategies and throughout the project life cycle</w:t>
      </w:r>
      <w:r w:rsidR="000D536E" w:rsidRPr="008F33B7">
        <w:rPr>
          <w:rFonts w:ascii="Montserrat Light" w:hAnsi="Montserrat Light" w:cs="Montserrat"/>
          <w:sz w:val="20"/>
          <w:szCs w:val="20"/>
          <w:lang w:val="en-US" w:eastAsia="en-NZ"/>
        </w:rPr>
        <w:t xml:space="preserve">. </w:t>
      </w:r>
      <w:r w:rsidR="00CB4F36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>A key challenge comes down to how we communicate the carbon</w:t>
      </w:r>
      <w:r w:rsidR="00CB4F36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 </w:t>
      </w:r>
      <w:r w:rsidR="00CB4F36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story. If we are to be successful we must present CO2 </w:t>
      </w:r>
      <w:r w:rsidR="00CB4F36">
        <w:rPr>
          <w:rFonts w:ascii="Montserrat Light" w:hAnsi="Montserrat Light" w:cs="Montserrat-Medium"/>
          <w:sz w:val="20"/>
          <w:szCs w:val="20"/>
          <w:lang w:val="en-US" w:eastAsia="en-NZ"/>
        </w:rPr>
        <w:t xml:space="preserve">impact in </w:t>
      </w:r>
      <w:r w:rsidR="00CB4F36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>understandable terms relative to a ‘do-nothing’ approach.</w:t>
      </w:r>
      <w:r w:rsidR="00CB4F36" w:rsidRPr="008F33B7">
        <w:rPr>
          <w:rFonts w:ascii="Montserrat Light" w:hAnsi="Montserrat Light" w:cs="Montserrat"/>
          <w:sz w:val="20"/>
          <w:szCs w:val="20"/>
          <w:lang w:val="en-US" w:eastAsia="en-NZ"/>
        </w:rPr>
        <w:t xml:space="preserve"> This will enable decision makers to u</w:t>
      </w:r>
      <w:r w:rsidR="00CB4F36" w:rsidRPr="008F33B7">
        <w:rPr>
          <w:rFonts w:ascii="Montserrat Light" w:hAnsi="Montserrat Light" w:cs="Montserrat-Medium"/>
          <w:sz w:val="20"/>
          <w:szCs w:val="20"/>
          <w:lang w:val="en-US" w:eastAsia="en-NZ"/>
        </w:rPr>
        <w:t>nderstand how investments contribute towards net zero.</w:t>
      </w:r>
    </w:p>
    <w:p w14:paraId="606325FF" w14:textId="0405E072" w:rsidR="000D536E" w:rsidRPr="008F33B7" w:rsidRDefault="000D536E" w:rsidP="000D536E">
      <w:pPr>
        <w:autoSpaceDE w:val="0"/>
        <w:autoSpaceDN w:val="0"/>
        <w:adjustRightInd w:val="0"/>
        <w:rPr>
          <w:rFonts w:ascii="Montserrat Light" w:hAnsi="Montserrat Light" w:cs="Montserrat-Medium"/>
          <w:sz w:val="20"/>
          <w:szCs w:val="20"/>
          <w:lang w:val="en-US" w:eastAsia="en-NZ"/>
        </w:rPr>
      </w:pPr>
    </w:p>
    <w:p w14:paraId="5FBDBD50" w14:textId="4DE9E56A" w:rsidR="00BE3A75" w:rsidRPr="008F33B7" w:rsidRDefault="00635A63" w:rsidP="00314ECA">
      <w:pPr>
        <w:rPr>
          <w:rFonts w:ascii="Montserrat Light" w:hAnsi="Montserrat Light" w:cs="Circular Std Book"/>
          <w:bCs/>
          <w:sz w:val="20"/>
          <w:szCs w:val="20"/>
        </w:rPr>
      </w:pPr>
      <w:r w:rsidRPr="008F33B7">
        <w:rPr>
          <w:rFonts w:ascii="Montserrat Light" w:hAnsi="Montserrat Light" w:cs="Circular Std Book"/>
          <w:bCs/>
          <w:sz w:val="20"/>
          <w:szCs w:val="20"/>
        </w:rPr>
        <w:t xml:space="preserve">Reflecting on </w:t>
      </w:r>
      <w:r w:rsidR="002C4584" w:rsidRPr="008F33B7">
        <w:rPr>
          <w:rFonts w:ascii="Montserrat Light" w:hAnsi="Montserrat Light" w:cs="Circular Std Book"/>
          <w:bCs/>
          <w:sz w:val="20"/>
          <w:szCs w:val="20"/>
        </w:rPr>
        <w:t xml:space="preserve">current challenges </w:t>
      </w:r>
      <w:r w:rsidRPr="008F33B7">
        <w:rPr>
          <w:rFonts w:ascii="Montserrat Light" w:hAnsi="Montserrat Light" w:cs="Circular Std Book"/>
          <w:bCs/>
          <w:sz w:val="20"/>
          <w:szCs w:val="20"/>
        </w:rPr>
        <w:t>to meet 2030 and 2050 emissions targets</w:t>
      </w:r>
      <w:r w:rsidR="002C4584" w:rsidRPr="008F33B7">
        <w:rPr>
          <w:rFonts w:ascii="Montserrat Light" w:hAnsi="Montserrat Light" w:cs="Circular Std Book"/>
          <w:bCs/>
          <w:sz w:val="20"/>
          <w:szCs w:val="20"/>
        </w:rPr>
        <w:t>, this demands rapid implementation of the spatial and strategic, carbon and climate planning outlined by the Resource Management Review Panel. Essentially our built form needs to drastically reduce vehicle movements</w:t>
      </w:r>
      <w:r w:rsidRPr="008F33B7">
        <w:rPr>
          <w:rFonts w:ascii="Montserrat Light" w:hAnsi="Montserrat Light" w:cs="Circular Std Book"/>
          <w:bCs/>
          <w:sz w:val="20"/>
          <w:szCs w:val="20"/>
        </w:rPr>
        <w:t xml:space="preserve">, and remain ready </w:t>
      </w:r>
      <w:r w:rsidR="0053199B" w:rsidRPr="008F33B7">
        <w:rPr>
          <w:rFonts w:ascii="Montserrat Light" w:hAnsi="Montserrat Light" w:cs="Circular Std Book"/>
          <w:bCs/>
          <w:sz w:val="20"/>
          <w:szCs w:val="20"/>
        </w:rPr>
        <w:t xml:space="preserve">for further, permanent </w:t>
      </w:r>
      <w:r w:rsidRPr="008F33B7">
        <w:rPr>
          <w:rFonts w:ascii="Montserrat Light" w:hAnsi="Montserrat Light" w:cs="Circular Std Book"/>
          <w:bCs/>
          <w:sz w:val="20"/>
          <w:szCs w:val="20"/>
        </w:rPr>
        <w:t>change</w:t>
      </w:r>
      <w:r w:rsidR="002C4584" w:rsidRPr="008F33B7">
        <w:rPr>
          <w:rFonts w:ascii="Montserrat Light" w:hAnsi="Montserrat Light" w:cs="Circular Std Book"/>
          <w:bCs/>
          <w:sz w:val="20"/>
          <w:szCs w:val="20"/>
        </w:rPr>
        <w:t xml:space="preserve">. </w:t>
      </w:r>
      <w:bookmarkStart w:id="0" w:name="_GoBack"/>
      <w:bookmarkEnd w:id="0"/>
    </w:p>
    <w:sectPr w:rsidR="00BE3A75" w:rsidRPr="008F33B7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501E" w14:textId="77777777" w:rsidR="0065750B" w:rsidRDefault="0065750B">
      <w:r>
        <w:separator/>
      </w:r>
    </w:p>
  </w:endnote>
  <w:endnote w:type="continuationSeparator" w:id="0">
    <w:p w14:paraId="03C7A1AD" w14:textId="77777777" w:rsidR="0065750B" w:rsidRDefault="0065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altName w:val="Montserrat Light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ontserra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20C4" w14:textId="77777777" w:rsidR="0065750B" w:rsidRDefault="0065750B">
      <w:r>
        <w:separator/>
      </w:r>
    </w:p>
  </w:footnote>
  <w:footnote w:type="continuationSeparator" w:id="0">
    <w:p w14:paraId="7027F8C0" w14:textId="77777777" w:rsidR="0065750B" w:rsidRDefault="0065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A422" w14:textId="5B2A84E4" w:rsidR="00F37C39" w:rsidRDefault="00F37C3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0pt;height:83.5pt" o:bullet="t">
        <v:imagedata r:id="rId1" o:title="Bullet Point"/>
      </v:shape>
    </w:pict>
  </w:numPicBullet>
  <w:numPicBullet w:numPicBulletId="1">
    <w:pict>
      <v:shape id="_x0000_i1042" type="#_x0000_t75" style="width:177pt;height:169.5pt" o:bullet="t">
        <v:imagedata r:id="rId2" o:title="Conf-Icon"/>
      </v:shape>
    </w:pict>
  </w:numPicBullet>
  <w:numPicBullet w:numPicBulletId="2">
    <w:pict>
      <v:shape id="_x0000_i1043" type="#_x0000_t75" style="width:151.5pt;height:144.5pt" o:bullet="t">
        <v:imagedata r:id="rId3" o:title="Conf-Icon"/>
      </v:shape>
    </w:pict>
  </w:numPicBullet>
  <w:numPicBullet w:numPicBulletId="3">
    <w:pict>
      <v:shape id="_x0000_i1044" type="#_x0000_t75" style="width:122.5pt;height:112.5pt" o:bullet="t">
        <v:imagedata r:id="rId4" o:title="Bullet Point"/>
      </v:shape>
    </w:pict>
  </w:numPicBullet>
  <w:numPicBullet w:numPicBulletId="4">
    <w:pict>
      <v:shape id="_x0000_i1045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C2057"/>
    <w:multiLevelType w:val="hybridMultilevel"/>
    <w:tmpl w:val="AE045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3A55"/>
    <w:rsid w:val="000A7AE1"/>
    <w:rsid w:val="000C7C27"/>
    <w:rsid w:val="000D3492"/>
    <w:rsid w:val="000D37C9"/>
    <w:rsid w:val="000D3D9A"/>
    <w:rsid w:val="000D536E"/>
    <w:rsid w:val="000D797B"/>
    <w:rsid w:val="000D7E59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4584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14EC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199B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693A"/>
    <w:rsid w:val="00635A63"/>
    <w:rsid w:val="00643465"/>
    <w:rsid w:val="00643678"/>
    <w:rsid w:val="00657112"/>
    <w:rsid w:val="0065750B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1C5F"/>
    <w:rsid w:val="00791138"/>
    <w:rsid w:val="00794863"/>
    <w:rsid w:val="007958CF"/>
    <w:rsid w:val="00796AED"/>
    <w:rsid w:val="007A25BC"/>
    <w:rsid w:val="007A5B04"/>
    <w:rsid w:val="007B434A"/>
    <w:rsid w:val="007B5CC6"/>
    <w:rsid w:val="007C2E03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8F33B7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466D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B4F36"/>
    <w:rsid w:val="00CC01D3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07342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5F6D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1AFA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0971"/>
    <w:rsid w:val="00FD4335"/>
    <w:rsid w:val="00FD5171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2C458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n-NZ" w:eastAsia="en-US"/>
    </w:rPr>
  </w:style>
  <w:style w:type="paragraph" w:styleId="NoSpacing">
    <w:name w:val="No Spacing"/>
    <w:uiPriority w:val="1"/>
    <w:qFormat/>
    <w:rsid w:val="00FD5171"/>
    <w:rPr>
      <w:rFonts w:ascii="Montserrat Light" w:eastAsiaTheme="minorHAnsi" w:hAnsi="Montserrat Light" w:cstheme="minorBidi"/>
      <w:color w:val="1D252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DA25-4DF3-410C-8CEA-432FF59E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1686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Hicks, Brigitte</cp:lastModifiedBy>
  <cp:revision>4</cp:revision>
  <cp:lastPrinted>2017-09-24T23:53:00Z</cp:lastPrinted>
  <dcterms:created xsi:type="dcterms:W3CDTF">2021-03-01T01:33:00Z</dcterms:created>
  <dcterms:modified xsi:type="dcterms:W3CDTF">2021-03-04T02:35:00Z</dcterms:modified>
</cp:coreProperties>
</file>