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567" w:firstLine="0"/>
        <w:jc w:val="left"/>
        <w:rPr>
          <w:rFonts w:ascii="Calibri" w:hAnsi="Calibri" w:cs="Calibri" w:eastAsia="Calibri"/>
          <w:color w:val="auto"/>
          <w:spacing w:val="0"/>
          <w:position w:val="0"/>
          <w:sz w:val="22"/>
          <w:shd w:fill="auto" w:val="clear"/>
        </w:rPr>
      </w:pPr>
    </w:p>
    <w:p>
      <w:pPr>
        <w:spacing w:before="0" w:after="160" w:line="259"/>
        <w:ind w:right="0" w:left="567" w:firstLine="0"/>
        <w:jc w:val="left"/>
        <w:rPr>
          <w:rFonts w:ascii="Calibri" w:hAnsi="Calibri" w:cs="Calibri" w:eastAsia="Calibri"/>
          <w:b/>
          <w:color w:val="598041"/>
          <w:spacing w:val="0"/>
          <w:position w:val="0"/>
          <w:sz w:val="32"/>
          <w:shd w:fill="auto" w:val="clear"/>
        </w:rPr>
      </w:pPr>
      <w:r>
        <w:rPr>
          <w:rFonts w:ascii="Calibri" w:hAnsi="Calibri" w:cs="Calibri" w:eastAsia="Calibri"/>
          <w:b/>
          <w:color w:val="598041"/>
          <w:spacing w:val="0"/>
          <w:position w:val="0"/>
          <w:sz w:val="32"/>
          <w:shd w:fill="auto" w:val="clear"/>
        </w:rPr>
        <w:t xml:space="preserve">Beyond Bikelash:  Building and maintaining momentum </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councillor Sara Templeton and former councillor Pippa Coom team up to share their political and personal experiences of involvement in their cities’ cycleway programmes and of the bikelash that accompanies them.</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Auckland the Urban Cycleways Programme is 6 years behind schedule.  A “bikelash” local government election and budget cuts threatened the remaining projects, however, Auckland Transport has managed to get back on track with delivering key cycle routes largely through the efforts of volunteer-led campaigns, targeted political support and key AT staff.</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Christchurch the growing network of Major Cycle Routes has seen a marked increase in the numbers of residents cycling around the city, most notably among women. While the rollout has been slower than originally anticipated, there is significant support for it, although misinformation and some community bikelash has seen the programme politicised in recent years.  </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the efforts of advocates, politicians and transport staff in both cities </w:t>
      </w:r>
      <w:r>
        <w:rPr>
          <w:rFonts w:ascii="Calibri" w:hAnsi="Calibri" w:cs="Calibri" w:eastAsia="Calibri"/>
          <w:color w:val="auto"/>
          <w:spacing w:val="0"/>
          <w:position w:val="0"/>
          <w:sz w:val="22"/>
          <w:shd w:fill="auto" w:val="clear"/>
        </w:rPr>
        <w:t xml:space="preserve">the path towards low carbon transport continues despite the changing political landscape and the stoking of a potentially harmful culture war against active transport.  Sara and Pippa’s presentation will cover how we can move beyond bikelash to build and maintain momentum.</w:t>
      </w:r>
    </w:p>
    <w:p>
      <w:pPr>
        <w:spacing w:before="0" w:after="16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presentation is part of a recurring Bikelash series first presented on at the Asia-Pacific Cycle Congress in Christchurch in 2017 and at subsequent 2 walk and cycle conferences. </w:t>
      </w:r>
    </w:p>
    <w:p>
      <w:pPr>
        <w:spacing w:before="0" w:after="160" w:line="259"/>
        <w:ind w:right="0" w:left="567"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https://www.stuff.co.nz/the-press/news/98619812/taking-the-sting-out-of-bikelash-engineering-cyclings-future</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tuff.co.nz/the-press/news/98619812/taking-the-sting-out-of-bikelash-engineering-cyclings-futur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