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0E11F" w14:textId="27968F3D" w:rsidR="00714297" w:rsidRPr="00703B3C" w:rsidRDefault="00D5705D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598041"/>
          <w:sz w:val="36"/>
          <w:szCs w:val="36"/>
          <w:lang w:val="en-NZ" w:eastAsia="en-NZ"/>
        </w:rPr>
        <w:t>Pedestrian Network Guidance – PNG the new PPDG</w:t>
      </w:r>
    </w:p>
    <w:p w14:paraId="02292BFF" w14:textId="77777777"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14:paraId="35D700CC" w14:textId="77777777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14:paraId="2086EB6D" w14:textId="6E022ABB" w:rsidR="00C46249" w:rsidRPr="00C46249" w:rsidRDefault="00C46249" w:rsidP="00C46249">
            <w:pPr>
              <w:spacing w:after="200" w:line="220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Waka Kotahi 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>provides guidance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to help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people 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plan, design, and prioritise improvements for walking.  The guidance is intended to ensure that urban development takes the needs of </w:t>
            </w:r>
            <w:r w:rsidR="002B13D2">
              <w:rPr>
                <w:rFonts w:ascii="Arial" w:hAnsi="Arial" w:cs="Arial"/>
                <w:color w:val="201F1E"/>
                <w:sz w:val="20"/>
                <w:szCs w:val="20"/>
              </w:rPr>
              <w:t xml:space="preserve">all </w:t>
            </w:r>
            <w:r w:rsidRPr="0089313D">
              <w:rPr>
                <w:rFonts w:ascii="Arial" w:hAnsi="Arial" w:cs="Arial"/>
                <w:color w:val="201F1E"/>
                <w:sz w:val="20"/>
                <w:szCs w:val="20"/>
              </w:rPr>
              <w:t>pedestrians</w:t>
            </w:r>
            <w:r w:rsidR="0089313D" w:rsidRPr="0089313D">
              <w:rPr>
                <w:rFonts w:ascii="Arial" w:hAnsi="Arial" w:cs="Arial"/>
                <w:color w:val="201F1E"/>
                <w:sz w:val="20"/>
                <w:szCs w:val="20"/>
              </w:rPr>
              <w:t xml:space="preserve"> into account including people with disabilities and vision impaired</w:t>
            </w:r>
            <w:r w:rsidRPr="0089313D">
              <w:rPr>
                <w:rFonts w:ascii="Arial" w:hAnsi="Arial" w:cs="Arial"/>
                <w:color w:val="201F1E"/>
                <w:sz w:val="20"/>
                <w:szCs w:val="20"/>
              </w:rPr>
              <w:t xml:space="preserve">.  </w:t>
            </w:r>
            <w:r w:rsidR="002B13D2" w:rsidRPr="0089313D">
              <w:rPr>
                <w:rFonts w:ascii="Arial" w:hAnsi="Arial" w:cs="Arial"/>
                <w:color w:val="201F1E"/>
                <w:sz w:val="20"/>
                <w:szCs w:val="20"/>
              </w:rPr>
              <w:t>Historically t</w:t>
            </w:r>
            <w:r w:rsidRPr="0089313D">
              <w:rPr>
                <w:rFonts w:ascii="Arial" w:hAnsi="Arial" w:cs="Arial"/>
                <w:color w:val="201F1E"/>
                <w:sz w:val="20"/>
                <w:szCs w:val="20"/>
              </w:rPr>
              <w:t xml:space="preserve">he two key guidance documents </w:t>
            </w:r>
            <w:r w:rsidR="002B13D2" w:rsidRPr="0089313D">
              <w:rPr>
                <w:rFonts w:ascii="Arial" w:hAnsi="Arial" w:cs="Arial"/>
                <w:color w:val="201F1E"/>
                <w:sz w:val="20"/>
                <w:szCs w:val="20"/>
              </w:rPr>
              <w:t xml:space="preserve">have been </w:t>
            </w:r>
            <w:r w:rsidRPr="0089313D">
              <w:rPr>
                <w:rFonts w:ascii="Arial" w:hAnsi="Arial" w:cs="Arial"/>
                <w:color w:val="201F1E"/>
                <w:sz w:val="20"/>
                <w:szCs w:val="20"/>
              </w:rPr>
              <w:t>the Pedestrian Planning and Design Guide (PPDG) – published in 2009; and, RTS 14 – Guidelines for blind and vision impaired pedestrians – published in 2015.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 </w:t>
            </w:r>
          </w:p>
          <w:p w14:paraId="45AD1DA1" w14:textId="76B24CBB" w:rsidR="00C46249" w:rsidRPr="00C46249" w:rsidRDefault="00C46249" w:rsidP="00C46249">
            <w:pPr>
              <w:spacing w:after="200" w:line="220" w:lineRule="atLeast"/>
              <w:rPr>
                <w:rFonts w:ascii="Arial" w:hAnsi="Arial" w:cs="Arial"/>
                <w:color w:val="201F1E"/>
                <w:sz w:val="20"/>
                <w:szCs w:val="20"/>
              </w:rPr>
            </w:pP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In 2018 </w:t>
            </w:r>
            <w:hyperlink r:id="rId8" w:history="1">
              <w:r w:rsidRPr="00C46249">
                <w:rPr>
                  <w:rFonts w:ascii="Arial" w:hAnsi="Arial" w:cs="Arial"/>
                  <w:color w:val="201F1E"/>
                  <w:sz w:val="20"/>
                  <w:szCs w:val="20"/>
                </w:rPr>
                <w:t>research</w:t>
              </w:r>
            </w:hyperlink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 was undertaken into how the current guidance (and policy and funding mechanisms) can contribute to further encouraging walking as a mode choice and better integrate it into the transport system.  The research identified </w:t>
            </w:r>
            <w:r w:rsidR="002B13D2">
              <w:rPr>
                <w:rFonts w:ascii="Arial" w:hAnsi="Arial" w:cs="Arial"/>
                <w:color w:val="201F1E"/>
                <w:sz w:val="20"/>
                <w:szCs w:val="20"/>
              </w:rPr>
              <w:t xml:space="preserve">a range of 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>recommendations that would enhance the provision for walking.  The t</w:t>
            </w:r>
            <w:r w:rsidR="003C70DB">
              <w:rPr>
                <w:rFonts w:ascii="Arial" w:hAnsi="Arial" w:cs="Arial"/>
                <w:color w:val="201F1E"/>
                <w:sz w:val="20"/>
                <w:szCs w:val="20"/>
              </w:rPr>
              <w:t xml:space="preserve">wo 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>key recommendations related to the guidance were: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c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>ombine the PPDG and RTS14 into one on-line guidance resource</w:t>
            </w:r>
            <w:r w:rsidR="003C70DB">
              <w:rPr>
                <w:rFonts w:ascii="Arial" w:hAnsi="Arial" w:cs="Arial"/>
                <w:color w:val="201F1E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d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>evelop a programme of guidance improvements/development based on the gaps identified in th</w:t>
            </w:r>
            <w:r w:rsidR="003C70DB">
              <w:rPr>
                <w:rFonts w:ascii="Arial" w:hAnsi="Arial" w:cs="Arial"/>
                <w:color w:val="201F1E"/>
                <w:sz w:val="20"/>
                <w:szCs w:val="20"/>
              </w:rPr>
              <w:t>e</w:t>
            </w:r>
            <w:r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 research.</w:t>
            </w:r>
          </w:p>
          <w:p w14:paraId="0CCBE290" w14:textId="12448E45" w:rsidR="00457387" w:rsidRDefault="002B13D2" w:rsidP="002B13D2">
            <w:pPr>
              <w:pStyle w:val="NormalWeb"/>
              <w:shd w:val="clear" w:color="auto" w:fill="FFFFFF"/>
              <w:rPr>
                <w:rFonts w:ascii="Arial" w:hAnsi="Arial" w:cs="Arial"/>
                <w:color w:val="201F1E"/>
                <w:sz w:val="20"/>
                <w:szCs w:val="20"/>
              </w:rPr>
            </w:pPr>
            <w:r>
              <w:rPr>
                <w:rFonts w:ascii="Arial" w:hAnsi="Arial" w:cs="Arial"/>
                <w:color w:val="201F1E"/>
                <w:sz w:val="20"/>
                <w:szCs w:val="20"/>
              </w:rPr>
              <w:t>A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 refreshed framework (similar to the Cycle Network Guidance CNG) for the P</w:t>
            </w:r>
            <w:r w:rsidR="00DF7236">
              <w:rPr>
                <w:rFonts w:ascii="Arial" w:hAnsi="Arial" w:cs="Arial"/>
                <w:color w:val="201F1E"/>
                <w:sz w:val="20"/>
                <w:szCs w:val="20"/>
              </w:rPr>
              <w:t>PDG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, 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>called the Pedestrian Network Guidance (PNG)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has been under development with the 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aim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of 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>provid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ing 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>a best practice on-line framework that is widely used for planning and designing walk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ing</w:t>
            </w:r>
            <w:r w:rsidR="00C46249" w:rsidRPr="00C46249">
              <w:rPr>
                <w:rFonts w:ascii="Arial" w:hAnsi="Arial" w:cs="Arial"/>
                <w:color w:val="201F1E"/>
                <w:sz w:val="20"/>
                <w:szCs w:val="20"/>
              </w:rPr>
              <w:t xml:space="preserve"> friendly environments.  </w:t>
            </w:r>
            <w:r w:rsidRPr="00457387">
              <w:rPr>
                <w:rFonts w:ascii="Arial" w:hAnsi="Arial" w:cs="Arial"/>
                <w:color w:val="201F1E"/>
                <w:sz w:val="20"/>
                <w:szCs w:val="20"/>
              </w:rPr>
              <w:t>The PNG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was</w:t>
            </w:r>
            <w:r w:rsidRPr="00457387">
              <w:rPr>
                <w:rFonts w:ascii="Arial" w:hAnsi="Arial" w:cs="Arial"/>
                <w:color w:val="201F1E"/>
                <w:sz w:val="20"/>
                <w:szCs w:val="20"/>
              </w:rPr>
              <w:t xml:space="preserve"> developed in conjunction with relevant sectors/groups and target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s</w:t>
            </w:r>
            <w:r w:rsidRPr="00457387">
              <w:rPr>
                <w:rFonts w:ascii="Arial" w:hAnsi="Arial" w:cs="Arial"/>
                <w:color w:val="201F1E"/>
                <w:sz w:val="20"/>
                <w:szCs w:val="20"/>
              </w:rPr>
              <w:t xml:space="preserve"> audiences and their associated guidance needs. 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This presentation will </w:t>
            </w:r>
            <w:r w:rsidR="00711C47">
              <w:rPr>
                <w:rFonts w:ascii="Arial" w:hAnsi="Arial" w:cs="Arial"/>
                <w:color w:val="201F1E"/>
                <w:sz w:val="20"/>
                <w:szCs w:val="20"/>
              </w:rPr>
              <w:t xml:space="preserve">launch the PNG;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outlin</w:t>
            </w:r>
            <w:r w:rsidR="00711C47">
              <w:rPr>
                <w:rFonts w:ascii="Arial" w:hAnsi="Arial" w:cs="Arial"/>
                <w:color w:val="201F1E"/>
                <w:sz w:val="20"/>
                <w:szCs w:val="20"/>
              </w:rPr>
              <w:t>ing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the</w:t>
            </w:r>
            <w:r w:rsidR="00711C47">
              <w:rPr>
                <w:rFonts w:ascii="Arial" w:hAnsi="Arial" w:cs="Arial"/>
                <w:color w:val="201F1E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structure, the key b</w:t>
            </w:r>
            <w:r w:rsidR="00457387" w:rsidRPr="00457387">
              <w:rPr>
                <w:rFonts w:ascii="Arial" w:hAnsi="Arial" w:cs="Arial"/>
                <w:color w:val="201F1E"/>
                <w:sz w:val="20"/>
                <w:szCs w:val="20"/>
              </w:rPr>
              <w:t xml:space="preserve">est practice 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changes, how it i</w:t>
            </w:r>
            <w:r w:rsidR="00457387" w:rsidRPr="00457387">
              <w:rPr>
                <w:rFonts w:ascii="Arial" w:hAnsi="Arial" w:cs="Arial"/>
                <w:color w:val="201F1E"/>
                <w:sz w:val="20"/>
                <w:szCs w:val="20"/>
              </w:rPr>
              <w:t xml:space="preserve">ntegrates with international, </w:t>
            </w:r>
            <w:proofErr w:type="gramStart"/>
            <w:r w:rsidR="00457387" w:rsidRPr="00457387">
              <w:rPr>
                <w:rFonts w:ascii="Arial" w:hAnsi="Arial" w:cs="Arial"/>
                <w:color w:val="201F1E"/>
                <w:sz w:val="20"/>
                <w:szCs w:val="20"/>
              </w:rPr>
              <w:t>national</w:t>
            </w:r>
            <w:proofErr w:type="gramEnd"/>
            <w:r w:rsidR="00457387" w:rsidRPr="00457387">
              <w:rPr>
                <w:rFonts w:ascii="Arial" w:hAnsi="Arial" w:cs="Arial"/>
                <w:color w:val="201F1E"/>
                <w:sz w:val="20"/>
                <w:szCs w:val="20"/>
              </w:rPr>
              <w:t xml:space="preserve"> and local guidance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and a snapshot of the </w:t>
            </w:r>
            <w:r w:rsidR="00457387" w:rsidRPr="00457387">
              <w:rPr>
                <w:rFonts w:ascii="Arial" w:hAnsi="Arial" w:cs="Arial"/>
                <w:color w:val="201F1E"/>
                <w:sz w:val="20"/>
                <w:szCs w:val="20"/>
              </w:rPr>
              <w:t>case studies with useful insights</w:t>
            </w:r>
            <w:r>
              <w:rPr>
                <w:rFonts w:ascii="Arial" w:hAnsi="Arial" w:cs="Arial"/>
                <w:color w:val="201F1E"/>
                <w:sz w:val="20"/>
                <w:szCs w:val="20"/>
              </w:rPr>
              <w:t>.</w:t>
            </w:r>
          </w:p>
          <w:p w14:paraId="28915E8C" w14:textId="3AF01140" w:rsidR="00560DBA" w:rsidRPr="00457387" w:rsidRDefault="00560DBA" w:rsidP="002B13D2">
            <w:pPr>
              <w:pStyle w:val="NormalWeb"/>
              <w:shd w:val="clear" w:color="auto" w:fill="FFFFFF"/>
              <w:rPr>
                <w:rFonts w:ascii="Arial" w:hAnsi="Arial" w:cs="Arial"/>
                <w:color w:val="201F1E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201F1E"/>
                <w:sz w:val="20"/>
                <w:szCs w:val="20"/>
              </w:rPr>
              <w:t>Let’s</w:t>
            </w:r>
            <w:proofErr w:type="gramEnd"/>
            <w:r>
              <w:rPr>
                <w:rFonts w:ascii="Arial" w:hAnsi="Arial" w:cs="Arial"/>
                <w:color w:val="201F1E"/>
                <w:sz w:val="20"/>
                <w:szCs w:val="20"/>
              </w:rPr>
              <w:t xml:space="preserve"> get walking right and create an equitable transport environment.</w:t>
            </w:r>
          </w:p>
          <w:p w14:paraId="00897EED" w14:textId="40E2EE0C" w:rsidR="00657112" w:rsidRPr="00AC2F42" w:rsidRDefault="00657112" w:rsidP="00AA6692">
            <w:pPr>
              <w:pStyle w:val="NormalWeb"/>
              <w:shd w:val="clear" w:color="auto" w:fill="FFFFFF"/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14:paraId="326E966F" w14:textId="6E197FBD" w:rsidR="00DE1F1C" w:rsidRPr="00657112" w:rsidRDefault="00DE1F1C" w:rsidP="00DE1F1C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DE1F1C" w:rsidRPr="00657112" w:rsidSect="009202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7EFE4" w14:textId="77777777" w:rsidR="00094515" w:rsidRDefault="00094515">
      <w:r>
        <w:separator/>
      </w:r>
    </w:p>
  </w:endnote>
  <w:endnote w:type="continuationSeparator" w:id="0">
    <w:p w14:paraId="1C833CE8" w14:textId="77777777"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Calibri"/>
    <w:panose1 w:val="00000000000000000000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Calibri"/>
    <w:panose1 w:val="00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CE7C" w14:textId="77777777"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4A5C1D" w14:textId="77777777"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17437" w14:textId="3B3594FB" w:rsidR="000036D2" w:rsidRDefault="00C56FE6" w:rsidP="009202AF">
    <w:pPr>
      <w:pStyle w:val="Footer"/>
      <w:ind w:left="-709"/>
      <w:jc w:val="right"/>
    </w:pPr>
    <w:r>
      <w:rPr>
        <w:noProof/>
      </w:rPr>
      <w:drawing>
        <wp:inline distT="0" distB="0" distL="0" distR="0" wp14:anchorId="11A136FB" wp14:editId="718A5A8A">
          <wp:extent cx="6562725" cy="659130"/>
          <wp:effectExtent l="0" t="0" r="952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walkandcycle-2020-letterhead-landscap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0D2E" w14:textId="77777777" w:rsidR="00C56FE6" w:rsidRDefault="00C56F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A346A" w14:textId="77777777" w:rsidR="00094515" w:rsidRDefault="00094515">
      <w:r>
        <w:separator/>
      </w:r>
    </w:p>
  </w:footnote>
  <w:footnote w:type="continuationSeparator" w:id="0">
    <w:p w14:paraId="055091C4" w14:textId="77777777"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9088F" w14:textId="77777777" w:rsidR="00C56FE6" w:rsidRDefault="00C56F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D7E84" w14:textId="39D1AB90" w:rsidR="004F7FFB" w:rsidRDefault="00703B3C" w:rsidP="00703B3C">
    <w:pPr>
      <w:pStyle w:val="Header"/>
      <w:jc w:val="center"/>
    </w:pPr>
    <w:r>
      <w:rPr>
        <w:noProof/>
      </w:rPr>
      <w:drawing>
        <wp:inline distT="0" distB="0" distL="0" distR="0" wp14:anchorId="3BAF7686" wp14:editId="202E35B9">
          <wp:extent cx="6562725" cy="145542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walkandcycle-2020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8B390A" w14:textId="77777777"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D885F" w14:textId="77777777" w:rsidR="00C56FE6" w:rsidRDefault="00C56F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5pt;height:83.25pt" o:bullet="t">
        <v:imagedata r:id="rId1" o:title="Bullet Point"/>
      </v:shape>
    </w:pict>
  </w:numPicBullet>
  <w:numPicBullet w:numPicBulletId="1">
    <w:pict>
      <v:shape id="_x0000_i1027" type="#_x0000_t75" style="width:177.75pt;height:169.5pt" o:bullet="t">
        <v:imagedata r:id="rId2" o:title="Conf-Icon"/>
      </v:shape>
    </w:pict>
  </w:numPicBullet>
  <w:numPicBullet w:numPicBulletId="2">
    <w:pict>
      <v:shape id="_x0000_i1028" type="#_x0000_t75" style="width:151.5pt;height:145.5pt" o:bullet="t">
        <v:imagedata r:id="rId3" o:title="Conf-Icon"/>
      </v:shape>
    </w:pict>
  </w:numPicBullet>
  <w:numPicBullet w:numPicBulletId="3">
    <w:pict>
      <v:shape id="_x0000_i1029" type="#_x0000_t75" style="width:123pt;height:113.25pt" o:bullet="t">
        <v:imagedata r:id="rId4" o:title="Bullet Point"/>
      </v:shape>
    </w:pict>
  </w:numPicBullet>
  <w:numPicBullet w:numPicBulletId="4">
    <w:pict>
      <v:shape id="_x0000_i1030" type="#_x0000_t75" style="width:109.5pt;height:107.2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E4B2C"/>
    <w:multiLevelType w:val="hybridMultilevel"/>
    <w:tmpl w:val="363AC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AC9"/>
    <w:multiLevelType w:val="hybridMultilevel"/>
    <w:tmpl w:val="6DACD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2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30"/>
  </w:num>
  <w:num w:numId="10">
    <w:abstractNumId w:val="16"/>
  </w:num>
  <w:num w:numId="11">
    <w:abstractNumId w:val="27"/>
  </w:num>
  <w:num w:numId="12">
    <w:abstractNumId w:val="13"/>
  </w:num>
  <w:num w:numId="13">
    <w:abstractNumId w:val="21"/>
  </w:num>
  <w:num w:numId="14">
    <w:abstractNumId w:val="1"/>
  </w:num>
  <w:num w:numId="15">
    <w:abstractNumId w:val="25"/>
  </w:num>
  <w:num w:numId="16">
    <w:abstractNumId w:val="18"/>
  </w:num>
  <w:num w:numId="17">
    <w:abstractNumId w:val="14"/>
  </w:num>
  <w:num w:numId="18">
    <w:abstractNumId w:val="28"/>
  </w:num>
  <w:num w:numId="19">
    <w:abstractNumId w:val="9"/>
  </w:num>
  <w:num w:numId="20">
    <w:abstractNumId w:val="24"/>
  </w:num>
  <w:num w:numId="21">
    <w:abstractNumId w:val="11"/>
  </w:num>
  <w:num w:numId="22">
    <w:abstractNumId w:val="17"/>
  </w:num>
  <w:num w:numId="23">
    <w:abstractNumId w:val="26"/>
  </w:num>
  <w:num w:numId="24">
    <w:abstractNumId w:val="4"/>
  </w:num>
  <w:num w:numId="25">
    <w:abstractNumId w:val="19"/>
  </w:num>
  <w:num w:numId="26">
    <w:abstractNumId w:val="8"/>
  </w:num>
  <w:num w:numId="27">
    <w:abstractNumId w:val="23"/>
  </w:num>
  <w:num w:numId="28">
    <w:abstractNumId w:val="20"/>
  </w:num>
  <w:num w:numId="29">
    <w:abstractNumId w:val="7"/>
  </w:num>
  <w:num w:numId="30">
    <w:abstractNumId w:val="12"/>
  </w:num>
  <w:num w:numId="31">
    <w:abstractNumId w:val="29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DQxNjcwMzY3NbZU0lEKTi0uzszPAykwqgUAZYgSoiwAAAA="/>
  </w:docVars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A58D4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13D2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557E9"/>
    <w:rsid w:val="003573AD"/>
    <w:rsid w:val="00384673"/>
    <w:rsid w:val="00385036"/>
    <w:rsid w:val="003874B0"/>
    <w:rsid w:val="003959E1"/>
    <w:rsid w:val="003A05C3"/>
    <w:rsid w:val="003C70DB"/>
    <w:rsid w:val="003E27EF"/>
    <w:rsid w:val="00424CC0"/>
    <w:rsid w:val="00426508"/>
    <w:rsid w:val="00442674"/>
    <w:rsid w:val="00451684"/>
    <w:rsid w:val="004529D4"/>
    <w:rsid w:val="00455673"/>
    <w:rsid w:val="00457387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0DBA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599E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53CF"/>
    <w:rsid w:val="006A7D7C"/>
    <w:rsid w:val="006C59A1"/>
    <w:rsid w:val="006C7FB0"/>
    <w:rsid w:val="006E2643"/>
    <w:rsid w:val="006F22E8"/>
    <w:rsid w:val="006F545D"/>
    <w:rsid w:val="00702E85"/>
    <w:rsid w:val="00703B3C"/>
    <w:rsid w:val="00711926"/>
    <w:rsid w:val="00711C47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313D"/>
    <w:rsid w:val="00894760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5B4B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256"/>
    <w:rsid w:val="00A80591"/>
    <w:rsid w:val="00A8246A"/>
    <w:rsid w:val="00A857AD"/>
    <w:rsid w:val="00AA02A4"/>
    <w:rsid w:val="00AA16D9"/>
    <w:rsid w:val="00AA2696"/>
    <w:rsid w:val="00AA6692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46249"/>
    <w:rsid w:val="00C56FE6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5705D"/>
    <w:rsid w:val="00D63EA2"/>
    <w:rsid w:val="00D719B5"/>
    <w:rsid w:val="00D73AF4"/>
    <w:rsid w:val="00D7455A"/>
    <w:rsid w:val="00D835B0"/>
    <w:rsid w:val="00D87B29"/>
    <w:rsid w:val="00DA3906"/>
    <w:rsid w:val="00DE1F1C"/>
    <w:rsid w:val="00DE685C"/>
    <w:rsid w:val="00DF4D41"/>
    <w:rsid w:val="00DF7236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C83ACB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uiPriority w:val="99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zta.govt.nz/assets/resources/providing-for-walking-research-into-guidance-and-policy/Providing-for-walking-research-report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52AB4-7949-4381-8773-639DF7DD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261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1924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Jeanette Ward</cp:lastModifiedBy>
  <cp:revision>11</cp:revision>
  <cp:lastPrinted>2017-09-24T23:53:00Z</cp:lastPrinted>
  <dcterms:created xsi:type="dcterms:W3CDTF">2020-04-28T01:52:00Z</dcterms:created>
  <dcterms:modified xsi:type="dcterms:W3CDTF">2020-05-06T01:31:00Z</dcterms:modified>
</cp:coreProperties>
</file>