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F3DEFB" w14:textId="77777777" w:rsidR="00AF55B7" w:rsidRDefault="000472F5" w:rsidP="00467137">
      <w:pPr>
        <w:jc w:val="center"/>
        <w:outlineLvl w:val="0"/>
        <w:rPr>
          <w:rFonts w:cs="Arial"/>
          <w:b/>
          <w:sz w:val="28"/>
          <w:szCs w:val="28"/>
        </w:rPr>
      </w:pPr>
      <w:r>
        <w:rPr>
          <w:rFonts w:cs="Arial"/>
          <w:b/>
          <w:sz w:val="28"/>
          <w:szCs w:val="28"/>
        </w:rPr>
        <w:t xml:space="preserve">TITLE: </w:t>
      </w:r>
      <w:r w:rsidRPr="00813DDA">
        <w:rPr>
          <w:rFonts w:cs="Arial"/>
          <w:b/>
          <w:sz w:val="28"/>
          <w:szCs w:val="28"/>
        </w:rPr>
        <w:t>GEOGRAPHIC ECONOMIC ACCESSIBILITY (GEA) FOR FREIGHT TRANSPORT</w:t>
      </w:r>
    </w:p>
    <w:p w14:paraId="60BDF6A8" w14:textId="77777777" w:rsidR="000472F5" w:rsidRDefault="000472F5" w:rsidP="000472F5">
      <w:pPr>
        <w:widowControl/>
        <w:autoSpaceDE/>
        <w:autoSpaceDN/>
        <w:adjustRightInd/>
        <w:jc w:val="both"/>
        <w:rPr>
          <w:rFonts w:cs="Arial"/>
          <w:b/>
          <w:sz w:val="28"/>
          <w:szCs w:val="28"/>
        </w:rPr>
      </w:pPr>
    </w:p>
    <w:p w14:paraId="72AC8311" w14:textId="77777777" w:rsidR="000472F5" w:rsidRDefault="000472F5" w:rsidP="000472F5">
      <w:pPr>
        <w:widowControl/>
        <w:autoSpaceDE/>
        <w:autoSpaceDN/>
        <w:adjustRightInd/>
        <w:jc w:val="both"/>
        <w:rPr>
          <w:rFonts w:cs="Arial"/>
          <w:b/>
          <w:sz w:val="28"/>
          <w:szCs w:val="28"/>
        </w:rPr>
      </w:pPr>
      <w:r>
        <w:rPr>
          <w:rFonts w:cs="Arial"/>
          <w:b/>
          <w:sz w:val="28"/>
          <w:szCs w:val="28"/>
        </w:rPr>
        <w:t>Authors:</w:t>
      </w:r>
    </w:p>
    <w:p w14:paraId="5F2D1391" w14:textId="77777777" w:rsidR="000472F5" w:rsidRDefault="000472F5" w:rsidP="000472F5">
      <w:pPr>
        <w:widowControl/>
        <w:autoSpaceDE/>
        <w:autoSpaceDN/>
        <w:adjustRightInd/>
        <w:jc w:val="both"/>
        <w:rPr>
          <w:rFonts w:cs="Arial"/>
          <w:b/>
          <w:sz w:val="28"/>
          <w:szCs w:val="28"/>
        </w:rPr>
      </w:pPr>
    </w:p>
    <w:p w14:paraId="5F548D32" w14:textId="77777777" w:rsidR="000472F5" w:rsidRDefault="000472F5" w:rsidP="000472F5">
      <w:pPr>
        <w:pStyle w:val="ListParagraph"/>
        <w:numPr>
          <w:ilvl w:val="0"/>
          <w:numId w:val="3"/>
        </w:numPr>
        <w:jc w:val="both"/>
        <w:rPr>
          <w:rFonts w:cs="Arial"/>
          <w:b/>
          <w:sz w:val="28"/>
          <w:szCs w:val="28"/>
        </w:rPr>
      </w:pPr>
      <w:r>
        <w:rPr>
          <w:rFonts w:cs="Arial"/>
          <w:sz w:val="28"/>
          <w:szCs w:val="28"/>
        </w:rPr>
        <w:t>Patricio Gallardo (Presenter)</w:t>
      </w:r>
    </w:p>
    <w:p w14:paraId="49B9AA1B" w14:textId="77777777" w:rsidR="000472F5" w:rsidRPr="000472F5" w:rsidRDefault="000472F5" w:rsidP="000472F5">
      <w:pPr>
        <w:pStyle w:val="ListParagraph"/>
        <w:numPr>
          <w:ilvl w:val="1"/>
          <w:numId w:val="3"/>
        </w:numPr>
        <w:jc w:val="both"/>
        <w:rPr>
          <w:rFonts w:cs="Arial"/>
          <w:b/>
          <w:sz w:val="28"/>
          <w:szCs w:val="28"/>
        </w:rPr>
      </w:pPr>
      <w:r>
        <w:rPr>
          <w:rFonts w:cs="Arial"/>
          <w:sz w:val="28"/>
          <w:szCs w:val="28"/>
        </w:rPr>
        <w:t>PhD Candidate at the University of Canterbury</w:t>
      </w:r>
    </w:p>
    <w:p w14:paraId="72BF99B5" w14:textId="77777777" w:rsidR="000472F5" w:rsidRPr="000472F5" w:rsidRDefault="000472F5" w:rsidP="000472F5">
      <w:pPr>
        <w:pStyle w:val="ListParagraph"/>
        <w:numPr>
          <w:ilvl w:val="0"/>
          <w:numId w:val="3"/>
        </w:numPr>
        <w:jc w:val="both"/>
        <w:rPr>
          <w:rFonts w:cs="Arial"/>
          <w:b/>
          <w:sz w:val="28"/>
          <w:szCs w:val="28"/>
        </w:rPr>
      </w:pPr>
      <w:proofErr w:type="spellStart"/>
      <w:r>
        <w:rPr>
          <w:rFonts w:cs="Arial"/>
          <w:sz w:val="28"/>
          <w:szCs w:val="28"/>
        </w:rPr>
        <w:t>Paúl</w:t>
      </w:r>
      <w:proofErr w:type="spellEnd"/>
      <w:r>
        <w:rPr>
          <w:rFonts w:cs="Arial"/>
          <w:sz w:val="28"/>
          <w:szCs w:val="28"/>
        </w:rPr>
        <w:t xml:space="preserve"> León</w:t>
      </w:r>
    </w:p>
    <w:p w14:paraId="3B78B508" w14:textId="77777777" w:rsidR="000472F5" w:rsidRPr="000472F5" w:rsidRDefault="003277D5" w:rsidP="000472F5">
      <w:pPr>
        <w:pStyle w:val="ListParagraph"/>
        <w:numPr>
          <w:ilvl w:val="1"/>
          <w:numId w:val="3"/>
        </w:numPr>
        <w:jc w:val="both"/>
        <w:rPr>
          <w:rFonts w:cs="Arial"/>
          <w:b/>
          <w:sz w:val="28"/>
          <w:szCs w:val="28"/>
        </w:rPr>
      </w:pPr>
      <w:r>
        <w:rPr>
          <w:rFonts w:cs="Arial"/>
          <w:sz w:val="28"/>
          <w:szCs w:val="28"/>
        </w:rPr>
        <w:t xml:space="preserve">Analyst at </w:t>
      </w:r>
      <w:proofErr w:type="spellStart"/>
      <w:r w:rsidR="000472F5">
        <w:rPr>
          <w:rFonts w:cs="Arial"/>
          <w:sz w:val="28"/>
          <w:szCs w:val="28"/>
        </w:rPr>
        <w:t>Instituto</w:t>
      </w:r>
      <w:proofErr w:type="spellEnd"/>
      <w:r w:rsidR="000472F5">
        <w:rPr>
          <w:rFonts w:cs="Arial"/>
          <w:sz w:val="28"/>
          <w:szCs w:val="28"/>
        </w:rPr>
        <w:t xml:space="preserve"> Nacional de </w:t>
      </w:r>
      <w:proofErr w:type="spellStart"/>
      <w:r w:rsidR="000472F5">
        <w:rPr>
          <w:rFonts w:cs="Arial"/>
          <w:sz w:val="28"/>
          <w:szCs w:val="28"/>
        </w:rPr>
        <w:t>Eficiencia</w:t>
      </w:r>
      <w:proofErr w:type="spellEnd"/>
      <w:r w:rsidR="000472F5">
        <w:rPr>
          <w:rFonts w:cs="Arial"/>
          <w:sz w:val="28"/>
          <w:szCs w:val="28"/>
        </w:rPr>
        <w:t xml:space="preserve"> </w:t>
      </w:r>
      <w:proofErr w:type="spellStart"/>
      <w:r w:rsidR="000472F5">
        <w:rPr>
          <w:rFonts w:cs="Arial"/>
          <w:sz w:val="28"/>
          <w:szCs w:val="28"/>
        </w:rPr>
        <w:t>Energética</w:t>
      </w:r>
      <w:proofErr w:type="spellEnd"/>
      <w:r w:rsidR="000472F5">
        <w:rPr>
          <w:rFonts w:cs="Arial"/>
          <w:sz w:val="28"/>
          <w:szCs w:val="28"/>
        </w:rPr>
        <w:t xml:space="preserve"> y </w:t>
      </w:r>
      <w:proofErr w:type="spellStart"/>
      <w:r w:rsidR="000472F5">
        <w:rPr>
          <w:rFonts w:cs="Arial"/>
          <w:sz w:val="28"/>
          <w:szCs w:val="28"/>
        </w:rPr>
        <w:t>Energías</w:t>
      </w:r>
      <w:proofErr w:type="spellEnd"/>
      <w:r w:rsidR="000472F5">
        <w:rPr>
          <w:rFonts w:cs="Arial"/>
          <w:sz w:val="28"/>
          <w:szCs w:val="28"/>
        </w:rPr>
        <w:t xml:space="preserve"> </w:t>
      </w:r>
      <w:proofErr w:type="spellStart"/>
      <w:r w:rsidR="000472F5">
        <w:rPr>
          <w:rFonts w:cs="Arial"/>
          <w:sz w:val="28"/>
          <w:szCs w:val="28"/>
        </w:rPr>
        <w:t>Renovables</w:t>
      </w:r>
      <w:proofErr w:type="spellEnd"/>
      <w:r>
        <w:rPr>
          <w:rFonts w:cs="Arial"/>
          <w:sz w:val="28"/>
          <w:szCs w:val="28"/>
        </w:rPr>
        <w:t xml:space="preserve"> (INER)</w:t>
      </w:r>
    </w:p>
    <w:p w14:paraId="20C5CC8C" w14:textId="77777777" w:rsidR="000472F5" w:rsidRPr="000472F5" w:rsidRDefault="000472F5" w:rsidP="000472F5">
      <w:pPr>
        <w:pStyle w:val="ListParagraph"/>
        <w:numPr>
          <w:ilvl w:val="0"/>
          <w:numId w:val="3"/>
        </w:numPr>
        <w:jc w:val="both"/>
        <w:rPr>
          <w:rFonts w:cs="Arial"/>
          <w:b/>
          <w:sz w:val="28"/>
          <w:szCs w:val="28"/>
        </w:rPr>
      </w:pPr>
      <w:proofErr w:type="spellStart"/>
      <w:r>
        <w:rPr>
          <w:rFonts w:cs="Arial"/>
          <w:sz w:val="28"/>
          <w:szCs w:val="28"/>
        </w:rPr>
        <w:t>Dr.</w:t>
      </w:r>
      <w:proofErr w:type="spellEnd"/>
      <w:r>
        <w:rPr>
          <w:rFonts w:cs="Arial"/>
          <w:sz w:val="28"/>
          <w:szCs w:val="28"/>
        </w:rPr>
        <w:t xml:space="preserve"> </w:t>
      </w:r>
      <w:proofErr w:type="spellStart"/>
      <w:r>
        <w:rPr>
          <w:rFonts w:cs="Arial"/>
          <w:sz w:val="28"/>
          <w:szCs w:val="28"/>
        </w:rPr>
        <w:t>Rua</w:t>
      </w:r>
      <w:proofErr w:type="spellEnd"/>
      <w:r>
        <w:rPr>
          <w:rFonts w:cs="Arial"/>
          <w:sz w:val="28"/>
          <w:szCs w:val="28"/>
        </w:rPr>
        <w:t xml:space="preserve"> Murray</w:t>
      </w:r>
    </w:p>
    <w:p w14:paraId="5F44EC20" w14:textId="77777777" w:rsidR="000472F5" w:rsidRDefault="000472F5" w:rsidP="000472F5">
      <w:pPr>
        <w:pStyle w:val="ListParagraph"/>
        <w:numPr>
          <w:ilvl w:val="1"/>
          <w:numId w:val="3"/>
        </w:numPr>
        <w:jc w:val="both"/>
        <w:rPr>
          <w:rFonts w:cs="Arial"/>
          <w:sz w:val="28"/>
          <w:szCs w:val="28"/>
        </w:rPr>
      </w:pPr>
      <w:r w:rsidRPr="000472F5">
        <w:rPr>
          <w:rFonts w:cs="Arial"/>
          <w:sz w:val="28"/>
          <w:szCs w:val="28"/>
        </w:rPr>
        <w:t>Associate Professor</w:t>
      </w:r>
      <w:r>
        <w:rPr>
          <w:rFonts w:cs="Arial"/>
          <w:sz w:val="28"/>
          <w:szCs w:val="28"/>
        </w:rPr>
        <w:t xml:space="preserve"> from the Mathematics and Statistics Department at the University of Canterbury</w:t>
      </w:r>
    </w:p>
    <w:p w14:paraId="72237C96" w14:textId="77777777" w:rsidR="000472F5" w:rsidRDefault="000472F5" w:rsidP="000472F5">
      <w:pPr>
        <w:pStyle w:val="ListParagraph"/>
        <w:numPr>
          <w:ilvl w:val="0"/>
          <w:numId w:val="3"/>
        </w:numPr>
        <w:jc w:val="both"/>
        <w:rPr>
          <w:rFonts w:cs="Arial"/>
          <w:sz w:val="28"/>
          <w:szCs w:val="28"/>
        </w:rPr>
      </w:pPr>
      <w:proofErr w:type="spellStart"/>
      <w:r>
        <w:rPr>
          <w:rFonts w:cs="Arial"/>
          <w:sz w:val="28"/>
          <w:szCs w:val="28"/>
        </w:rPr>
        <w:t>Dr.</w:t>
      </w:r>
      <w:proofErr w:type="spellEnd"/>
      <w:r>
        <w:rPr>
          <w:rFonts w:cs="Arial"/>
          <w:sz w:val="28"/>
          <w:szCs w:val="28"/>
        </w:rPr>
        <w:t xml:space="preserve"> Susan </w:t>
      </w:r>
      <w:proofErr w:type="spellStart"/>
      <w:r>
        <w:rPr>
          <w:rFonts w:cs="Arial"/>
          <w:sz w:val="28"/>
          <w:szCs w:val="28"/>
        </w:rPr>
        <w:t>Krumdieck</w:t>
      </w:r>
      <w:proofErr w:type="spellEnd"/>
    </w:p>
    <w:p w14:paraId="566F7516" w14:textId="77777777" w:rsidR="000472F5" w:rsidRPr="000472F5" w:rsidRDefault="000472F5" w:rsidP="000472F5">
      <w:pPr>
        <w:pStyle w:val="ListParagraph"/>
        <w:numPr>
          <w:ilvl w:val="1"/>
          <w:numId w:val="3"/>
        </w:numPr>
        <w:jc w:val="both"/>
        <w:rPr>
          <w:rFonts w:cs="Arial"/>
          <w:sz w:val="28"/>
          <w:szCs w:val="28"/>
        </w:rPr>
      </w:pPr>
      <w:r>
        <w:rPr>
          <w:rFonts w:cs="Arial"/>
          <w:sz w:val="28"/>
          <w:szCs w:val="28"/>
        </w:rPr>
        <w:t>Professor from the Mechanical Engineering Department at the University of Canterbury</w:t>
      </w:r>
      <w:r w:rsidRPr="000472F5">
        <w:rPr>
          <w:rFonts w:cs="Arial"/>
          <w:sz w:val="28"/>
          <w:szCs w:val="28"/>
        </w:rPr>
        <w:t xml:space="preserve"> </w:t>
      </w:r>
    </w:p>
    <w:p w14:paraId="0CEBAABB" w14:textId="77777777" w:rsidR="000472F5" w:rsidRDefault="000472F5" w:rsidP="000472F5">
      <w:pPr>
        <w:widowControl/>
        <w:autoSpaceDE/>
        <w:autoSpaceDN/>
        <w:adjustRightInd/>
        <w:jc w:val="both"/>
        <w:rPr>
          <w:rFonts w:cs="Arial"/>
          <w:b/>
          <w:sz w:val="28"/>
          <w:szCs w:val="28"/>
        </w:rPr>
      </w:pPr>
    </w:p>
    <w:p w14:paraId="48018453" w14:textId="77777777" w:rsidR="00AF55B7" w:rsidRDefault="00AF55B7" w:rsidP="000472F5">
      <w:pPr>
        <w:widowControl/>
        <w:autoSpaceDE/>
        <w:autoSpaceDN/>
        <w:adjustRightInd/>
        <w:jc w:val="both"/>
        <w:rPr>
          <w:rFonts w:cs="Arial"/>
          <w:b/>
          <w:sz w:val="28"/>
          <w:szCs w:val="28"/>
        </w:rPr>
      </w:pPr>
      <w:r>
        <w:rPr>
          <w:rFonts w:cs="Arial"/>
          <w:b/>
          <w:sz w:val="28"/>
          <w:szCs w:val="28"/>
        </w:rPr>
        <w:br w:type="page"/>
      </w:r>
    </w:p>
    <w:p w14:paraId="7D3E4D6C" w14:textId="77777777" w:rsidR="008119A9" w:rsidRPr="008119A9" w:rsidRDefault="00813DDA" w:rsidP="00467137">
      <w:pPr>
        <w:jc w:val="center"/>
        <w:outlineLvl w:val="0"/>
        <w:rPr>
          <w:rFonts w:cs="Arial"/>
          <w:b/>
          <w:sz w:val="28"/>
          <w:szCs w:val="28"/>
        </w:rPr>
      </w:pPr>
      <w:r w:rsidRPr="00813DDA">
        <w:rPr>
          <w:rFonts w:cs="Arial"/>
          <w:b/>
          <w:sz w:val="28"/>
          <w:szCs w:val="28"/>
        </w:rPr>
        <w:lastRenderedPageBreak/>
        <w:t>GEOGRAPHIC ECONOMIC ACCESSIBILITY (GEA) FOR FREIGHT TRANSPORT</w:t>
      </w:r>
    </w:p>
    <w:p w14:paraId="5A2D304E" w14:textId="77777777" w:rsidR="008119A9" w:rsidRPr="008119A9" w:rsidRDefault="008119A9" w:rsidP="00467137">
      <w:pPr>
        <w:rPr>
          <w:rFonts w:cs="Arial"/>
          <w:szCs w:val="22"/>
        </w:rPr>
      </w:pPr>
    </w:p>
    <w:p w14:paraId="12A2F4C9" w14:textId="77777777" w:rsidR="008119A9" w:rsidRPr="008119A9" w:rsidRDefault="008119A9" w:rsidP="00467137">
      <w:pPr>
        <w:outlineLvl w:val="0"/>
        <w:rPr>
          <w:rFonts w:cs="Arial"/>
          <w:b/>
          <w:sz w:val="28"/>
          <w:szCs w:val="28"/>
        </w:rPr>
      </w:pPr>
      <w:r w:rsidRPr="008119A9">
        <w:rPr>
          <w:rFonts w:cs="Arial"/>
          <w:b/>
          <w:sz w:val="28"/>
          <w:szCs w:val="28"/>
        </w:rPr>
        <w:t>ABSTRACT</w:t>
      </w:r>
    </w:p>
    <w:p w14:paraId="10956B56" w14:textId="0B2207A7" w:rsidR="00813DDA" w:rsidRDefault="00813DDA" w:rsidP="00813DDA">
      <w:pPr>
        <w:jc w:val="both"/>
        <w:outlineLvl w:val="0"/>
        <w:rPr>
          <w:rFonts w:cs="Arial"/>
          <w:szCs w:val="22"/>
        </w:rPr>
      </w:pPr>
      <w:r w:rsidRPr="00813DDA">
        <w:rPr>
          <w:rFonts w:cs="Arial"/>
          <w:szCs w:val="22"/>
        </w:rPr>
        <w:t>Freight transportation has always been essential for trade and prosperity. The geographic economic accessibility to trade has expanded with modern use of fossil fuels. Geographic economic accessibil</w:t>
      </w:r>
      <w:r w:rsidR="00DF1E4F">
        <w:rPr>
          <w:rFonts w:cs="Arial"/>
          <w:szCs w:val="22"/>
        </w:rPr>
        <w:t>ity (GEA) is a measure of the tonne-kilo</w:t>
      </w:r>
      <w:bookmarkStart w:id="0" w:name="_GoBack"/>
      <w:bookmarkEnd w:id="0"/>
      <w:r w:rsidR="00DF1E4F">
        <w:rPr>
          <w:rFonts w:cs="Arial"/>
          <w:szCs w:val="22"/>
        </w:rPr>
        <w:t>metre (</w:t>
      </w:r>
      <w:proofErr w:type="spellStart"/>
      <w:r w:rsidR="00DF1E4F">
        <w:rPr>
          <w:rFonts w:cs="Arial"/>
          <w:szCs w:val="22"/>
        </w:rPr>
        <w:t>t</w:t>
      </w:r>
      <w:r w:rsidRPr="00813DDA">
        <w:rPr>
          <w:rFonts w:cs="Arial"/>
          <w:szCs w:val="22"/>
        </w:rPr>
        <w:t>km</w:t>
      </w:r>
      <w:proofErr w:type="spellEnd"/>
      <w:r w:rsidR="00DF1E4F">
        <w:rPr>
          <w:rFonts w:cs="Arial"/>
          <w:szCs w:val="22"/>
        </w:rPr>
        <w:t>)</w:t>
      </w:r>
      <w:r w:rsidRPr="00813DDA">
        <w:rPr>
          <w:rFonts w:cs="Arial"/>
          <w:szCs w:val="22"/>
        </w:rPr>
        <w:t xml:space="preserve"> dispersion for production and supply chains using the existing transport networks, intermodal connections and available energy. The non-renewable nature of transport fuel, carbon emissions from fossil fuels, and price volatility mean that the outlook for trade will involve pressures for change.  The question is</w:t>
      </w:r>
      <w:r w:rsidR="001A1CCE">
        <w:rPr>
          <w:rFonts w:cs="Arial"/>
          <w:szCs w:val="22"/>
        </w:rPr>
        <w:t>:</w:t>
      </w:r>
      <w:r w:rsidRPr="00813DDA">
        <w:rPr>
          <w:rFonts w:cs="Arial"/>
          <w:szCs w:val="22"/>
        </w:rPr>
        <w:t xml:space="preserve"> what are the most economically efficient infrastructure investments, operational changes and technology developments to achieve high geographic economic accessibility to trade while adapting to the 80% reduction in fossil fuel which is expected over the lifetime of networks and vehicles?   </w:t>
      </w:r>
    </w:p>
    <w:p w14:paraId="4F436B14" w14:textId="77777777" w:rsidR="00813DDA" w:rsidRPr="00813DDA" w:rsidRDefault="00813DDA" w:rsidP="00813DDA">
      <w:pPr>
        <w:jc w:val="both"/>
        <w:outlineLvl w:val="0"/>
        <w:rPr>
          <w:rFonts w:cs="Arial"/>
          <w:szCs w:val="22"/>
        </w:rPr>
      </w:pPr>
    </w:p>
    <w:p w14:paraId="686FB7E1" w14:textId="77777777" w:rsidR="001A1CCE" w:rsidRDefault="001A1CCE" w:rsidP="001A1CCE">
      <w:pPr>
        <w:jc w:val="both"/>
        <w:outlineLvl w:val="0"/>
        <w:rPr>
          <w:rFonts w:cs="Arial"/>
          <w:szCs w:val="22"/>
        </w:rPr>
      </w:pPr>
      <w:r w:rsidRPr="00813DDA">
        <w:rPr>
          <w:rFonts w:cs="Arial"/>
          <w:szCs w:val="22"/>
        </w:rPr>
        <w:t>In this paper, we focus on the first part of the GEA trade analysis scheme, where travel demand is estimated upon the execution of a Random Utility Based Multiregional Input Output Model. Given the mathematical representation of the New Zealand Freight Transportation System, we assess the response of mode share</w:t>
      </w:r>
      <w:r>
        <w:rPr>
          <w:rFonts w:cs="Arial"/>
          <w:szCs w:val="22"/>
        </w:rPr>
        <w:t xml:space="preserve"> and freight flow dispersion</w:t>
      </w:r>
      <w:r w:rsidRPr="00813DDA">
        <w:rPr>
          <w:rFonts w:cs="Arial"/>
          <w:szCs w:val="22"/>
        </w:rPr>
        <w:t xml:space="preserve"> to changes in transportation costs. </w:t>
      </w:r>
    </w:p>
    <w:p w14:paraId="20EE15DF" w14:textId="77777777" w:rsidR="001A1CCE" w:rsidRPr="00405E3D" w:rsidRDefault="001A1CCE" w:rsidP="001A1CCE">
      <w:pPr>
        <w:jc w:val="both"/>
        <w:outlineLvl w:val="0"/>
        <w:rPr>
          <w:rFonts w:cs="Arial"/>
          <w:szCs w:val="22"/>
        </w:rPr>
      </w:pPr>
    </w:p>
    <w:p w14:paraId="68C9CB66" w14:textId="62C40D30" w:rsidR="00813DDA" w:rsidRDefault="00813DDA" w:rsidP="00813DDA">
      <w:pPr>
        <w:jc w:val="both"/>
        <w:outlineLvl w:val="0"/>
        <w:rPr>
          <w:rFonts w:cs="Arial"/>
          <w:szCs w:val="22"/>
        </w:rPr>
      </w:pPr>
      <w:r w:rsidRPr="00813DDA">
        <w:rPr>
          <w:rFonts w:cs="Arial"/>
          <w:szCs w:val="22"/>
        </w:rPr>
        <w:t xml:space="preserve">We explore freight activity and energy consumption under different infrastructure and network configurations, as well as under different assumptions about travel patterns and logistic dispersion. Such a scheme can be used for the identification of transportation infrastructure that has the potential to enhance a smooth transition of the freight transportation system towards a more resilient configuration that allows for the consolidation of freight flows and for the deployment of more energy efficient modes of transportation. </w:t>
      </w:r>
      <w:r w:rsidR="00EF527A" w:rsidRPr="00EF527A">
        <w:rPr>
          <w:rFonts w:cs="Arial"/>
          <w:szCs w:val="22"/>
        </w:rPr>
        <w:t>Furthermore we propose the adoption of essentiality metrics over the transportation demand in order to identify what sectors are at higher risk due to lack of capacity to adapt to lower energy consumption.</w:t>
      </w:r>
    </w:p>
    <w:p w14:paraId="208CFB85" w14:textId="77777777" w:rsidR="00813DDA" w:rsidRPr="00813DDA" w:rsidRDefault="00813DDA" w:rsidP="00813DDA">
      <w:pPr>
        <w:jc w:val="both"/>
        <w:outlineLvl w:val="0"/>
        <w:rPr>
          <w:rFonts w:cs="Arial"/>
          <w:szCs w:val="22"/>
        </w:rPr>
      </w:pPr>
    </w:p>
    <w:p w14:paraId="3C247148" w14:textId="77777777" w:rsidR="008119A9" w:rsidRDefault="008119A9" w:rsidP="00467137">
      <w:pPr>
        <w:ind w:left="2410" w:hanging="2410"/>
        <w:rPr>
          <w:rFonts w:cs="Arial"/>
          <w:b/>
          <w:bCs/>
          <w:szCs w:val="22"/>
        </w:rPr>
      </w:pPr>
    </w:p>
    <w:p w14:paraId="5D1AB26B" w14:textId="77777777" w:rsidR="007776D0" w:rsidRDefault="007776D0" w:rsidP="007776D0">
      <w:pPr>
        <w:outlineLvl w:val="0"/>
        <w:rPr>
          <w:rFonts w:cs="Arial"/>
          <w:b/>
          <w:sz w:val="28"/>
          <w:szCs w:val="28"/>
        </w:rPr>
      </w:pPr>
      <w:r>
        <w:rPr>
          <w:rFonts w:cs="Arial"/>
          <w:b/>
          <w:sz w:val="28"/>
          <w:szCs w:val="28"/>
        </w:rPr>
        <w:t>INTRODUCTION</w:t>
      </w:r>
    </w:p>
    <w:p w14:paraId="643B95D9" w14:textId="356B2EB5" w:rsidR="00C94D52" w:rsidRDefault="00B14C85" w:rsidP="00B14C85">
      <w:pPr>
        <w:jc w:val="both"/>
        <w:outlineLvl w:val="0"/>
        <w:rPr>
          <w:rFonts w:cs="Arial"/>
          <w:szCs w:val="22"/>
        </w:rPr>
      </w:pPr>
      <w:r w:rsidRPr="00B14C85">
        <w:rPr>
          <w:rFonts w:cs="Arial"/>
          <w:szCs w:val="22"/>
        </w:rPr>
        <w:t xml:space="preserve">Energy demand has tripled in the last 43 years; in 2016 the total energy consumption reached 9464.69 </w:t>
      </w:r>
      <w:proofErr w:type="spellStart"/>
      <w:r w:rsidRPr="00B14C85">
        <w:rPr>
          <w:rFonts w:cs="Arial"/>
          <w:szCs w:val="22"/>
        </w:rPr>
        <w:t>Mtoe</w:t>
      </w:r>
      <w:proofErr w:type="spellEnd"/>
      <w:r w:rsidRPr="00B14C85">
        <w:rPr>
          <w:rFonts w:cs="Arial"/>
          <w:szCs w:val="22"/>
        </w:rPr>
        <w:t xml:space="preserve"> (Million tons of oil equivalent) and the transportation sector was responsible for 27.87% of the </w:t>
      </w:r>
      <w:r>
        <w:rPr>
          <w:rFonts w:cs="Arial"/>
          <w:szCs w:val="22"/>
        </w:rPr>
        <w:t>world’s</w:t>
      </w:r>
      <w:r w:rsidRPr="00B14C85">
        <w:rPr>
          <w:rFonts w:cs="Arial"/>
          <w:szCs w:val="22"/>
        </w:rPr>
        <w:t xml:space="preserve"> energy demand</w:t>
      </w:r>
      <w:r w:rsidR="00DB02E2">
        <w:rPr>
          <w:rFonts w:cs="Arial"/>
          <w:szCs w:val="22"/>
        </w:rPr>
        <w:t xml:space="preserve"> </w:t>
      </w:r>
      <w:r w:rsidR="00DB02E2">
        <w:rPr>
          <w:rFonts w:cs="Arial"/>
          <w:szCs w:val="22"/>
        </w:rPr>
        <w:fldChar w:fldCharType="begin"/>
      </w:r>
      <w:r w:rsidR="003C0462">
        <w:rPr>
          <w:rFonts w:cs="Arial"/>
          <w:szCs w:val="22"/>
        </w:rPr>
        <w:instrText xml:space="preserve"> ADDIN EN.CITE &lt;EndNote&gt;&lt;Cite&gt;&lt;Author&gt;International Energy agency&lt;/Author&gt;&lt;Year&gt;2016&lt;/Year&gt;&lt;RecNum&gt;10&lt;/RecNum&gt;&lt;DisplayText&gt;(International Energy agency, 2016)&lt;/DisplayText&gt;&lt;record&gt;&lt;rec-number&gt;10&lt;/rec-number&gt;&lt;foreign-keys&gt;&lt;key app="EN" db-id="zesxtzdp6atewte95fc5dr2asp25rs2rstwt" timestamp="1512945675"&gt;10&lt;/key&gt;&lt;/foreign-keys&gt;&lt;ref-type name="Report"&gt;27&lt;/ref-type&gt;&lt;contributors&gt;&lt;authors&gt;&lt;author&gt;International Energy agency,&lt;/author&gt;&lt;/authors&gt;&lt;/contributors&gt;&lt;titles&gt;&lt;title&gt;Key World Energy Statistics 2016&lt;/title&gt;&lt;/titles&gt;&lt;pages&gt;80-80&lt;/pages&gt;&lt;dates&gt;&lt;year&gt;2016&lt;/year&gt;&lt;/dates&gt;&lt;isbn&gt;9789264039537&lt;/isbn&gt;&lt;urls&gt;&lt;related-urls&gt;&lt;url&gt;http://www.oecd-ilibrary.org/energy/key-world-energy-statistics-2009_9789264039537-en&lt;/url&gt;&lt;/related-urls&gt;&lt;/urls&gt;&lt;electronic-resource-num&gt;10.1787/9789264039537-en&lt;/electronic-resource-num&gt;&lt;/record&gt;&lt;/Cite&gt;&lt;/EndNote&gt;</w:instrText>
      </w:r>
      <w:r w:rsidR="00DB02E2">
        <w:rPr>
          <w:rFonts w:cs="Arial"/>
          <w:szCs w:val="22"/>
        </w:rPr>
        <w:fldChar w:fldCharType="separate"/>
      </w:r>
      <w:r w:rsidR="003C0462">
        <w:rPr>
          <w:rFonts w:cs="Arial"/>
          <w:noProof/>
          <w:szCs w:val="22"/>
        </w:rPr>
        <w:t>(International Energy agency, 2016)</w:t>
      </w:r>
      <w:r w:rsidR="00DB02E2">
        <w:rPr>
          <w:rFonts w:cs="Arial"/>
          <w:szCs w:val="22"/>
        </w:rPr>
        <w:fldChar w:fldCharType="end"/>
      </w:r>
      <w:r w:rsidRPr="00B14C85">
        <w:rPr>
          <w:rFonts w:cs="Arial"/>
          <w:szCs w:val="22"/>
        </w:rPr>
        <w:t xml:space="preserve">. The outlook for the transport sector is critical since almost all means of transport are heavily dependent on fossil fuels like gasoline and diesel; therefore, decoupling Gross Domestic Product (GDP) growth from GHG emissions might be more challenging in contrast to other sectors like industry which already counts on feasible alternative technologies and cleaner fuels. In spite of the recent developments in energy efficient vehicles, </w:t>
      </w:r>
      <w:r>
        <w:rPr>
          <w:rFonts w:cs="Arial"/>
          <w:szCs w:val="22"/>
        </w:rPr>
        <w:t>Greenhouse (</w:t>
      </w:r>
      <w:r w:rsidRPr="00B14C85">
        <w:rPr>
          <w:rFonts w:cs="Arial"/>
          <w:szCs w:val="22"/>
        </w:rPr>
        <w:t>GHG</w:t>
      </w:r>
      <w:r>
        <w:rPr>
          <w:rFonts w:cs="Arial"/>
          <w:szCs w:val="22"/>
        </w:rPr>
        <w:t>)</w:t>
      </w:r>
      <w:r w:rsidRPr="00B14C85">
        <w:rPr>
          <w:rFonts w:cs="Arial"/>
          <w:szCs w:val="22"/>
        </w:rPr>
        <w:t xml:space="preserve"> emissions from the transport sector were 7 Gt CO2eq in 2010 and they have been increasing at a faster rate than any other sector</w:t>
      </w:r>
      <w:r w:rsidR="00DB02E2">
        <w:rPr>
          <w:rFonts w:cs="Arial"/>
          <w:szCs w:val="22"/>
        </w:rPr>
        <w:t xml:space="preserve"> </w:t>
      </w:r>
      <w:r w:rsidR="00DB02E2">
        <w:rPr>
          <w:rFonts w:cs="Arial"/>
          <w:szCs w:val="22"/>
        </w:rPr>
        <w:fldChar w:fldCharType="begin"/>
      </w:r>
      <w:r w:rsidR="00A114F8">
        <w:rPr>
          <w:rFonts w:cs="Arial"/>
          <w:szCs w:val="22"/>
        </w:rPr>
        <w:instrText xml:space="preserve"> ADDIN EN.CITE &lt;EndNote&gt;&lt;Cite&gt;&lt;Author&gt;Sims&lt;/Author&gt;&lt;Year&gt;2014&lt;/Year&gt;&lt;RecNum&gt;22&lt;/RecNum&gt;&lt;DisplayText&gt;(Sims et al., 2014)&lt;/DisplayText&gt;&lt;record&gt;&lt;rec-number&gt;22&lt;/rec-number&gt;&lt;foreign-keys&gt;&lt;key app="EN" db-id="zesxtzdp6atewte95fc5dr2asp25rs2rstwt" timestamp="1512945675"&gt;22&lt;/key&gt;&lt;/foreign-keys&gt;&lt;ref-type name="Book Section"&gt;5&lt;/ref-type&gt;&lt;contributors&gt;&lt;authors&gt;&lt;author&gt;Sims, Ralph&lt;/author&gt;&lt;author&gt;Schaeffer, Roberto&lt;/author&gt;&lt;author&gt;Creutzig, Felix&lt;/author&gt;&lt;author&gt;Cruz-Nuñez, Xochitl&lt;/author&gt;&lt;author&gt;D Agosto, Marcio&lt;/author&gt;&lt;author&gt;Dimitriu, Delia&lt;/author&gt;&lt;author&gt;Figueroa, Maria&lt;/author&gt;&lt;author&gt;Fulton, Lew&lt;/author&gt;&lt;author&gt;Kobayashi, Shigeki&lt;/author&gt;&lt;author&gt;Lah, Oliver&lt;/author&gt;&lt;author&gt;McKinnon, Alan&lt;/author&gt;&lt;author&gt;Newman, Peter&lt;/author&gt;&lt;author&gt;Ouyang, Minggao&lt;/author&gt;&lt;author&gt;Jay, James&lt;/author&gt;&lt;author&gt;Sperling, Daniel&lt;/author&gt;&lt;author&gt;Tiwari, Geetam&lt;/author&gt;&lt;/authors&gt;&lt;secondary-authors&gt;&lt;author&gt;Deakin, Elizabeth&lt;/author&gt;&lt;author&gt;Kahn, Suzana&lt;/author&gt;&lt;/secondary-authors&gt;&lt;/contributors&gt;&lt;titles&gt;&lt;title&gt;Transport&lt;/title&gt;&lt;secondary-title&gt;Climate Change&amp;#xD;2014: Mitigation of Climate Change. Contribution of Working Group III to the Fifth Assessment Report of the Intergovernmental&amp;#xD;Panel on Climate Change&lt;/secondary-title&gt;&lt;tertiary-title&gt;Assessment report&lt;/tertiary-title&gt;&lt;/titles&gt;&lt;dates&gt;&lt;year&gt;2014&lt;/year&gt;&lt;/dates&gt;&lt;pub-location&gt;Cambridge&lt;/pub-location&gt;&lt;publisher&gt;Cambridge University Press&lt;/publisher&gt;&lt;isbn&gt;9781107058217&lt;/isbn&gt;&lt;urls&gt;&lt;/urls&gt;&lt;/record&gt;&lt;/Cite&gt;&lt;/EndNote&gt;</w:instrText>
      </w:r>
      <w:r w:rsidR="00DB02E2">
        <w:rPr>
          <w:rFonts w:cs="Arial"/>
          <w:szCs w:val="22"/>
        </w:rPr>
        <w:fldChar w:fldCharType="separate"/>
      </w:r>
      <w:r w:rsidR="00DB02E2">
        <w:rPr>
          <w:rFonts w:cs="Arial"/>
          <w:noProof/>
          <w:szCs w:val="22"/>
        </w:rPr>
        <w:t>(Sims et al., 2014)</w:t>
      </w:r>
      <w:r w:rsidR="00DB02E2">
        <w:rPr>
          <w:rFonts w:cs="Arial"/>
          <w:szCs w:val="22"/>
        </w:rPr>
        <w:fldChar w:fldCharType="end"/>
      </w:r>
      <w:r w:rsidR="00C94D52">
        <w:rPr>
          <w:rFonts w:cs="Arial"/>
          <w:szCs w:val="22"/>
        </w:rPr>
        <w:t>.</w:t>
      </w:r>
      <w:r w:rsidRPr="00B14C85">
        <w:rPr>
          <w:rFonts w:cs="Arial"/>
          <w:szCs w:val="22"/>
        </w:rPr>
        <w:t xml:space="preserve"> </w:t>
      </w:r>
      <w:r w:rsidR="00C94D52">
        <w:rPr>
          <w:rFonts w:cs="Arial"/>
          <w:szCs w:val="22"/>
        </w:rPr>
        <w:t>A</w:t>
      </w:r>
      <w:r w:rsidRPr="00B14C85">
        <w:rPr>
          <w:rFonts w:cs="Arial"/>
          <w:szCs w:val="22"/>
        </w:rPr>
        <w:t xml:space="preserve">dvancement towards low carbon transportation systems will not only depend on technological progress but also on behavioural changes and major investments in infrastructure. </w:t>
      </w:r>
    </w:p>
    <w:p w14:paraId="5CF0A403" w14:textId="77777777" w:rsidR="00C94D52" w:rsidRDefault="00C94D52" w:rsidP="00B14C85">
      <w:pPr>
        <w:jc w:val="both"/>
        <w:outlineLvl w:val="0"/>
        <w:rPr>
          <w:rFonts w:cs="Arial"/>
          <w:szCs w:val="22"/>
        </w:rPr>
      </w:pPr>
    </w:p>
    <w:p w14:paraId="16D0DC70" w14:textId="4719FA41" w:rsidR="00181CC1" w:rsidRDefault="00B14C85" w:rsidP="00B14C85">
      <w:pPr>
        <w:jc w:val="both"/>
        <w:outlineLvl w:val="0"/>
        <w:rPr>
          <w:rFonts w:cs="Arial"/>
          <w:szCs w:val="22"/>
        </w:rPr>
      </w:pPr>
      <w:r w:rsidRPr="00B14C85">
        <w:rPr>
          <w:rFonts w:cs="Arial"/>
          <w:szCs w:val="22"/>
        </w:rPr>
        <w:t>Additionally, the strong reliance that this sector has on the oil market, poses an additional threat to future accessibility to essential activities and commodities, taking into account the finite nature of this non-renewable resource and its high price volatility. There is a need to devise integrated models for the analysis of freight transportation systems</w:t>
      </w:r>
      <w:r w:rsidR="00F55999">
        <w:rPr>
          <w:rFonts w:cs="Arial"/>
          <w:szCs w:val="22"/>
        </w:rPr>
        <w:t xml:space="preserve"> </w:t>
      </w:r>
      <w:r w:rsidRPr="00B14C85">
        <w:rPr>
          <w:rFonts w:cs="Arial"/>
          <w:szCs w:val="22"/>
        </w:rPr>
        <w:t>so that the</w:t>
      </w:r>
      <w:r w:rsidR="00D059C1">
        <w:rPr>
          <w:rFonts w:cs="Arial"/>
          <w:szCs w:val="22"/>
        </w:rPr>
        <w:t>ir configuration can become</w:t>
      </w:r>
      <w:r w:rsidRPr="00B14C85">
        <w:rPr>
          <w:rFonts w:cs="Arial"/>
          <w:szCs w:val="22"/>
        </w:rPr>
        <w:t xml:space="preserve"> more competent in overcoming environmental constraints and potential limitations on the use of energy resources. There is also insufficient comprehension of the repercussions that potential constraints on fuel supply will have on freight transportation systems and consequently on the accessibility to essential commodities. These issues have also been endorsed in a report from the Intergovernmental Panel on Climate Change (IPCC) which points out that there is a poor understanding of the economic implications related to the decarbonisation of freight transportation systems</w:t>
      </w:r>
      <w:r w:rsidR="00EB32D9">
        <w:rPr>
          <w:rFonts w:cs="Arial"/>
          <w:szCs w:val="22"/>
        </w:rPr>
        <w:t xml:space="preserve"> </w:t>
      </w:r>
      <w:r w:rsidR="00EB32D9">
        <w:rPr>
          <w:rFonts w:cs="Arial"/>
          <w:szCs w:val="22"/>
        </w:rPr>
        <w:fldChar w:fldCharType="begin"/>
      </w:r>
      <w:r w:rsidR="00A114F8">
        <w:rPr>
          <w:rFonts w:cs="Arial"/>
          <w:szCs w:val="22"/>
        </w:rPr>
        <w:instrText xml:space="preserve"> ADDIN EN.CITE &lt;EndNote&gt;&lt;Cite&gt;&lt;Author&gt;Sims&lt;/Author&gt;&lt;Year&gt;2014&lt;/Year&gt;&lt;RecNum&gt;22&lt;/RecNum&gt;&lt;DisplayText&gt;(Sims et al., 2014)&lt;/DisplayText&gt;&lt;record&gt;&lt;rec-number&gt;22&lt;/rec-number&gt;&lt;foreign-keys&gt;&lt;key app="EN" db-id="zesxtzdp6atewte95fc5dr2asp25rs2rstwt" timestamp="1512945675"&gt;22&lt;/key&gt;&lt;/foreign-keys&gt;&lt;ref-type name="Book Section"&gt;5&lt;/ref-type&gt;&lt;contributors&gt;&lt;authors&gt;&lt;author&gt;Sims, Ralph&lt;/author&gt;&lt;author&gt;Schaeffer, Roberto&lt;/author&gt;&lt;author&gt;Creutzig, Felix&lt;/author&gt;&lt;author&gt;Cruz-Nuñez, Xochitl&lt;/author&gt;&lt;author&gt;D Agosto, Marcio&lt;/author&gt;&lt;author&gt;Dimitriu, Delia&lt;/author&gt;&lt;author&gt;Figueroa, Maria&lt;/author&gt;&lt;author&gt;Fulton, Lew&lt;/author&gt;&lt;author&gt;Kobayashi, Shigeki&lt;/author&gt;&lt;author&gt;Lah, Oliver&lt;/author&gt;&lt;author&gt;McKinnon, Alan&lt;/author&gt;&lt;author&gt;Newman, Peter&lt;/author&gt;&lt;author&gt;Ouyang, Minggao&lt;/author&gt;&lt;author&gt;Jay, James&lt;/author&gt;&lt;author&gt;Sperling, Daniel&lt;/author&gt;&lt;author&gt;Tiwari, Geetam&lt;/author&gt;&lt;/authors&gt;&lt;secondary-authors&gt;&lt;author&gt;Deakin, Elizabeth&lt;/author&gt;&lt;author&gt;Kahn, Suzana&lt;/author&gt;&lt;/secondary-authors&gt;&lt;/contributors&gt;&lt;titles&gt;&lt;title&gt;Transport&lt;/title&gt;&lt;secondary-title&gt;Climate Change&amp;#xD;2014: Mitigation of Climate Change. Contribution of Working Group III to the Fifth Assessment Report of the Intergovernmental&amp;#xD;Panel on Climate Change&lt;/secondary-title&gt;&lt;tertiary-title&gt;Assessment report&lt;/tertiary-title&gt;&lt;/titles&gt;&lt;dates&gt;&lt;year&gt;2014&lt;/year&gt;&lt;/dates&gt;&lt;pub-location&gt;Cambridge&lt;/pub-location&gt;&lt;publisher&gt;Cambridge University Press&lt;/publisher&gt;&lt;isbn&gt;9781107058217&lt;/isbn&gt;&lt;urls&gt;&lt;/urls&gt;&lt;/record&gt;&lt;/Cite&gt;&lt;/EndNote&gt;</w:instrText>
      </w:r>
      <w:r w:rsidR="00EB32D9">
        <w:rPr>
          <w:rFonts w:cs="Arial"/>
          <w:szCs w:val="22"/>
        </w:rPr>
        <w:fldChar w:fldCharType="separate"/>
      </w:r>
      <w:r w:rsidR="00EB32D9">
        <w:rPr>
          <w:rFonts w:cs="Arial"/>
          <w:noProof/>
          <w:szCs w:val="22"/>
        </w:rPr>
        <w:t>(Sims et al., 2014)</w:t>
      </w:r>
      <w:r w:rsidR="00EB32D9">
        <w:rPr>
          <w:rFonts w:cs="Arial"/>
          <w:szCs w:val="22"/>
        </w:rPr>
        <w:fldChar w:fldCharType="end"/>
      </w:r>
      <w:r w:rsidRPr="00B14C85">
        <w:rPr>
          <w:rFonts w:cs="Arial"/>
          <w:szCs w:val="22"/>
        </w:rPr>
        <w:t>. Furthermore, the report states that contemporary models lack the ability to interpret the impact of behavioural and infrastructural changes</w:t>
      </w:r>
      <w:r w:rsidR="00EB32D9">
        <w:rPr>
          <w:rFonts w:cs="Arial"/>
          <w:szCs w:val="22"/>
        </w:rPr>
        <w:t xml:space="preserve"> </w:t>
      </w:r>
      <w:r w:rsidR="00EB32D9">
        <w:rPr>
          <w:rFonts w:cs="Arial"/>
          <w:szCs w:val="22"/>
        </w:rPr>
        <w:fldChar w:fldCharType="begin"/>
      </w:r>
      <w:r w:rsidR="00A114F8">
        <w:rPr>
          <w:rFonts w:cs="Arial"/>
          <w:szCs w:val="22"/>
        </w:rPr>
        <w:instrText xml:space="preserve"> ADDIN EN.CITE &lt;EndNote&gt;&lt;Cite&gt;&lt;Author&gt;Sims&lt;/Author&gt;&lt;Year&gt;2014&lt;/Year&gt;&lt;RecNum&gt;22&lt;/RecNum&gt;&lt;DisplayText&gt;(Sims et al., 2014)&lt;/DisplayText&gt;&lt;record&gt;&lt;rec-number&gt;22&lt;/rec-number&gt;&lt;foreign-keys&gt;&lt;key app="EN" db-id="zesxtzdp6atewte95fc5dr2asp25rs2rstwt" timestamp="1512945675"&gt;22&lt;/key&gt;&lt;/foreign-keys&gt;&lt;ref-type name="Book Section"&gt;5&lt;/ref-type&gt;&lt;contributors&gt;&lt;authors&gt;&lt;author&gt;Sims, Ralph&lt;/author&gt;&lt;author&gt;Schaeffer, Roberto&lt;/author&gt;&lt;author&gt;Creutzig, Felix&lt;/author&gt;&lt;author&gt;Cruz-Nuñez, Xochitl&lt;/author&gt;&lt;author&gt;D Agosto, Marcio&lt;/author&gt;&lt;author&gt;Dimitriu, Delia&lt;/author&gt;&lt;author&gt;Figueroa, Maria&lt;/author&gt;&lt;author&gt;Fulton, Lew&lt;/author&gt;&lt;author&gt;Kobayashi, Shigeki&lt;/author&gt;&lt;author&gt;Lah, Oliver&lt;/author&gt;&lt;author&gt;McKinnon, Alan&lt;/author&gt;&lt;author&gt;Newman, Peter&lt;/author&gt;&lt;author&gt;Ouyang, Minggao&lt;/author&gt;&lt;author&gt;Jay, James&lt;/author&gt;&lt;author&gt;Sperling, Daniel&lt;/author&gt;&lt;author&gt;Tiwari, Geetam&lt;/author&gt;&lt;/authors&gt;&lt;secondary-authors&gt;&lt;author&gt;Deakin, Elizabeth&lt;/author&gt;&lt;author&gt;Kahn, Suzana&lt;/author&gt;&lt;/secondary-authors&gt;&lt;/contributors&gt;&lt;titles&gt;&lt;title&gt;Transport&lt;/title&gt;&lt;secondary-title&gt;Climate Change&amp;#xD;2014: Mitigation of Climate Change. Contribution of Working Group III to the Fifth Assessment Report of the Intergovernmental&amp;#xD;Panel on Climate Change&lt;/secondary-title&gt;&lt;tertiary-title&gt;Assessment report&lt;/tertiary-title&gt;&lt;/titles&gt;&lt;dates&gt;&lt;year&gt;2014&lt;/year&gt;&lt;/dates&gt;&lt;pub-location&gt;Cambridge&lt;/pub-location&gt;&lt;publisher&gt;Cambridge University Press&lt;/publisher&gt;&lt;isbn&gt;9781107058217&lt;/isbn&gt;&lt;urls&gt;&lt;/urls&gt;&lt;/record&gt;&lt;/Cite&gt;&lt;/EndNote&gt;</w:instrText>
      </w:r>
      <w:r w:rsidR="00EB32D9">
        <w:rPr>
          <w:rFonts w:cs="Arial"/>
          <w:szCs w:val="22"/>
        </w:rPr>
        <w:fldChar w:fldCharType="separate"/>
      </w:r>
      <w:r w:rsidR="00EB32D9">
        <w:rPr>
          <w:rFonts w:cs="Arial"/>
          <w:noProof/>
          <w:szCs w:val="22"/>
        </w:rPr>
        <w:t>(Sims et al., 2014)</w:t>
      </w:r>
      <w:r w:rsidR="00EB32D9">
        <w:rPr>
          <w:rFonts w:cs="Arial"/>
          <w:szCs w:val="22"/>
        </w:rPr>
        <w:fldChar w:fldCharType="end"/>
      </w:r>
      <w:r w:rsidRPr="00B14C85">
        <w:rPr>
          <w:rFonts w:cs="Arial"/>
          <w:szCs w:val="22"/>
        </w:rPr>
        <w:t>.</w:t>
      </w:r>
      <w:r w:rsidR="00181CC1">
        <w:rPr>
          <w:rFonts w:cs="Arial"/>
          <w:szCs w:val="22"/>
        </w:rPr>
        <w:t xml:space="preserve"> </w:t>
      </w:r>
    </w:p>
    <w:p w14:paraId="65A563E4" w14:textId="77777777" w:rsidR="00982308" w:rsidRDefault="00982308" w:rsidP="00B14C85">
      <w:pPr>
        <w:jc w:val="both"/>
        <w:outlineLvl w:val="0"/>
        <w:rPr>
          <w:rFonts w:cs="Arial"/>
          <w:szCs w:val="22"/>
        </w:rPr>
      </w:pPr>
    </w:p>
    <w:p w14:paraId="23001316" w14:textId="77777777" w:rsidR="00936AFC" w:rsidRDefault="00936AFC" w:rsidP="00B14C85">
      <w:pPr>
        <w:jc w:val="both"/>
        <w:outlineLvl w:val="0"/>
        <w:rPr>
          <w:rFonts w:cs="Arial"/>
          <w:szCs w:val="22"/>
        </w:rPr>
      </w:pPr>
    </w:p>
    <w:p w14:paraId="14F60C4E" w14:textId="09E2FD2D" w:rsidR="00F11C9C" w:rsidRDefault="00F11C9C" w:rsidP="00AB6A60">
      <w:pPr>
        <w:jc w:val="both"/>
        <w:outlineLvl w:val="0"/>
      </w:pPr>
      <w:r w:rsidRPr="00F11C9C">
        <w:rPr>
          <w:rFonts w:cs="Arial"/>
          <w:szCs w:val="22"/>
        </w:rPr>
        <w:lastRenderedPageBreak/>
        <w:t>Historically, the field of transportation system analysis has focused on the interactions between the socioeconomic and transportation systems within a region. The theory has been based on the idea that flows or volumes moving through the system are subject to changes in the transportation system, like the introduction of a new highway port or railway, so that the level of service follows these transportation options. Furthermore shifts in demand can either be induced by exogenous factors such as population growth or by the transportation service level itself</w:t>
      </w:r>
      <w:r w:rsidR="00982308">
        <w:rPr>
          <w:rFonts w:cs="Arial"/>
          <w:szCs w:val="22"/>
        </w:rPr>
        <w:t>.</w:t>
      </w:r>
      <w:r w:rsidR="00982308" w:rsidRPr="00F11C9C">
        <w:rPr>
          <w:rFonts w:cs="Arial"/>
          <w:szCs w:val="22"/>
        </w:rPr>
        <w:t xml:space="preserve"> </w:t>
      </w:r>
      <w:r w:rsidR="00982308">
        <w:rPr>
          <w:rFonts w:cs="Arial"/>
          <w:szCs w:val="22"/>
        </w:rPr>
        <w:t>F</w:t>
      </w:r>
      <w:r w:rsidRPr="00F11C9C">
        <w:rPr>
          <w:rFonts w:cs="Arial"/>
          <w:szCs w:val="22"/>
        </w:rPr>
        <w:t>or instance the expansion of suburban residential areas may succeed the development of a new highway. These changes or options have been incorporated into the models as decision variables. The core of the analysis has relied on the prediction of flow patterns</w:t>
      </w:r>
      <w:r w:rsidR="00D85F7E">
        <w:rPr>
          <w:rFonts w:cs="Arial"/>
          <w:szCs w:val="22"/>
        </w:rPr>
        <w:t>,</w:t>
      </w:r>
      <w:r w:rsidR="00D85F7E" w:rsidRPr="00F11C9C">
        <w:rPr>
          <w:rFonts w:cs="Arial"/>
          <w:szCs w:val="22"/>
        </w:rPr>
        <w:t xml:space="preserve"> </w:t>
      </w:r>
      <w:r w:rsidRPr="00F11C9C">
        <w:rPr>
          <w:rFonts w:cs="Arial"/>
          <w:szCs w:val="22"/>
        </w:rPr>
        <w:t xml:space="preserve">that is, anticipating the impacts associated with service and demand functions that are defined through decision variables </w:t>
      </w:r>
      <w:r w:rsidR="00EB32D9">
        <w:rPr>
          <w:rFonts w:cs="Arial"/>
          <w:szCs w:val="22"/>
        </w:rPr>
        <w:fldChar w:fldCharType="begin"/>
      </w:r>
      <w:r w:rsidR="00EB32D9">
        <w:rPr>
          <w:rFonts w:cs="Arial"/>
          <w:szCs w:val="22"/>
        </w:rPr>
        <w:instrText xml:space="preserve"> ADDIN EN.CITE &lt;EndNote&gt;&lt;Cite&gt;&lt;Author&gt;Manheim&lt;/Author&gt;&lt;Year&gt;1979&lt;/Year&gt;&lt;RecNum&gt;18&lt;/RecNum&gt;&lt;DisplayText&gt;(Manheim, 1979)&lt;/DisplayText&gt;&lt;record&gt;&lt;rec-number&gt;18&lt;/rec-number&gt;&lt;foreign-keys&gt;&lt;key app="EN" db-id="zesxtzdp6atewte95fc5dr2asp25rs2rstwt" timestamp="1512945675"&gt;18&lt;/key&gt;&lt;/foreign-keys&gt;&lt;ref-type name="Book"&gt;6&lt;/ref-type&gt;&lt;contributors&gt;&lt;authors&gt;&lt;author&gt;Manheim, M. L.&lt;/author&gt;&lt;/authors&gt;&lt;/contributors&gt;&lt;titles&gt;&lt;title&gt;Fundamentals of Transportation Systems Analysis: Basic Concepts&lt;/title&gt;&lt;secondary-title&gt;MIT Press Classic&lt;/secondary-title&gt;&lt;/titles&gt;&lt;dates&gt;&lt;year&gt;1979&lt;/year&gt;&lt;/dates&gt;&lt;publisher&gt;MIT Press&lt;/publisher&gt;&lt;isbn&gt;9780262632898&lt;/isbn&gt;&lt;urls&gt;&lt;related-urls&gt;&lt;url&gt;https://books.google.co.nz/books?id=F36zLQAACAAJ&lt;/url&gt;&lt;/related-urls&gt;&lt;/urls&gt;&lt;/record&gt;&lt;/Cite&gt;&lt;/EndNote&gt;</w:instrText>
      </w:r>
      <w:r w:rsidR="00EB32D9">
        <w:rPr>
          <w:rFonts w:cs="Arial"/>
          <w:szCs w:val="22"/>
        </w:rPr>
        <w:fldChar w:fldCharType="separate"/>
      </w:r>
      <w:r w:rsidR="00EB32D9">
        <w:rPr>
          <w:rFonts w:cs="Arial"/>
          <w:noProof/>
          <w:szCs w:val="22"/>
        </w:rPr>
        <w:t>(Manheim, 1979)</w:t>
      </w:r>
      <w:r w:rsidR="00EB32D9">
        <w:rPr>
          <w:rFonts w:cs="Arial"/>
          <w:szCs w:val="22"/>
        </w:rPr>
        <w:fldChar w:fldCharType="end"/>
      </w:r>
      <w:r w:rsidRPr="00F11C9C">
        <w:rPr>
          <w:rFonts w:cs="Arial"/>
          <w:szCs w:val="22"/>
        </w:rPr>
        <w:t xml:space="preserve">. Much of the research efforts have been put onto passenger transportation; the main reason for this is that the mechanisms underlying freight transportation demand are considerably more complex than those for passenger demand </w:t>
      </w:r>
      <w:r w:rsidR="00EB32D9">
        <w:rPr>
          <w:rFonts w:cs="Arial"/>
          <w:szCs w:val="22"/>
        </w:rPr>
        <w:fldChar w:fldCharType="begin"/>
      </w:r>
      <w:r w:rsidR="00EB32D9">
        <w:rPr>
          <w:rFonts w:cs="Arial"/>
          <w:szCs w:val="22"/>
        </w:rPr>
        <w:instrText xml:space="preserve"> ADDIN EN.CITE &lt;EndNote&gt;&lt;Cite&gt;&lt;Author&gt;Cascetta&lt;/Author&gt;&lt;Year&gt;2009&lt;/Year&gt;&lt;RecNum&gt;5&lt;/RecNum&gt;&lt;DisplayText&gt;(Cascetta, 2009)&lt;/DisplayText&gt;&lt;record&gt;&lt;rec-number&gt;5&lt;/rec-number&gt;&lt;foreign-keys&gt;&lt;key app="EN" db-id="zesxtzdp6atewte95fc5dr2asp25rs2rstwt" timestamp="1512945675"&gt;5&lt;/key&gt;&lt;/foreign-keys&gt;&lt;ref-type name="Book"&gt;6&lt;/ref-type&gt;&lt;contributors&gt;&lt;authors&gt;&lt;author&gt;Cascetta, Ennio&lt;/author&gt;&lt;/authors&gt;&lt;/contributors&gt;&lt;titles&gt;&lt;title&gt;Transportation Systems Analysis Models and Applications&lt;/title&gt;&lt;/titles&gt;&lt;pages&gt;29-89&lt;/pages&gt;&lt;volume&gt;29&lt;/volume&gt;&lt;dates&gt;&lt;year&gt;2009&lt;/year&gt;&lt;/dates&gt;&lt;isbn&gt;978-0-387-75856-5&lt;/isbn&gt;&lt;urls&gt;&lt;related-urls&gt;&lt;url&gt;http://books.google.co.uk/books/about/Transportation_Systems_Analysis.html?id=AbU69bKmVScC&amp;amp;pgis=1%5Cnhttp://link.springer.com/10.1007/978-0-387-75857-2&lt;/url&gt;&lt;/related-urls&gt;&lt;/urls&gt;&lt;electronic-resource-num&gt;10.1007/978-0-387-75857-2&lt;/electronic-resource-num&gt;&lt;/record&gt;&lt;/Cite&gt;&lt;/EndNote&gt;</w:instrText>
      </w:r>
      <w:r w:rsidR="00EB32D9">
        <w:rPr>
          <w:rFonts w:cs="Arial"/>
          <w:szCs w:val="22"/>
        </w:rPr>
        <w:fldChar w:fldCharType="separate"/>
      </w:r>
      <w:r w:rsidR="00EB32D9">
        <w:rPr>
          <w:rFonts w:cs="Arial"/>
          <w:noProof/>
          <w:szCs w:val="22"/>
        </w:rPr>
        <w:t>(Cascetta, 2009)</w:t>
      </w:r>
      <w:r w:rsidR="00EB32D9">
        <w:rPr>
          <w:rFonts w:cs="Arial"/>
          <w:szCs w:val="22"/>
        </w:rPr>
        <w:fldChar w:fldCharType="end"/>
      </w:r>
      <w:r w:rsidRPr="00F11C9C">
        <w:rPr>
          <w:rFonts w:cs="Arial"/>
          <w:szCs w:val="22"/>
        </w:rPr>
        <w:t>. To a certain extent both fields, passenger and transportation, share the same foundations; however commodities in freight transport are immensely heterogeneous and its movement involves more actors than the movement of passengers.</w:t>
      </w:r>
      <w:r w:rsidRPr="00F11C9C">
        <w:t xml:space="preserve"> </w:t>
      </w:r>
    </w:p>
    <w:p w14:paraId="3E42C415" w14:textId="77777777" w:rsidR="00D85F7E" w:rsidRDefault="00D85F7E" w:rsidP="00AB6A60">
      <w:pPr>
        <w:jc w:val="both"/>
        <w:outlineLvl w:val="0"/>
      </w:pPr>
    </w:p>
    <w:p w14:paraId="2AACCF1E" w14:textId="77777777" w:rsidR="00B97A54" w:rsidRDefault="00F11C9C" w:rsidP="00AB6A60">
      <w:pPr>
        <w:jc w:val="both"/>
        <w:outlineLvl w:val="0"/>
        <w:rPr>
          <w:rFonts w:cs="Arial"/>
          <w:szCs w:val="22"/>
        </w:rPr>
      </w:pPr>
      <w:r w:rsidRPr="001E29DB">
        <w:rPr>
          <w:rFonts w:cs="Arial"/>
          <w:szCs w:val="22"/>
        </w:rPr>
        <w:t xml:space="preserve">The traditional approach to deal with transportation systems is the four step aggregate demand model </w:t>
      </w:r>
      <w:r w:rsidR="00EB32D9" w:rsidRPr="001E29DB">
        <w:rPr>
          <w:rFonts w:cs="Arial"/>
          <w:szCs w:val="22"/>
        </w:rPr>
        <w:fldChar w:fldCharType="begin"/>
      </w:r>
      <w:r w:rsidR="00EB32D9" w:rsidRPr="001E29DB">
        <w:rPr>
          <w:rFonts w:cs="Arial"/>
          <w:szCs w:val="22"/>
        </w:rPr>
        <w:instrText xml:space="preserve"> ADDIN EN.CITE &lt;EndNote&gt;&lt;Cite&gt;&lt;Author&gt;Ortuzar&lt;/Author&gt;&lt;Year&gt;2011&lt;/Year&gt;&lt;RecNum&gt;20&lt;/RecNum&gt;&lt;DisplayText&gt;(Ortuzar and Willumsen, 2011)&lt;/DisplayText&gt;&lt;record&gt;&lt;rec-number&gt;20&lt;/rec-number&gt;&lt;foreign-keys&gt;&lt;key app="EN" db-id="zesxtzdp6atewte95fc5dr2asp25rs2rstwt" timestamp="1512945675"&gt;20&lt;/key&gt;&lt;/foreign-keys&gt;&lt;ref-type name="Book"&gt;6&lt;/ref-type&gt;&lt;contributors&gt;&lt;authors&gt;&lt;author&gt;Ortuzar, Juan de Dios&lt;/author&gt;&lt;author&gt;Willumsen, Luis G.&lt;/author&gt;&lt;/authors&gt;&lt;/contributors&gt;&lt;titles&gt;&lt;title&gt;Modelling Transport&lt;/title&gt;&lt;/titles&gt;&lt;pages&gt;607-607&lt;/pages&gt;&lt;dates&gt;&lt;year&gt;2011&lt;/year&gt;&lt;/dates&gt;&lt;isbn&gt;9780470760390&lt;/isbn&gt;&lt;urls&gt;&lt;/urls&gt;&lt;electronic-resource-num&gt;10.1002/9781119993308&lt;/electronic-resource-num&gt;&lt;/record&gt;&lt;/Cite&gt;&lt;/EndNote&gt;</w:instrText>
      </w:r>
      <w:r w:rsidR="00EB32D9" w:rsidRPr="001E29DB">
        <w:rPr>
          <w:rFonts w:cs="Arial"/>
          <w:szCs w:val="22"/>
        </w:rPr>
        <w:fldChar w:fldCharType="separate"/>
      </w:r>
      <w:r w:rsidR="00EB32D9" w:rsidRPr="001E29DB">
        <w:rPr>
          <w:rFonts w:cs="Arial"/>
          <w:noProof/>
          <w:szCs w:val="22"/>
        </w:rPr>
        <w:t>(Ortuzar and Willumsen, 2011)</w:t>
      </w:r>
      <w:r w:rsidR="00EB32D9" w:rsidRPr="001E29DB">
        <w:rPr>
          <w:rFonts w:cs="Arial"/>
          <w:szCs w:val="22"/>
        </w:rPr>
        <w:fldChar w:fldCharType="end"/>
      </w:r>
      <w:r w:rsidRPr="001E29DB">
        <w:rPr>
          <w:rFonts w:cs="Arial"/>
          <w:szCs w:val="22"/>
        </w:rPr>
        <w:t xml:space="preserve"> and </w:t>
      </w:r>
      <w:r w:rsidR="00D9773F" w:rsidRPr="001E29DB">
        <w:rPr>
          <w:rFonts w:cs="Arial"/>
          <w:szCs w:val="22"/>
        </w:rPr>
        <w:t>more</w:t>
      </w:r>
      <w:r w:rsidRPr="001E29DB">
        <w:rPr>
          <w:rFonts w:cs="Arial"/>
          <w:szCs w:val="22"/>
        </w:rPr>
        <w:t xml:space="preserve"> sophisticated freight demand models incorporate macroeconomic analysis to the traditional methodology</w:t>
      </w:r>
      <w:r w:rsidR="001E29DB">
        <w:rPr>
          <w:rFonts w:cs="Arial"/>
          <w:szCs w:val="22"/>
        </w:rPr>
        <w:t>, that is, origin destination freight flow matrices are derived through mathematical formulations that define patterns of economic exchanges between regions and economic sectors. State of the art models within this category include</w:t>
      </w:r>
      <w:r w:rsidR="00263929">
        <w:rPr>
          <w:rFonts w:cs="Arial"/>
          <w:szCs w:val="22"/>
        </w:rPr>
        <w:t xml:space="preserve"> Multiregional</w:t>
      </w:r>
      <w:r w:rsidR="001E29DB">
        <w:rPr>
          <w:rFonts w:cs="Arial"/>
          <w:szCs w:val="22"/>
        </w:rPr>
        <w:t xml:space="preserve"> </w:t>
      </w:r>
      <w:r w:rsidR="00263929">
        <w:rPr>
          <w:rFonts w:cs="Arial"/>
          <w:szCs w:val="22"/>
        </w:rPr>
        <w:t xml:space="preserve">Input Output (MRIO) and </w:t>
      </w:r>
      <w:r w:rsidR="001E29DB">
        <w:rPr>
          <w:rFonts w:cs="Arial"/>
          <w:szCs w:val="22"/>
        </w:rPr>
        <w:t>Computable General Equilibrium (CGE) Models.</w:t>
      </w:r>
      <w:r w:rsidR="00263929">
        <w:rPr>
          <w:rFonts w:cs="Arial"/>
          <w:szCs w:val="22"/>
        </w:rPr>
        <w:t xml:space="preserve"> </w:t>
      </w:r>
    </w:p>
    <w:p w14:paraId="088C5FEB" w14:textId="77777777" w:rsidR="00B97A54" w:rsidRDefault="00263929" w:rsidP="00AB6A60">
      <w:pPr>
        <w:jc w:val="both"/>
        <w:outlineLvl w:val="0"/>
        <w:rPr>
          <w:rFonts w:cs="Arial"/>
          <w:szCs w:val="22"/>
        </w:rPr>
      </w:pPr>
      <w:r>
        <w:rPr>
          <w:rFonts w:cs="Arial"/>
          <w:szCs w:val="22"/>
        </w:rPr>
        <w:t xml:space="preserve">A new generation of MRIO </w:t>
      </w:r>
      <w:r w:rsidR="001D40E8">
        <w:rPr>
          <w:rFonts w:cs="Arial"/>
          <w:szCs w:val="22"/>
        </w:rPr>
        <w:t xml:space="preserve">models </w:t>
      </w:r>
      <w:r>
        <w:rPr>
          <w:rFonts w:cs="Arial"/>
          <w:szCs w:val="22"/>
        </w:rPr>
        <w:t>incorporate functional forms from random utility theory,</w:t>
      </w:r>
      <w:r w:rsidR="003A5BCF">
        <w:rPr>
          <w:rFonts w:cs="Arial"/>
          <w:szCs w:val="22"/>
        </w:rPr>
        <w:t xml:space="preserve"> allowing trade flows to respond to changes in transportation costs.</w:t>
      </w:r>
      <w:r w:rsidR="001D40E8">
        <w:rPr>
          <w:rFonts w:cs="Arial"/>
          <w:szCs w:val="22"/>
        </w:rPr>
        <w:t xml:space="preserve"> </w:t>
      </w:r>
      <w:r w:rsidR="001D40E8">
        <w:rPr>
          <w:rFonts w:cs="Arial"/>
          <w:szCs w:val="22"/>
        </w:rPr>
        <w:fldChar w:fldCharType="begin"/>
      </w:r>
      <w:r w:rsidR="001D40E8">
        <w:rPr>
          <w:rFonts w:cs="Arial"/>
          <w:szCs w:val="22"/>
        </w:rPr>
        <w:instrText xml:space="preserve"> ADDIN EN.CITE &lt;EndNote&gt;&lt;Cite AuthorYear="1"&gt;&lt;Author&gt;Kockelman&lt;/Author&gt;&lt;Year&gt;2005&lt;/Year&gt;&lt;RecNum&gt;11&lt;/RecNum&gt;&lt;DisplayText&gt;Kockelman et al. (2005)&lt;/DisplayText&gt;&lt;record&gt;&lt;rec-number&gt;11&lt;/rec-number&gt;&lt;foreign-keys&gt;&lt;key app="EN" db-id="zesxtzdp6atewte95fc5dr2asp25rs2rstwt" timestamp="1512945675"&gt;11&lt;/key&gt;&lt;/foreign-keys&gt;&lt;ref-type name="Journal Article"&gt;17&lt;/ref-type&gt;&lt;contributors&gt;&lt;authors&gt;&lt;author&gt;Kockelman, Kara M.&lt;/author&gt;&lt;author&gt;Jin, Ling&lt;/author&gt;&lt;author&gt;Zhao, Yong&lt;/author&gt;&lt;author&gt;Ruiz-Juri, Natalia&lt;/author&gt;&lt;/authors&gt;&lt;/contributors&gt;&lt;titles&gt;&lt;title&gt;Tracking land use , transport , and industrial production using random-utility-based multiregional input – output models : Applications for Texas trade&lt;/title&gt;&lt;secondary-title&gt;Journal of Transport Geography&lt;/secondary-title&gt;&lt;/titles&gt;&lt;periodical&gt;&lt;full-title&gt;Journal of Transport Geography&lt;/full-title&gt;&lt;/periodical&gt;&lt;pages&gt;275-286&lt;/pages&gt;&lt;volume&gt;13&lt;/volume&gt;&lt;keywords&gt;&lt;keyword&gt;input origin&lt;/keyword&gt;&lt;keyword&gt;nested logit model of&lt;/keyword&gt;&lt;keyword&gt;output model&lt;/keyword&gt;&lt;keyword&gt;random-utility-based multiregional input&lt;/keyword&gt;&lt;keyword&gt;technical coefficients&lt;/keyword&gt;&lt;keyword&gt;trade flow patterns&lt;/keyword&gt;&lt;/keywords&gt;&lt;dates&gt;&lt;year&gt;2005&lt;/year&gt;&lt;/dates&gt;&lt;urls&gt;&lt;/urls&gt;&lt;electronic-resource-num&gt;10.1016/j.jtrangeo.2004.04.009&lt;/electronic-resource-num&gt;&lt;/record&gt;&lt;/Cite&gt;&lt;/EndNote&gt;</w:instrText>
      </w:r>
      <w:r w:rsidR="001D40E8">
        <w:rPr>
          <w:rFonts w:cs="Arial"/>
          <w:szCs w:val="22"/>
        </w:rPr>
        <w:fldChar w:fldCharType="separate"/>
      </w:r>
      <w:r w:rsidR="001D40E8">
        <w:rPr>
          <w:rFonts w:cs="Arial"/>
          <w:noProof/>
          <w:szCs w:val="22"/>
        </w:rPr>
        <w:t>Kockelman et al. (2005)</w:t>
      </w:r>
      <w:r w:rsidR="001D40E8">
        <w:rPr>
          <w:rFonts w:cs="Arial"/>
          <w:szCs w:val="22"/>
        </w:rPr>
        <w:fldChar w:fldCharType="end"/>
      </w:r>
      <w:r w:rsidR="003A5BCF">
        <w:rPr>
          <w:rFonts w:cs="Arial"/>
          <w:szCs w:val="22"/>
        </w:rPr>
        <w:t xml:space="preserve"> </w:t>
      </w:r>
      <w:r w:rsidR="001D40E8">
        <w:rPr>
          <w:rFonts w:cs="Arial"/>
          <w:szCs w:val="22"/>
        </w:rPr>
        <w:t xml:space="preserve">describe the calibration and application of a </w:t>
      </w:r>
      <w:r w:rsidR="00BE0290">
        <w:rPr>
          <w:rFonts w:cs="Arial"/>
          <w:szCs w:val="22"/>
        </w:rPr>
        <w:t xml:space="preserve">Random Utility Based </w:t>
      </w:r>
      <w:r w:rsidR="001D40E8">
        <w:rPr>
          <w:rFonts w:cs="Arial"/>
          <w:szCs w:val="22"/>
        </w:rPr>
        <w:t>MRIO model for Texas; the model was further applied to study the effects of export demand changes on industry distributions and on regional trade flows.</w:t>
      </w:r>
      <w:r w:rsidR="00BE0290">
        <w:rPr>
          <w:rFonts w:cs="Arial"/>
          <w:szCs w:val="22"/>
        </w:rPr>
        <w:t xml:space="preserve"> Even though the variable trade coefficients feature accounts for the impact of transportation costs, MRIO models still lack the capacity to respond to changes in prices and are purely demand driven. </w:t>
      </w:r>
    </w:p>
    <w:p w14:paraId="32400D42" w14:textId="600CAEE7" w:rsidR="001E29DB" w:rsidRDefault="00C065C6" w:rsidP="00AB6A60">
      <w:pPr>
        <w:jc w:val="both"/>
        <w:outlineLvl w:val="0"/>
        <w:rPr>
          <w:rFonts w:cs="Arial"/>
          <w:szCs w:val="22"/>
        </w:rPr>
      </w:pPr>
      <w:r>
        <w:rPr>
          <w:rFonts w:cs="Arial"/>
          <w:szCs w:val="22"/>
        </w:rPr>
        <w:t>CGE models stand as a good alternative for IO models since they preserve their modelling capacities and compensate for their drawbacks.</w:t>
      </w:r>
      <w:r w:rsidR="00B02358">
        <w:rPr>
          <w:rFonts w:cs="Arial"/>
          <w:szCs w:val="22"/>
        </w:rPr>
        <w:t xml:space="preserve"> The structure of CGE model is based on a set of equations that represent the behaviour of the agents involved (households, government, and businesses) and a set of technological and institutional constrains</w:t>
      </w:r>
      <w:r w:rsidR="008361D9">
        <w:rPr>
          <w:rFonts w:cs="Arial"/>
          <w:szCs w:val="22"/>
        </w:rPr>
        <w:t xml:space="preserve"> </w:t>
      </w:r>
      <w:r w:rsidR="008361D9">
        <w:rPr>
          <w:rFonts w:cs="Arial"/>
          <w:szCs w:val="22"/>
        </w:rPr>
        <w:fldChar w:fldCharType="begin"/>
      </w:r>
      <w:r w:rsidR="008361D9">
        <w:rPr>
          <w:rFonts w:cs="Arial"/>
          <w:szCs w:val="22"/>
        </w:rPr>
        <w:instrText xml:space="preserve"> ADDIN EN.CITE &lt;EndNote&gt;&lt;Cite&gt;&lt;Author&gt;Ivanova&lt;/Author&gt;&lt;Year&gt;2014&lt;/Year&gt;&lt;RecNum&gt;37&lt;/RecNum&gt;&lt;DisplayText&gt;(Ivanova, 2014)&lt;/DisplayText&gt;&lt;record&gt;&lt;rec-number&gt;37&lt;/rec-number&gt;&lt;foreign-keys&gt;&lt;key app="EN" db-id="zesxtzdp6atewte95fc5dr2asp25rs2rstwt" timestamp="1518038132"&gt;37&lt;/key&gt;&lt;key app="ENWeb" db-id=""&gt;0&lt;/key&gt;&lt;/foreign-keys&gt;&lt;ref-type name="Journal Article"&gt;17&lt;/ref-type&gt;&lt;contributors&gt;&lt;authors&gt;&lt;author&gt;Ivanova, Olga&lt;/author&gt;&lt;/authors&gt;&lt;/contributors&gt;&lt;titles&gt;&lt;title&gt;Modelling Inter-Regional Freight Demand with Input–Output, Gravity and SCGE Methodologies&lt;/title&gt;&lt;/titles&gt;&lt;pages&gt;13-42&lt;/pages&gt;&lt;dates&gt;&lt;year&gt;2014&lt;/year&gt;&lt;/dates&gt;&lt;urls&gt;&lt;/urls&gt;&lt;electronic-resource-num&gt;10.1016/b978-0-12-410400-6.00002-1&lt;/electronic-resource-num&gt;&lt;/record&gt;&lt;/Cite&gt;&lt;/EndNote&gt;</w:instrText>
      </w:r>
      <w:r w:rsidR="008361D9">
        <w:rPr>
          <w:rFonts w:cs="Arial"/>
          <w:szCs w:val="22"/>
        </w:rPr>
        <w:fldChar w:fldCharType="separate"/>
      </w:r>
      <w:r w:rsidR="008361D9">
        <w:rPr>
          <w:rFonts w:cs="Arial"/>
          <w:noProof/>
          <w:szCs w:val="22"/>
        </w:rPr>
        <w:t>(Ivanova, 2014)</w:t>
      </w:r>
      <w:r w:rsidR="008361D9">
        <w:rPr>
          <w:rFonts w:cs="Arial"/>
          <w:szCs w:val="22"/>
        </w:rPr>
        <w:fldChar w:fldCharType="end"/>
      </w:r>
      <w:r w:rsidR="008361D9">
        <w:rPr>
          <w:rFonts w:cs="Arial"/>
          <w:szCs w:val="22"/>
        </w:rPr>
        <w:t>.</w:t>
      </w:r>
      <w:r w:rsidR="006916BC">
        <w:rPr>
          <w:rFonts w:cs="Arial"/>
          <w:szCs w:val="22"/>
        </w:rPr>
        <w:t xml:space="preserve"> </w:t>
      </w:r>
      <w:r w:rsidR="0090268C">
        <w:rPr>
          <w:rFonts w:cs="Arial"/>
          <w:szCs w:val="22"/>
        </w:rPr>
        <w:t xml:space="preserve">In a CGE model, technical coefficients and final demand vectors are endogenously determined through the specification of trade functions with constant elasticities of substitution; hence overcoming the fixed technical coefficients assumption from MRIO models </w:t>
      </w:r>
      <w:r w:rsidR="0090268C">
        <w:rPr>
          <w:rFonts w:cs="Arial"/>
          <w:szCs w:val="22"/>
        </w:rPr>
        <w:fldChar w:fldCharType="begin"/>
      </w:r>
      <w:r w:rsidR="0090268C">
        <w:rPr>
          <w:rFonts w:cs="Arial"/>
          <w:szCs w:val="22"/>
        </w:rPr>
        <w:instrText xml:space="preserve"> ADDIN EN.CITE &lt;EndNote&gt;&lt;Cite&gt;&lt;Author&gt;Brocker&lt;/Author&gt;&lt;Year&gt;1998&lt;/Year&gt;&lt;RecNum&gt;39&lt;/RecNum&gt;&lt;DisplayText&gt;(Brocker, 1998)&lt;/DisplayText&gt;&lt;record&gt;&lt;rec-number&gt;39&lt;/rec-number&gt;&lt;foreign-keys&gt;&lt;key app="EN" db-id="zesxtzdp6atewte95fc5dr2asp25rs2rstwt" timestamp="1518040204"&gt;39&lt;/key&gt;&lt;/foreign-keys&gt;&lt;ref-type name="Journal Article"&gt;17&lt;/ref-type&gt;&lt;contributors&gt;&lt;authors&gt;&lt;author&gt;Brocker, J.&lt;/author&gt;&lt;/authors&gt;&lt;/contributors&gt;&lt;auth-address&gt;Tech Univ Dresden, Fac Traffic Sci, D-01062 Dresden, Germany&lt;/auth-address&gt;&lt;titles&gt;&lt;title&gt;Operational spatial computable general equilibrium modeling&lt;/title&gt;&lt;secondary-title&gt;Annals of Regional Science&lt;/secondary-title&gt;&lt;alt-title&gt;Ann Regional Sci&lt;/alt-title&gt;&lt;/titles&gt;&lt;periodical&gt;&lt;full-title&gt;Annals of Regional Science&lt;/full-title&gt;&lt;abbr-1&gt;Ann Regional Sci&lt;/abbr-1&gt;&lt;/periodical&gt;&lt;alt-periodical&gt;&lt;full-title&gt;Annals of Regional Science&lt;/full-title&gt;&lt;abbr-1&gt;Ann Regional Sci&lt;/abbr-1&gt;&lt;/alt-periodical&gt;&lt;pages&gt;367-387&lt;/pages&gt;&lt;volume&gt;32&lt;/volume&gt;&lt;number&gt;3&lt;/number&gt;&lt;dates&gt;&lt;year&gt;1998&lt;/year&gt;&lt;pub-dates&gt;&lt;date&gt;Aug&lt;/date&gt;&lt;/pub-dates&gt;&lt;/dates&gt;&lt;isbn&gt;0570-1864&lt;/isbn&gt;&lt;accession-num&gt;WOS:000075360100005&lt;/accession-num&gt;&lt;urls&gt;&lt;related-urls&gt;&lt;url&gt;&amp;lt;Go to ISI&amp;gt;://WOS:000075360100005&lt;/url&gt;&lt;/related-urls&gt;&lt;/urls&gt;&lt;electronic-resource-num&gt;DOI 10.1007/s001680050079&lt;/electronic-resource-num&gt;&lt;language&gt;English&lt;/language&gt;&lt;/record&gt;&lt;/Cite&gt;&lt;/EndNote&gt;</w:instrText>
      </w:r>
      <w:r w:rsidR="0090268C">
        <w:rPr>
          <w:rFonts w:cs="Arial"/>
          <w:szCs w:val="22"/>
        </w:rPr>
        <w:fldChar w:fldCharType="separate"/>
      </w:r>
      <w:r w:rsidR="0090268C">
        <w:rPr>
          <w:rFonts w:cs="Arial"/>
          <w:noProof/>
          <w:szCs w:val="22"/>
        </w:rPr>
        <w:t>(Brocker, 1998)</w:t>
      </w:r>
      <w:r w:rsidR="0090268C">
        <w:rPr>
          <w:rFonts w:cs="Arial"/>
          <w:szCs w:val="22"/>
        </w:rPr>
        <w:fldChar w:fldCharType="end"/>
      </w:r>
      <w:r w:rsidR="0090268C">
        <w:rPr>
          <w:rFonts w:cs="Arial"/>
          <w:szCs w:val="22"/>
        </w:rPr>
        <w:t xml:space="preserve">. </w:t>
      </w:r>
      <w:r w:rsidR="0090268C">
        <w:rPr>
          <w:rFonts w:cs="Arial"/>
          <w:szCs w:val="22"/>
        </w:rPr>
        <w:fldChar w:fldCharType="begin"/>
      </w:r>
      <w:r w:rsidR="0090268C">
        <w:rPr>
          <w:rFonts w:cs="Arial"/>
          <w:szCs w:val="22"/>
        </w:rPr>
        <w:instrText xml:space="preserve"> ADDIN EN.CITE &lt;EndNote&gt;&lt;Cite AuthorYear="1"&gt;&lt;Author&gt;Bröcker&lt;/Author&gt;&lt;Year&gt;2010&lt;/Year&gt;&lt;RecNum&gt;40&lt;/RecNum&gt;&lt;DisplayText&gt;Bröcker et al. (2010)&lt;/DisplayText&gt;&lt;record&gt;&lt;rec-number&gt;40&lt;/rec-number&gt;&lt;foreign-keys&gt;&lt;key app="EN" db-id="zesxtzdp6atewte95fc5dr2asp25rs2rstwt" timestamp="1518040337"&gt;40&lt;/key&gt;&lt;key app="ENWeb" db-id=""&gt;0&lt;/key&gt;&lt;/foreign-keys&gt;&lt;ref-type name="Journal Article"&gt;17&lt;/ref-type&gt;&lt;contributors&gt;&lt;authors&gt;&lt;author&gt;Bröcker, Johannes&lt;/author&gt;&lt;author&gt;Korzhenevych, Artem&lt;/author&gt;&lt;author&gt;Schürmann, Carsten&lt;/author&gt;&lt;/authors&gt;&lt;/contributors&gt;&lt;titles&gt;&lt;title&gt;Assessing spatial equity and efficiency impacts of transport infrastructure projects&lt;/title&gt;&lt;secondary-title&gt;Transportation Research Part B: Methodological&lt;/secondary-title&gt;&lt;/titles&gt;&lt;periodical&gt;&lt;full-title&gt;Transportation Research Part B: Methodological&lt;/full-title&gt;&lt;/periodical&gt;&lt;pages&gt;795-811&lt;/pages&gt;&lt;volume&gt;44&lt;/volume&gt;&lt;number&gt;7&lt;/number&gt;&lt;dates&gt;&lt;year&gt;2010&lt;/year&gt;&lt;/dates&gt;&lt;isbn&gt;01912615&lt;/isbn&gt;&lt;urls&gt;&lt;/urls&gt;&lt;electronic-resource-num&gt;10.1016/j.trb.2009.12.008&lt;/electronic-resource-num&gt;&lt;/record&gt;&lt;/Cite&gt;&lt;/EndNote&gt;</w:instrText>
      </w:r>
      <w:r w:rsidR="0090268C">
        <w:rPr>
          <w:rFonts w:cs="Arial"/>
          <w:szCs w:val="22"/>
        </w:rPr>
        <w:fldChar w:fldCharType="separate"/>
      </w:r>
      <w:r w:rsidR="0090268C">
        <w:rPr>
          <w:rFonts w:cs="Arial"/>
          <w:noProof/>
          <w:szCs w:val="22"/>
        </w:rPr>
        <w:t>Bröcker et al. (2010)</w:t>
      </w:r>
      <w:r w:rsidR="0090268C">
        <w:rPr>
          <w:rFonts w:cs="Arial"/>
          <w:szCs w:val="22"/>
        </w:rPr>
        <w:fldChar w:fldCharType="end"/>
      </w:r>
      <w:r w:rsidR="0090268C">
        <w:rPr>
          <w:rFonts w:cs="Arial"/>
          <w:szCs w:val="22"/>
        </w:rPr>
        <w:t xml:space="preserve"> </w:t>
      </w:r>
      <w:r w:rsidR="009F75A0">
        <w:rPr>
          <w:rFonts w:cs="Arial"/>
          <w:szCs w:val="22"/>
        </w:rPr>
        <w:t xml:space="preserve">applies a Spatial CGE to evaluate </w:t>
      </w:r>
      <w:r w:rsidR="00527D9D">
        <w:rPr>
          <w:rFonts w:cs="Arial"/>
          <w:szCs w:val="22"/>
        </w:rPr>
        <w:t>an</w:t>
      </w:r>
      <w:r w:rsidR="009F75A0">
        <w:rPr>
          <w:rFonts w:cs="Arial"/>
          <w:szCs w:val="22"/>
        </w:rPr>
        <w:t xml:space="preserve"> initiative that aims to </w:t>
      </w:r>
      <w:r w:rsidR="00527D9D">
        <w:rPr>
          <w:rFonts w:cs="Arial"/>
          <w:szCs w:val="22"/>
        </w:rPr>
        <w:t>promote the development of trans-European networks for the reinforcement of economic and social cohesion in the region. The model is based on a household and a production sector with two industries and trade costs depend on the state of the infrastructure; upgraded links represent lower trade costs and consequently</w:t>
      </w:r>
      <w:r w:rsidR="00B97A54">
        <w:rPr>
          <w:rFonts w:cs="Arial"/>
          <w:szCs w:val="22"/>
        </w:rPr>
        <w:t>,</w:t>
      </w:r>
      <w:r w:rsidR="00527D9D">
        <w:rPr>
          <w:rFonts w:cs="Arial"/>
          <w:szCs w:val="22"/>
        </w:rPr>
        <w:t xml:space="preserve"> </w:t>
      </w:r>
      <w:r w:rsidR="00B97A54">
        <w:rPr>
          <w:rFonts w:cs="Arial"/>
          <w:szCs w:val="22"/>
        </w:rPr>
        <w:t>higher</w:t>
      </w:r>
      <w:r w:rsidR="00527D9D">
        <w:rPr>
          <w:rFonts w:cs="Arial"/>
          <w:szCs w:val="22"/>
        </w:rPr>
        <w:t xml:space="preserve"> welfare of households in the region</w:t>
      </w:r>
      <w:r w:rsidR="00B97A54">
        <w:rPr>
          <w:rFonts w:cs="Arial"/>
          <w:szCs w:val="22"/>
        </w:rPr>
        <w:t xml:space="preserve"> </w:t>
      </w:r>
      <w:r w:rsidR="00B97A54">
        <w:rPr>
          <w:rFonts w:cs="Arial"/>
          <w:szCs w:val="22"/>
        </w:rPr>
        <w:fldChar w:fldCharType="begin"/>
      </w:r>
      <w:r w:rsidR="00B97A54">
        <w:rPr>
          <w:rFonts w:cs="Arial"/>
          <w:szCs w:val="22"/>
        </w:rPr>
        <w:instrText xml:space="preserve"> ADDIN EN.CITE &lt;EndNote&gt;&lt;Cite&gt;&lt;Author&gt;Bröcker&lt;/Author&gt;&lt;Year&gt;2010&lt;/Year&gt;&lt;RecNum&gt;40&lt;/RecNum&gt;&lt;DisplayText&gt;(Bröcker et al., 2010)&lt;/DisplayText&gt;&lt;record&gt;&lt;rec-number&gt;40&lt;/rec-number&gt;&lt;foreign-keys&gt;&lt;key app="EN" db-id="zesxtzdp6atewte95fc5dr2asp25rs2rstwt" timestamp="1518040337"&gt;40&lt;/key&gt;&lt;key app="ENWeb" db-id=""&gt;0&lt;/key&gt;&lt;/foreign-keys&gt;&lt;ref-type name="Journal Article"&gt;17&lt;/ref-type&gt;&lt;contributors&gt;&lt;authors&gt;&lt;author&gt;Bröcker, Johannes&lt;/author&gt;&lt;author&gt;Korzhenevych, Artem&lt;/author&gt;&lt;author&gt;Schürmann, Carsten&lt;/author&gt;&lt;/authors&gt;&lt;/contributors&gt;&lt;titles&gt;&lt;title&gt;Assessing spatial equity and efficiency impacts of transport infrastructure projects&lt;/title&gt;&lt;secondary-title&gt;Transportation Research Part B: Methodological&lt;/secondary-title&gt;&lt;/titles&gt;&lt;periodical&gt;&lt;full-title&gt;Transportation Research Part B: Methodological&lt;/full-title&gt;&lt;/periodical&gt;&lt;pages&gt;795-811&lt;/pages&gt;&lt;volume&gt;44&lt;/volume&gt;&lt;number&gt;7&lt;/number&gt;&lt;dates&gt;&lt;year&gt;2010&lt;/year&gt;&lt;/dates&gt;&lt;isbn&gt;01912615&lt;/isbn&gt;&lt;urls&gt;&lt;/urls&gt;&lt;electronic-resource-num&gt;10.1016/j.trb.2009.12.008&lt;/electronic-resource-num&gt;&lt;/record&gt;&lt;/Cite&gt;&lt;/EndNote&gt;</w:instrText>
      </w:r>
      <w:r w:rsidR="00B97A54">
        <w:rPr>
          <w:rFonts w:cs="Arial"/>
          <w:szCs w:val="22"/>
        </w:rPr>
        <w:fldChar w:fldCharType="separate"/>
      </w:r>
      <w:r w:rsidR="00B97A54">
        <w:rPr>
          <w:rFonts w:cs="Arial"/>
          <w:noProof/>
          <w:szCs w:val="22"/>
        </w:rPr>
        <w:t>(Bröcker et al., 2010)</w:t>
      </w:r>
      <w:r w:rsidR="00B97A54">
        <w:rPr>
          <w:rFonts w:cs="Arial"/>
          <w:szCs w:val="22"/>
        </w:rPr>
        <w:fldChar w:fldCharType="end"/>
      </w:r>
      <w:r w:rsidR="00B97A54">
        <w:rPr>
          <w:rFonts w:cs="Arial"/>
          <w:szCs w:val="22"/>
        </w:rPr>
        <w:t>.</w:t>
      </w:r>
      <w:r w:rsidR="0090268C">
        <w:rPr>
          <w:rFonts w:cs="Arial"/>
          <w:szCs w:val="22"/>
        </w:rPr>
        <w:t xml:space="preserve"> </w:t>
      </w:r>
      <w:r w:rsidR="008361D9">
        <w:rPr>
          <w:rFonts w:cs="Arial"/>
          <w:szCs w:val="22"/>
        </w:rPr>
        <w:t xml:space="preserve">   </w:t>
      </w:r>
      <w:r w:rsidR="00B02358">
        <w:rPr>
          <w:rFonts w:cs="Arial"/>
          <w:szCs w:val="22"/>
        </w:rPr>
        <w:t xml:space="preserve">   </w:t>
      </w:r>
      <w:r>
        <w:rPr>
          <w:rFonts w:cs="Arial"/>
          <w:szCs w:val="22"/>
        </w:rPr>
        <w:t xml:space="preserve"> </w:t>
      </w:r>
      <w:r w:rsidR="001D40E8">
        <w:rPr>
          <w:rFonts w:cs="Arial"/>
          <w:szCs w:val="22"/>
        </w:rPr>
        <w:t xml:space="preserve"> </w:t>
      </w:r>
    </w:p>
    <w:p w14:paraId="314FF95D" w14:textId="77777777" w:rsidR="00C065C6" w:rsidRDefault="00C065C6" w:rsidP="00AB6A60">
      <w:pPr>
        <w:jc w:val="both"/>
        <w:outlineLvl w:val="0"/>
        <w:rPr>
          <w:rFonts w:cs="Arial"/>
          <w:szCs w:val="22"/>
        </w:rPr>
      </w:pPr>
    </w:p>
    <w:p w14:paraId="226938DD" w14:textId="40BF5FDC" w:rsidR="009F3ACF" w:rsidRDefault="00F11C9C" w:rsidP="00AB6A60">
      <w:pPr>
        <w:jc w:val="both"/>
        <w:outlineLvl w:val="0"/>
        <w:rPr>
          <w:rFonts w:cs="Arial"/>
          <w:szCs w:val="22"/>
        </w:rPr>
      </w:pPr>
      <w:r w:rsidRPr="00F11C9C">
        <w:rPr>
          <w:rFonts w:cs="Arial"/>
          <w:szCs w:val="22"/>
        </w:rPr>
        <w:t>The linkage between economic activity and commodity flow patterns is a feature that has been conveniently exploited to forecast freight activity under distinct socio economic scenarios.</w:t>
      </w:r>
      <w:r>
        <w:rPr>
          <w:rFonts w:cs="Arial"/>
          <w:szCs w:val="22"/>
        </w:rPr>
        <w:t xml:space="preserve"> Furthermore </w:t>
      </w:r>
      <w:r w:rsidR="00671524">
        <w:rPr>
          <w:rFonts w:cs="Arial"/>
          <w:szCs w:val="22"/>
        </w:rPr>
        <w:t>freight activity</w:t>
      </w:r>
      <w:r w:rsidRPr="00F11C9C">
        <w:rPr>
          <w:rFonts w:cs="Arial"/>
          <w:szCs w:val="22"/>
        </w:rPr>
        <w:t xml:space="preserve"> can be further analysed and processed in order to estimate the energy (fuel) that is needed to run the system. </w:t>
      </w:r>
      <w:r w:rsidR="00F927D3">
        <w:rPr>
          <w:rFonts w:cs="Arial"/>
          <w:szCs w:val="22"/>
        </w:rPr>
        <w:t>T</w:t>
      </w:r>
      <w:r w:rsidRPr="00F11C9C">
        <w:rPr>
          <w:rFonts w:cs="Arial"/>
          <w:szCs w:val="22"/>
        </w:rPr>
        <w:t>raditional approaches have focused on the characterization of flows and corresponding use of resources; however, they lack the ability to consider the effects of fuel prices and mode shifts</w:t>
      </w:r>
      <w:r w:rsidR="00EB32D9">
        <w:rPr>
          <w:rFonts w:cs="Arial"/>
          <w:szCs w:val="22"/>
        </w:rPr>
        <w:t xml:space="preserve"> </w:t>
      </w:r>
      <w:r w:rsidR="00EB32D9">
        <w:rPr>
          <w:rFonts w:cs="Arial"/>
          <w:szCs w:val="22"/>
        </w:rPr>
        <w:fldChar w:fldCharType="begin"/>
      </w:r>
      <w:r w:rsidR="00EB32D9">
        <w:rPr>
          <w:rFonts w:cs="Arial"/>
          <w:szCs w:val="22"/>
        </w:rPr>
        <w:instrText xml:space="preserve"> ADDIN EN.CITE &lt;EndNote&gt;&lt;Cite&gt;&lt;Author&gt;Grenzback&lt;/Author&gt;&lt;Year&gt;2013&lt;/Year&gt;&lt;RecNum&gt;8&lt;/RecNum&gt;&lt;DisplayText&gt;(Grenzback et al., 2013)&lt;/DisplayText&gt;&lt;record&gt;&lt;rec-number&gt;8&lt;/rec-number&gt;&lt;foreign-keys&gt;&lt;key app="EN" db-id="zesxtzdp6atewte95fc5dr2asp25rs2rstwt" timestamp="1512945675"&gt;8&lt;/key&gt;&lt;/foreign-keys&gt;&lt;ref-type name="Report"&gt;27&lt;/ref-type&gt;&lt;contributors&gt;&lt;authors&gt;&lt;author&gt;Grenzback, L. R.&lt;/author&gt;&lt;author&gt;Brown, A.&lt;/author&gt;&lt;author&gt;Fishcer, M. J.&lt;/author&gt;&lt;author&gt;Hutson, N.&lt;/author&gt;&lt;author&gt;Lamm, C. R.&lt;/author&gt;&lt;author&gt;Pei, Y. L.&lt;/author&gt;&lt;author&gt;Vimmerstedt, L.&lt;/author&gt;&lt;author&gt;Vyas, A. D.&lt;/author&gt;&lt;author&gt;Winebrake, J. J.&lt;/author&gt;&lt;/authors&gt;&lt;/contributors&gt;&lt;titles&gt;&lt;title&gt;Freight Transportation Demand: Energy-Efficient Scenarios for a Low-Carbon Future&lt;/title&gt;&lt;/titles&gt;&lt;pages&gt;96-96&lt;/pages&gt;&lt;dates&gt;&lt;year&gt;2013&lt;/year&gt;&lt;/dates&gt;&lt;pub-location&gt;Washington&lt;/pub-location&gt;&lt;urls&gt;&lt;related-urls&gt;&lt;url&gt;http://www.nrel.gov/docs/fy13osti/55641.pdf&lt;/url&gt;&lt;/related-urls&gt;&lt;/urls&gt;&lt;/record&gt;&lt;/Cite&gt;&lt;/EndNote&gt;</w:instrText>
      </w:r>
      <w:r w:rsidR="00EB32D9">
        <w:rPr>
          <w:rFonts w:cs="Arial"/>
          <w:szCs w:val="22"/>
        </w:rPr>
        <w:fldChar w:fldCharType="separate"/>
      </w:r>
      <w:r w:rsidR="00EB32D9">
        <w:rPr>
          <w:rFonts w:cs="Arial"/>
          <w:noProof/>
          <w:szCs w:val="22"/>
        </w:rPr>
        <w:t>(Grenzback et al., 2013)</w:t>
      </w:r>
      <w:r w:rsidR="00EB32D9">
        <w:rPr>
          <w:rFonts w:cs="Arial"/>
          <w:szCs w:val="22"/>
        </w:rPr>
        <w:fldChar w:fldCharType="end"/>
      </w:r>
      <w:r w:rsidRPr="00F11C9C">
        <w:rPr>
          <w:rFonts w:cs="Arial"/>
          <w:szCs w:val="22"/>
        </w:rPr>
        <w:t>.</w:t>
      </w:r>
      <w:r w:rsidR="001E29DB">
        <w:rPr>
          <w:rFonts w:cs="Arial"/>
          <w:szCs w:val="22"/>
        </w:rPr>
        <w:t xml:space="preserve"> </w:t>
      </w:r>
      <w:r w:rsidRPr="00F11C9C">
        <w:rPr>
          <w:rFonts w:cs="Arial"/>
          <w:szCs w:val="22"/>
        </w:rPr>
        <w:t xml:space="preserve">  </w:t>
      </w:r>
    </w:p>
    <w:p w14:paraId="39B74AF4" w14:textId="77777777" w:rsidR="009F3ACF" w:rsidRDefault="009F3ACF" w:rsidP="00AB6A60">
      <w:pPr>
        <w:jc w:val="both"/>
        <w:outlineLvl w:val="0"/>
        <w:rPr>
          <w:rFonts w:cs="Arial"/>
          <w:szCs w:val="22"/>
        </w:rPr>
      </w:pPr>
    </w:p>
    <w:p w14:paraId="47C35638" w14:textId="775C7F84" w:rsidR="009F3ACF" w:rsidRDefault="00F11C9C" w:rsidP="00AB6A60">
      <w:pPr>
        <w:jc w:val="both"/>
        <w:outlineLvl w:val="0"/>
        <w:rPr>
          <w:rFonts w:cs="Arial"/>
          <w:szCs w:val="22"/>
        </w:rPr>
      </w:pPr>
      <w:r w:rsidRPr="00F11C9C">
        <w:rPr>
          <w:rFonts w:cs="Arial"/>
          <w:szCs w:val="22"/>
        </w:rPr>
        <w:t>On the other hand transport emission and energy consumption models follow approaches that are similar to life cycle assessment and national accounting methodologies so that emission intensities are aggregated into indicators that are later applied to the transport performance (tonne-kilometres or passenger kilometres) of every transportation mode</w:t>
      </w:r>
      <w:r w:rsidR="00EB32D9">
        <w:rPr>
          <w:rFonts w:cs="Arial"/>
          <w:szCs w:val="22"/>
        </w:rPr>
        <w:t xml:space="preserve"> </w:t>
      </w:r>
      <w:r w:rsidR="00EB32D9">
        <w:rPr>
          <w:rFonts w:cs="Arial"/>
          <w:szCs w:val="22"/>
        </w:rPr>
        <w:fldChar w:fldCharType="begin"/>
      </w:r>
      <w:r w:rsidR="00EB32D9">
        <w:rPr>
          <w:rFonts w:cs="Arial"/>
          <w:szCs w:val="22"/>
        </w:rPr>
        <w:instrText xml:space="preserve"> ADDIN EN.CITE &lt;EndNote&gt;&lt;Cite&gt;&lt;Author&gt;Mattila&lt;/Author&gt;&lt;Year&gt;2011&lt;/Year&gt;&lt;RecNum&gt;26&lt;/RecNum&gt;&lt;DisplayText&gt;(Mattila and Antikainen, 2011)&lt;/DisplayText&gt;&lt;record&gt;&lt;rec-number&gt;26&lt;/rec-number&gt;&lt;foreign-keys&gt;&lt;key app="EN" db-id="zesxtzdp6atewte95fc5dr2asp25rs2rstwt" timestamp="1512946536"&gt;26&lt;/key&gt;&lt;/foreign-keys&gt;&lt;ref-type name="Journal Article"&gt;17&lt;/ref-type&gt;&lt;contributors&gt;&lt;authors&gt;&lt;author&gt;Mattila, Tuomas&lt;/author&gt;&lt;author&gt;Antikainen, Riina&lt;/author&gt;&lt;/authors&gt;&lt;/contributors&gt;&lt;titles&gt;&lt;title&gt;Backcasting sustainable freight transport systems for Europe in 2050&lt;/title&gt;&lt;secondary-title&gt;Energy Policy&lt;/secondary-title&gt;&lt;/titles&gt;&lt;periodical&gt;&lt;full-title&gt;Energy Policy&lt;/full-title&gt;&lt;/periodical&gt;&lt;pages&gt;1241-1248&lt;/pages&gt;&lt;volume&gt;39&lt;/volume&gt;&lt;number&gt;3&lt;/number&gt;&lt;keywords&gt;&lt;keyword&gt;Fossil fuel share&lt;/keyword&gt;&lt;keyword&gt;Greenhouse gas emissions&lt;/keyword&gt;&lt;keyword&gt;Model&lt;/keyword&gt;&lt;/keywords&gt;&lt;dates&gt;&lt;year&gt;2011&lt;/year&gt;&lt;/dates&gt;&lt;publisher&gt;Elsevier&lt;/publisher&gt;&lt;isbn&gt;0301-4215&lt;/isbn&gt;&lt;urls&gt;&lt;related-urls&gt;&lt;url&gt;http://dx.doi.org/10.1016/j.enpol.2010.11.051&lt;/url&gt;&lt;/related-urls&gt;&lt;/urls&gt;&lt;electronic-resource-num&gt;10.1016/j.enpol.2010.11.051&lt;/electronic-resource-num&gt;&lt;/record&gt;&lt;/Cite&gt;&lt;/EndNote&gt;</w:instrText>
      </w:r>
      <w:r w:rsidR="00EB32D9">
        <w:rPr>
          <w:rFonts w:cs="Arial"/>
          <w:szCs w:val="22"/>
        </w:rPr>
        <w:fldChar w:fldCharType="separate"/>
      </w:r>
      <w:r w:rsidR="00EB32D9">
        <w:rPr>
          <w:rFonts w:cs="Arial"/>
          <w:noProof/>
          <w:szCs w:val="22"/>
        </w:rPr>
        <w:t>(Mattila and Antikainen, 2011)</w:t>
      </w:r>
      <w:r w:rsidR="00EB32D9">
        <w:rPr>
          <w:rFonts w:cs="Arial"/>
          <w:szCs w:val="22"/>
        </w:rPr>
        <w:fldChar w:fldCharType="end"/>
      </w:r>
      <w:r w:rsidRPr="00F11C9C">
        <w:rPr>
          <w:rFonts w:cs="Arial"/>
          <w:szCs w:val="22"/>
        </w:rPr>
        <w:t xml:space="preserve">; these models rely primarily on general factors and statistics, so that they are not able to reflect the impacts of changes in freight flow patterns. </w:t>
      </w:r>
    </w:p>
    <w:p w14:paraId="619EBCF7" w14:textId="77777777" w:rsidR="00B97A54" w:rsidRDefault="00B97A54" w:rsidP="00AB6A60">
      <w:pPr>
        <w:jc w:val="both"/>
        <w:outlineLvl w:val="0"/>
        <w:rPr>
          <w:rFonts w:cs="Arial"/>
          <w:szCs w:val="22"/>
        </w:rPr>
      </w:pPr>
    </w:p>
    <w:p w14:paraId="2BCF8B8B" w14:textId="77777777" w:rsidR="009F3ACF" w:rsidRDefault="009F3ACF" w:rsidP="00AB6A60">
      <w:pPr>
        <w:jc w:val="both"/>
        <w:outlineLvl w:val="0"/>
        <w:rPr>
          <w:rFonts w:cs="Arial"/>
          <w:szCs w:val="22"/>
        </w:rPr>
      </w:pPr>
    </w:p>
    <w:p w14:paraId="54292E3C" w14:textId="77777777" w:rsidR="00F11C9C" w:rsidRDefault="00F11C9C" w:rsidP="00AB6A60">
      <w:pPr>
        <w:jc w:val="both"/>
        <w:outlineLvl w:val="0"/>
        <w:rPr>
          <w:rFonts w:cs="Arial"/>
          <w:szCs w:val="22"/>
        </w:rPr>
      </w:pPr>
      <w:r w:rsidRPr="00F11C9C">
        <w:rPr>
          <w:rFonts w:cs="Arial"/>
          <w:szCs w:val="22"/>
        </w:rPr>
        <w:lastRenderedPageBreak/>
        <w:t>The existing bridge between transportation demand and energy accounting methodologies, suggests the need for the development of more integrated operational tools that are capable to determine freight transport demand and enhance the identification of systemic carbon-reducing policies</w:t>
      </w:r>
      <w:r w:rsidR="00EB32D9">
        <w:rPr>
          <w:rFonts w:cs="Arial"/>
          <w:szCs w:val="22"/>
        </w:rPr>
        <w:t xml:space="preserve"> </w:t>
      </w:r>
      <w:r w:rsidR="00EB32D9">
        <w:rPr>
          <w:rFonts w:cs="Arial"/>
          <w:szCs w:val="22"/>
        </w:rPr>
        <w:fldChar w:fldCharType="begin">
          <w:fldData xml:space="preserve">PEVuZE5vdGU+PENpdGU+PEF1dGhvcj5HcmVuemJhY2s8L0F1dGhvcj48WWVhcj4yMDEzPC9ZZWFy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</w:fldData>
        </w:fldChar>
      </w:r>
      <w:r w:rsidR="00C12096">
        <w:rPr>
          <w:rFonts w:cs="Arial"/>
          <w:szCs w:val="22"/>
        </w:rPr>
        <w:instrText xml:space="preserve"> ADDIN EN.CITE </w:instrText>
      </w:r>
      <w:r w:rsidR="00C12096">
        <w:rPr>
          <w:rFonts w:cs="Arial"/>
          <w:szCs w:val="22"/>
        </w:rPr>
        <w:fldChar w:fldCharType="begin">
          <w:fldData xml:space="preserve">PEVuZE5vdGU+PENpdGU+PEF1dGhvcj5HcmVuemJhY2s8L0F1dGhvcj48WWVhcj4yMDEzPC9ZZWFy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</w:fldData>
        </w:fldChar>
      </w:r>
      <w:r w:rsidR="00C12096">
        <w:rPr>
          <w:rFonts w:cs="Arial"/>
          <w:szCs w:val="22"/>
        </w:rPr>
        <w:instrText xml:space="preserve"> ADDIN EN.CITE.DATA </w:instrText>
      </w:r>
      <w:r w:rsidR="00C12096">
        <w:rPr>
          <w:rFonts w:cs="Arial"/>
          <w:szCs w:val="22"/>
        </w:rPr>
      </w:r>
      <w:r w:rsidR="00C12096">
        <w:rPr>
          <w:rFonts w:cs="Arial"/>
          <w:szCs w:val="22"/>
        </w:rPr>
        <w:fldChar w:fldCharType="end"/>
      </w:r>
      <w:r w:rsidR="00EB32D9">
        <w:rPr>
          <w:rFonts w:cs="Arial"/>
          <w:szCs w:val="22"/>
        </w:rPr>
      </w:r>
      <w:r w:rsidR="00EB32D9">
        <w:rPr>
          <w:rFonts w:cs="Arial"/>
          <w:szCs w:val="22"/>
        </w:rPr>
        <w:fldChar w:fldCharType="separate"/>
      </w:r>
      <w:r w:rsidR="00EB32D9">
        <w:rPr>
          <w:rFonts w:cs="Arial"/>
          <w:noProof/>
          <w:szCs w:val="22"/>
        </w:rPr>
        <w:t>(Grenzback et al., 2013, Tavasszy and de Jong, 2013, Sims et al., 2014)</w:t>
      </w:r>
      <w:r w:rsidR="00EB32D9">
        <w:rPr>
          <w:rFonts w:cs="Arial"/>
          <w:szCs w:val="22"/>
        </w:rPr>
        <w:fldChar w:fldCharType="end"/>
      </w:r>
      <w:r w:rsidRPr="00F11C9C">
        <w:rPr>
          <w:rFonts w:cs="Arial"/>
          <w:szCs w:val="22"/>
        </w:rPr>
        <w:t>.</w:t>
      </w:r>
      <w:r w:rsidR="00F927D3">
        <w:rPr>
          <w:rFonts w:cs="Arial"/>
          <w:szCs w:val="22"/>
        </w:rPr>
        <w:t xml:space="preserve"> In this paper we attempt to address this gap, through the formulation of a Random Utility Based Multiregional Input Output Model (RUBMRIO). </w:t>
      </w:r>
      <w:r w:rsidR="00922A86">
        <w:rPr>
          <w:rFonts w:cs="Arial"/>
          <w:szCs w:val="22"/>
        </w:rPr>
        <w:t xml:space="preserve">The main feature behind this state of the art approach is that trade coefficients are specified through a discrete choice formulation, so that trade volumes respond to changes in regional prices and transportation costs. </w:t>
      </w:r>
      <w:r w:rsidR="00DF1E4F">
        <w:rPr>
          <w:rFonts w:cs="Arial"/>
          <w:szCs w:val="22"/>
        </w:rPr>
        <w:t xml:space="preserve">Our analysis focuses on the effect that fuel prices have on transportation costs and subsequently on the overall dispersion of the freight flow pattern of New Zealand. </w:t>
      </w:r>
    </w:p>
    <w:p w14:paraId="4ADF8C5D" w14:textId="77777777" w:rsidR="00F11C9C" w:rsidRDefault="00F11C9C" w:rsidP="00AB6A60">
      <w:pPr>
        <w:jc w:val="both"/>
        <w:outlineLvl w:val="0"/>
        <w:rPr>
          <w:rFonts w:cs="Arial"/>
          <w:szCs w:val="22"/>
        </w:rPr>
      </w:pPr>
    </w:p>
    <w:p w14:paraId="7D189A15" w14:textId="77777777" w:rsidR="001501FD" w:rsidRDefault="001501FD" w:rsidP="00AB6A60">
      <w:pPr>
        <w:jc w:val="both"/>
        <w:outlineLvl w:val="0"/>
        <w:rPr>
          <w:rFonts w:cs="Arial"/>
          <w:szCs w:val="22"/>
        </w:rPr>
      </w:pPr>
      <w:r>
        <w:rPr>
          <w:rFonts w:cs="Arial"/>
          <w:b/>
          <w:sz w:val="28"/>
          <w:szCs w:val="28"/>
        </w:rPr>
        <w:t>BACKGROUND</w:t>
      </w:r>
    </w:p>
    <w:p w14:paraId="33DC10B7" w14:textId="77777777" w:rsidR="004360C3" w:rsidRPr="004360C3" w:rsidRDefault="004360C3" w:rsidP="00CF7821">
      <w:pPr>
        <w:jc w:val="both"/>
        <w:outlineLvl w:val="0"/>
        <w:rPr>
          <w:rFonts w:cs="Arial"/>
          <w:szCs w:val="22"/>
        </w:rPr>
      </w:pPr>
      <w:r>
        <w:rPr>
          <w:rFonts w:cs="Arial"/>
          <w:szCs w:val="22"/>
        </w:rPr>
        <w:t xml:space="preserve">In the first part of this section we go over the basic foundations behind input output analysis. In the second part, we specify the </w:t>
      </w:r>
      <w:r w:rsidR="0087599A">
        <w:rPr>
          <w:rFonts w:cs="Arial"/>
          <w:szCs w:val="22"/>
        </w:rPr>
        <w:t xml:space="preserve">conventional </w:t>
      </w:r>
      <w:r>
        <w:rPr>
          <w:rFonts w:cs="Arial"/>
          <w:szCs w:val="22"/>
        </w:rPr>
        <w:t>notation and model formulation for the multiregional a</w:t>
      </w:r>
      <w:r w:rsidR="0087599A">
        <w:rPr>
          <w:rFonts w:cs="Arial"/>
          <w:szCs w:val="22"/>
        </w:rPr>
        <w:t>pproach.</w:t>
      </w:r>
    </w:p>
    <w:p w14:paraId="1C7A0457" w14:textId="77777777" w:rsidR="004360C3" w:rsidRDefault="004360C3" w:rsidP="00CF7821">
      <w:pPr>
        <w:jc w:val="both"/>
        <w:outlineLvl w:val="0"/>
        <w:rPr>
          <w:rFonts w:cs="Arial"/>
          <w:b/>
          <w:szCs w:val="22"/>
        </w:rPr>
      </w:pPr>
    </w:p>
    <w:p w14:paraId="10053881" w14:textId="77777777" w:rsidR="00436FE6" w:rsidRDefault="004360C3" w:rsidP="00CF7821">
      <w:pPr>
        <w:jc w:val="both"/>
        <w:outlineLvl w:val="0"/>
        <w:rPr>
          <w:rFonts w:cs="Arial"/>
          <w:szCs w:val="22"/>
        </w:rPr>
      </w:pPr>
      <w:r>
        <w:rPr>
          <w:rFonts w:cs="Arial"/>
          <w:b/>
          <w:szCs w:val="22"/>
        </w:rPr>
        <w:t xml:space="preserve">Single Region </w:t>
      </w:r>
      <w:r w:rsidR="00436FE6">
        <w:rPr>
          <w:rFonts w:cs="Arial"/>
          <w:b/>
          <w:szCs w:val="22"/>
        </w:rPr>
        <w:t>Input Output Analysis</w:t>
      </w:r>
    </w:p>
    <w:p w14:paraId="33555780" w14:textId="77777777" w:rsidR="00CF7821" w:rsidRDefault="00CF7821" w:rsidP="00CF7821">
      <w:pPr>
        <w:jc w:val="both"/>
        <w:outlineLvl w:val="0"/>
        <w:rPr>
          <w:rFonts w:cs="Arial"/>
          <w:szCs w:val="22"/>
        </w:rPr>
      </w:pPr>
      <w:r w:rsidRPr="00CF7821">
        <w:rPr>
          <w:rFonts w:cs="Arial"/>
          <w:szCs w:val="22"/>
        </w:rPr>
        <w:t xml:space="preserve">Input-output analysis is a macroeconomic approach where the interactions or flows </w:t>
      </w:r>
      <m:oMath>
        <m:sSup>
          <m:sSupPr>
            <m:ctrlPr>
              <w:rPr>
                <w:rFonts w:ascii="Cambria Math" w:hAnsi="Cambria Math"/>
                <w:i/>
              </w:rPr>
            </m:ctrlPr>
          </m:sSupPr>
          <m:e>
            <m:r>
              <w:rPr>
                <w:rFonts w:ascii="Cambria Math" w:hAnsi="Cambria Math"/>
              </w:rPr>
              <m:t>x</m:t>
            </m:r>
          </m:e>
          <m:sup>
            <m:r>
              <w:rPr>
                <w:rFonts w:ascii="Cambria Math" w:hAnsi="Cambria Math"/>
              </w:rPr>
              <m:t>mn</m:t>
            </m:r>
          </m:sup>
        </m:sSup>
      </m:oMath>
      <w:r w:rsidRPr="00CF7821">
        <w:rPr>
          <w:rFonts w:cs="Arial"/>
          <w:szCs w:val="22"/>
        </w:rPr>
        <w:t xml:space="preserve"> between sectors (</w:t>
      </w:r>
      <m:oMath>
        <m:r>
          <w:rPr>
            <w:rFonts w:ascii="Cambria Math" w:hAnsi="Cambria Math"/>
          </w:rPr>
          <m:t>m</m:t>
        </m:r>
      </m:oMath>
      <w:r w:rsidRPr="00CF7821">
        <w:rPr>
          <w:rFonts w:cs="Arial"/>
          <w:szCs w:val="22"/>
        </w:rPr>
        <w:t xml:space="preserve"> is a producing </w:t>
      </w:r>
      <w:r w:rsidR="00F17FEE">
        <w:rPr>
          <w:rFonts w:cs="Arial"/>
          <w:szCs w:val="22"/>
        </w:rPr>
        <w:t xml:space="preserve">sector, </w:t>
      </w:r>
      <m:oMath>
        <m:r>
          <w:rPr>
            <w:rFonts w:ascii="Cambria Math" w:hAnsi="Cambria Math"/>
          </w:rPr>
          <m:t>n</m:t>
        </m:r>
      </m:oMath>
      <w:r w:rsidRPr="00CF7821">
        <w:rPr>
          <w:rFonts w:cs="Arial"/>
          <w:szCs w:val="22"/>
        </w:rPr>
        <w:t xml:space="preserve"> is a purchasing sector) are endogenously determined upon business expenditure’s patte</w:t>
      </w:r>
      <w:proofErr w:type="spellStart"/>
      <w:r w:rsidRPr="00CF7821">
        <w:rPr>
          <w:rFonts w:cs="Arial"/>
          <w:szCs w:val="22"/>
        </w:rPr>
        <w:t>rns</w:t>
      </w:r>
      <w:proofErr w:type="spellEnd"/>
      <w:r w:rsidRPr="00CF7821">
        <w:rPr>
          <w:rFonts w:cs="Arial"/>
          <w:szCs w:val="22"/>
        </w:rPr>
        <w:t xml:space="preserve">. For a single region economy, the total output for any given sector </w:t>
      </w:r>
      <m:oMath>
        <m:sSup>
          <m:sSupPr>
            <m:ctrlPr>
              <w:rPr>
                <w:rFonts w:ascii="Cambria Math" w:hAnsi="Cambria Math"/>
                <w:i/>
              </w:rPr>
            </m:ctrlPr>
          </m:sSupPr>
          <m:e>
            <m:r>
              <w:rPr>
                <w:rFonts w:ascii="Cambria Math" w:hAnsi="Cambria Math"/>
              </w:rPr>
              <m:t>X</m:t>
            </m:r>
          </m:e>
          <m:sup>
            <m:r>
              <w:rPr>
                <w:rFonts w:ascii="Cambria Math" w:hAnsi="Cambria Math"/>
              </w:rPr>
              <m:t>m</m:t>
            </m:r>
          </m:sup>
        </m:sSup>
      </m:oMath>
      <w:r w:rsidRPr="00CF7821">
        <w:rPr>
          <w:rFonts w:cs="Arial"/>
          <w:szCs w:val="22"/>
        </w:rPr>
        <w:t xml:space="preserve"> is expressed as:</w:t>
      </w:r>
    </w:p>
    <w:p w14:paraId="21C442E6" w14:textId="77777777" w:rsidR="00B97A54" w:rsidRDefault="00B97A54" w:rsidP="00CF7821">
      <w:pPr>
        <w:jc w:val="both"/>
        <w:outlineLvl w:val="0"/>
        <w:rPr>
          <w:rFonts w:cs="Arial"/>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3118"/>
      </w:tblGrid>
      <w:tr w:rsidR="00CF7821" w14:paraId="330A9121" w14:textId="77777777" w:rsidTr="00254BCB">
        <w:trPr>
          <w:jc w:val="center"/>
        </w:trPr>
        <w:tc>
          <w:tcPr>
            <w:tcW w:w="3118" w:type="dxa"/>
            <w:vAlign w:val="center"/>
          </w:tcPr>
          <w:p w14:paraId="6B719D15" w14:textId="77777777" w:rsidR="00CF7821" w:rsidRPr="003F1826" w:rsidRDefault="00722C0F" w:rsidP="00254BCB">
            <w:pPr>
              <w:pStyle w:val="BodyText1"/>
              <w:ind w:left="0"/>
              <w:jc w:val="center"/>
            </w:pPr>
            <m:oMathPara>
              <m:oMath>
                <m:sSup>
                  <m:sSupPr>
                    <m:ctrlPr>
                      <w:rPr>
                        <w:rFonts w:ascii="Cambria Math" w:hAnsi="Cambria Math"/>
                        <w:i/>
                      </w:rPr>
                    </m:ctrlPr>
                  </m:sSupPr>
                  <m:e>
                    <m:r>
                      <w:rPr>
                        <w:rFonts w:ascii="Cambria Math" w:hAnsi="Cambria Math"/>
                      </w:rPr>
                      <m:t>X</m:t>
                    </m:r>
                  </m:e>
                  <m:sup>
                    <m:r>
                      <w:rPr>
                        <w:rFonts w:ascii="Cambria Math" w:hAnsi="Cambria Math"/>
                      </w:rPr>
                      <m:t>m</m:t>
                    </m:r>
                  </m:sup>
                </m:sSup>
                <m:r>
                  <w:rPr>
                    <w:rFonts w:ascii="Cambria Math" w:hAnsi="Cambria Math"/>
                  </w:rPr>
                  <m:t>=</m:t>
                </m:r>
                <m:nary>
                  <m:naryPr>
                    <m:chr m:val="∑"/>
                    <m:limLoc m:val="undOvr"/>
                    <m:supHide m:val="1"/>
                    <m:ctrlPr>
                      <w:rPr>
                        <w:rFonts w:ascii="Cambria Math" w:hAnsi="Cambria Math"/>
                        <w:i/>
                      </w:rPr>
                    </m:ctrlPr>
                  </m:naryPr>
                  <m:sub>
                    <m:r>
                      <w:rPr>
                        <w:rFonts w:ascii="Cambria Math" w:hAnsi="Cambria Math"/>
                      </w:rPr>
                      <m:t>n</m:t>
                    </m:r>
                  </m:sub>
                  <m:sup/>
                  <m:e>
                    <m:sSup>
                      <m:sSupPr>
                        <m:ctrlPr>
                          <w:rPr>
                            <w:rFonts w:ascii="Cambria Math" w:hAnsi="Cambria Math"/>
                            <w:i/>
                          </w:rPr>
                        </m:ctrlPr>
                      </m:sSupPr>
                      <m:e>
                        <m:r>
                          <w:rPr>
                            <w:rFonts w:ascii="Cambria Math" w:hAnsi="Cambria Math"/>
                          </w:rPr>
                          <m:t>x</m:t>
                        </m:r>
                      </m:e>
                      <m:sup>
                        <m:r>
                          <w:rPr>
                            <w:rFonts w:ascii="Cambria Math" w:hAnsi="Cambria Math"/>
                          </w:rPr>
                          <m:t>mn</m:t>
                        </m:r>
                      </m:sup>
                    </m:sSup>
                  </m:e>
                </m:nary>
                <m:r>
                  <w:rPr>
                    <w:rFonts w:ascii="Cambria Math" w:hAnsi="Cambria Math"/>
                  </w:rPr>
                  <m:t>+</m:t>
                </m:r>
                <m:sSup>
                  <m:sSupPr>
                    <m:ctrlPr>
                      <w:rPr>
                        <w:rFonts w:ascii="Cambria Math" w:hAnsi="Cambria Math"/>
                        <w:i/>
                      </w:rPr>
                    </m:ctrlPr>
                  </m:sSupPr>
                  <m:e>
                    <m:r>
                      <w:rPr>
                        <w:rFonts w:ascii="Cambria Math" w:hAnsi="Cambria Math"/>
                      </w:rPr>
                      <m:t>Y</m:t>
                    </m:r>
                  </m:e>
                  <m:sup>
                    <m:r>
                      <w:rPr>
                        <w:rFonts w:ascii="Cambria Math" w:hAnsi="Cambria Math"/>
                      </w:rPr>
                      <m:t>m</m:t>
                    </m:r>
                  </m:sup>
                </m:sSup>
                <m:r>
                  <w:rPr>
                    <w:rFonts w:ascii="Cambria Math" w:hAnsi="Cambria Math"/>
                  </w:rPr>
                  <m:t xml:space="preserve">        ∀m</m:t>
                </m:r>
              </m:oMath>
            </m:oMathPara>
          </w:p>
        </w:tc>
        <w:tc>
          <w:tcPr>
            <w:tcW w:w="3118" w:type="dxa"/>
            <w:vAlign w:val="center"/>
          </w:tcPr>
          <w:p w14:paraId="00A41D74" w14:textId="77777777" w:rsidR="00CF7821" w:rsidRDefault="00CF7821" w:rsidP="00254BCB">
            <w:pPr>
              <w:pStyle w:val="BodyText1"/>
              <w:ind w:left="0"/>
              <w:jc w:val="center"/>
            </w:pPr>
            <w:r>
              <w:t>(1)</w:t>
            </w:r>
          </w:p>
        </w:tc>
      </w:tr>
    </w:tbl>
    <w:p w14:paraId="01472C01" w14:textId="77777777" w:rsidR="00B97A54" w:rsidRDefault="00B97A54" w:rsidP="00CF7821">
      <w:pPr>
        <w:jc w:val="both"/>
        <w:outlineLvl w:val="0"/>
        <w:rPr>
          <w:rFonts w:cs="Arial"/>
          <w:szCs w:val="22"/>
        </w:rPr>
      </w:pPr>
    </w:p>
    <w:p w14:paraId="24A5541D" w14:textId="77777777" w:rsidR="00CF7821" w:rsidRPr="00CF7821" w:rsidRDefault="00CF7821" w:rsidP="00CF7821">
      <w:pPr>
        <w:jc w:val="both"/>
        <w:outlineLvl w:val="0"/>
        <w:rPr>
          <w:rFonts w:cs="Arial"/>
          <w:szCs w:val="22"/>
        </w:rPr>
      </w:pPr>
      <w:r w:rsidRPr="00CF7821">
        <w:rPr>
          <w:rFonts w:cs="Arial"/>
          <w:szCs w:val="22"/>
        </w:rPr>
        <w:t xml:space="preserve">Where </w:t>
      </w:r>
      <m:oMath>
        <m:sSup>
          <m:sSupPr>
            <m:ctrlPr>
              <w:rPr>
                <w:rFonts w:ascii="Cambria Math" w:hAnsi="Cambria Math"/>
                <w:i/>
              </w:rPr>
            </m:ctrlPr>
          </m:sSupPr>
          <m:e>
            <m:r>
              <w:rPr>
                <w:rFonts w:ascii="Cambria Math" w:hAnsi="Cambria Math"/>
              </w:rPr>
              <m:t>Y</m:t>
            </m:r>
          </m:e>
          <m:sup>
            <m:r>
              <w:rPr>
                <w:rFonts w:ascii="Cambria Math" w:hAnsi="Cambria Math"/>
              </w:rPr>
              <m:t>m</m:t>
            </m:r>
          </m:sup>
        </m:sSup>
      </m:oMath>
      <w:r w:rsidRPr="00CF7821">
        <w:rPr>
          <w:rFonts w:cs="Arial"/>
          <w:szCs w:val="22"/>
        </w:rPr>
        <w:t xml:space="preserve"> is the total demand for the output of </w:t>
      </w:r>
      <w:proofErr w:type="gramStart"/>
      <w:r w:rsidRPr="00CF7821">
        <w:rPr>
          <w:rFonts w:cs="Arial"/>
          <w:szCs w:val="22"/>
        </w:rPr>
        <w:t xml:space="preserve">sector </w:t>
      </w:r>
      <w:proofErr w:type="gramEnd"/>
      <m:oMath>
        <m:r>
          <w:rPr>
            <w:rFonts w:ascii="Cambria Math" w:hAnsi="Cambria Math"/>
          </w:rPr>
          <m:t>m</m:t>
        </m:r>
      </m:oMath>
      <w:r w:rsidRPr="00CF7821">
        <w:rPr>
          <w:rFonts w:cs="Arial"/>
          <w:szCs w:val="22"/>
        </w:rPr>
        <w:t>.</w:t>
      </w:r>
    </w:p>
    <w:p w14:paraId="7AB3DF6B" w14:textId="76C00DE2" w:rsidR="00F17FEE" w:rsidRDefault="00CF7821" w:rsidP="00CF7821">
      <w:pPr>
        <w:jc w:val="both"/>
        <w:outlineLvl w:val="0"/>
        <w:rPr>
          <w:rFonts w:cs="Arial"/>
          <w:szCs w:val="22"/>
        </w:rPr>
      </w:pPr>
      <w:r w:rsidRPr="00CF7821">
        <w:rPr>
          <w:rFonts w:cs="Arial"/>
          <w:szCs w:val="22"/>
        </w:rPr>
        <w:t>Eq. (1) can be also expressed as:</w:t>
      </w:r>
    </w:p>
    <w:p w14:paraId="226FC98E" w14:textId="77777777" w:rsidR="00B97A54" w:rsidRDefault="00B97A54" w:rsidP="00CF7821">
      <w:pPr>
        <w:jc w:val="both"/>
        <w:outlineLvl w:val="0"/>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3118"/>
      </w:tblGrid>
      <w:tr w:rsidR="00CF7821" w14:paraId="01A72FCC" w14:textId="77777777" w:rsidTr="00254BCB">
        <w:trPr>
          <w:jc w:val="center"/>
        </w:trPr>
        <w:tc>
          <w:tcPr>
            <w:tcW w:w="3118" w:type="dxa"/>
            <w:vAlign w:val="center"/>
          </w:tcPr>
          <w:p w14:paraId="618F1643" w14:textId="4D178BE9" w:rsidR="00CF7821" w:rsidRPr="003F1826" w:rsidRDefault="00722C0F" w:rsidP="00254BCB">
            <w:pPr>
              <w:pStyle w:val="BodyText1"/>
              <w:ind w:left="0"/>
              <w:jc w:val="center"/>
            </w:pPr>
            <m:oMathPara>
              <m:oMath>
                <m:sSup>
                  <m:sSupPr>
                    <m:ctrlPr>
                      <w:rPr>
                        <w:rFonts w:ascii="Cambria Math" w:hAnsi="Cambria Math"/>
                        <w:i/>
                      </w:rPr>
                    </m:ctrlPr>
                  </m:sSupPr>
                  <m:e>
                    <m:r>
                      <w:rPr>
                        <w:rFonts w:ascii="Cambria Math" w:hAnsi="Cambria Math"/>
                      </w:rPr>
                      <m:t>X</m:t>
                    </m:r>
                  </m:e>
                  <m:sup>
                    <m:r>
                      <w:rPr>
                        <w:rFonts w:ascii="Cambria Math" w:hAnsi="Cambria Math"/>
                      </w:rPr>
                      <m:t>m</m:t>
                    </m:r>
                  </m:sup>
                </m:sSup>
                <m:r>
                  <w:rPr>
                    <w:rFonts w:ascii="Cambria Math" w:hAnsi="Cambria Math"/>
                  </w:rPr>
                  <m:t>=</m:t>
                </m:r>
                <m:nary>
                  <m:naryPr>
                    <m:chr m:val="∑"/>
                    <m:limLoc m:val="undOvr"/>
                    <m:supHide m:val="1"/>
                    <m:ctrlPr>
                      <w:rPr>
                        <w:rFonts w:ascii="Cambria Math" w:hAnsi="Cambria Math"/>
                        <w:i/>
                      </w:rPr>
                    </m:ctrlPr>
                  </m:naryPr>
                  <m:sub>
                    <m:r>
                      <w:rPr>
                        <w:rFonts w:ascii="Cambria Math" w:hAnsi="Cambria Math"/>
                      </w:rPr>
                      <m:t>n</m:t>
                    </m:r>
                  </m:sub>
                  <m:sup/>
                  <m:e>
                    <m:sSup>
                      <m:sSupPr>
                        <m:ctrlPr>
                          <w:rPr>
                            <w:rFonts w:ascii="Cambria Math" w:hAnsi="Cambria Math"/>
                            <w:i/>
                          </w:rPr>
                        </m:ctrlPr>
                      </m:sSupPr>
                      <m:e>
                        <m:r>
                          <w:rPr>
                            <w:rFonts w:ascii="Cambria Math" w:hAnsi="Cambria Math"/>
                          </w:rPr>
                          <m:t>a</m:t>
                        </m:r>
                      </m:e>
                      <m:sup>
                        <m:r>
                          <w:rPr>
                            <w:rFonts w:ascii="Cambria Math" w:hAnsi="Cambria Math"/>
                          </w:rPr>
                          <m:t>mn</m:t>
                        </m:r>
                      </m:sup>
                    </m:sSup>
                    <m:sSup>
                      <m:sSupPr>
                        <m:ctrlPr>
                          <w:rPr>
                            <w:rFonts w:ascii="Cambria Math" w:hAnsi="Cambria Math"/>
                            <w:i/>
                          </w:rPr>
                        </m:ctrlPr>
                      </m:sSupPr>
                      <m:e>
                        <m:r>
                          <w:rPr>
                            <w:rFonts w:ascii="Cambria Math" w:hAnsi="Cambria Math"/>
                          </w:rPr>
                          <m:t>X</m:t>
                        </m:r>
                      </m:e>
                      <m:sup>
                        <m:r>
                          <w:rPr>
                            <w:rFonts w:ascii="Cambria Math" w:hAnsi="Cambria Math"/>
                          </w:rPr>
                          <m:t>n</m:t>
                        </m:r>
                      </m:sup>
                    </m:sSup>
                  </m:e>
                </m:nary>
                <m:r>
                  <w:rPr>
                    <w:rFonts w:ascii="Cambria Math" w:hAnsi="Cambria Math"/>
                  </w:rPr>
                  <m:t>+</m:t>
                </m:r>
                <m:sSup>
                  <m:sSupPr>
                    <m:ctrlPr>
                      <w:rPr>
                        <w:rFonts w:ascii="Cambria Math" w:hAnsi="Cambria Math"/>
                        <w:i/>
                      </w:rPr>
                    </m:ctrlPr>
                  </m:sSupPr>
                  <m:e>
                    <m:r>
                      <w:rPr>
                        <w:rFonts w:ascii="Cambria Math" w:hAnsi="Cambria Math"/>
                      </w:rPr>
                      <m:t>Y</m:t>
                    </m:r>
                  </m:e>
                  <m:sup>
                    <m:r>
                      <w:rPr>
                        <w:rFonts w:ascii="Cambria Math" w:hAnsi="Cambria Math"/>
                      </w:rPr>
                      <m:t>m</m:t>
                    </m:r>
                  </m:sup>
                </m:sSup>
                <m:r>
                  <w:rPr>
                    <w:rFonts w:ascii="Cambria Math" w:hAnsi="Cambria Math"/>
                  </w:rPr>
                  <m:t xml:space="preserve">        ∀m</m:t>
                </m:r>
              </m:oMath>
            </m:oMathPara>
          </w:p>
        </w:tc>
        <w:tc>
          <w:tcPr>
            <w:tcW w:w="3118" w:type="dxa"/>
            <w:vAlign w:val="center"/>
          </w:tcPr>
          <w:p w14:paraId="4955F510" w14:textId="77777777" w:rsidR="00CF7821" w:rsidRDefault="00CF7821" w:rsidP="00254BCB">
            <w:pPr>
              <w:pStyle w:val="BodyText1"/>
              <w:ind w:left="0"/>
              <w:jc w:val="center"/>
            </w:pPr>
            <w:r>
              <w:t>(2)</w:t>
            </w:r>
          </w:p>
        </w:tc>
      </w:tr>
    </w:tbl>
    <w:p w14:paraId="3593FFFD" w14:textId="77777777" w:rsidR="00B97A54" w:rsidRDefault="00B97A54" w:rsidP="00CF7821">
      <w:pPr>
        <w:jc w:val="both"/>
        <w:outlineLvl w:val="0"/>
        <w:rPr>
          <w:rFonts w:cs="Arial"/>
          <w:szCs w:val="22"/>
        </w:rPr>
      </w:pPr>
    </w:p>
    <w:p w14:paraId="05E15571" w14:textId="77777777" w:rsidR="00F17FEE" w:rsidRDefault="00CF7821" w:rsidP="00CF7821">
      <w:pPr>
        <w:jc w:val="both"/>
        <w:outlineLvl w:val="0"/>
        <w:rPr>
          <w:rFonts w:cs="Arial"/>
          <w:szCs w:val="22"/>
        </w:rPr>
      </w:pPr>
      <w:r w:rsidRPr="00CF7821">
        <w:rPr>
          <w:rFonts w:cs="Arial"/>
          <w:szCs w:val="22"/>
        </w:rPr>
        <w:t xml:space="preserve">Where </w:t>
      </w:r>
      <m:oMath>
        <m:sSup>
          <m:sSupPr>
            <m:ctrlPr>
              <w:rPr>
                <w:rFonts w:ascii="Cambria Math" w:hAnsi="Cambria Math"/>
                <w:i/>
              </w:rPr>
            </m:ctrlPr>
          </m:sSupPr>
          <m:e>
            <m:r>
              <w:rPr>
                <w:rFonts w:ascii="Cambria Math" w:hAnsi="Cambria Math"/>
              </w:rPr>
              <m:t>a</m:t>
            </m:r>
          </m:e>
          <m:sup>
            <m:r>
              <w:rPr>
                <w:rFonts w:ascii="Cambria Math" w:hAnsi="Cambria Math"/>
              </w:rPr>
              <m:t>mn</m:t>
            </m:r>
          </m:sup>
        </m:sSup>
      </m:oMath>
      <w:r w:rsidRPr="00CF7821">
        <w:rPr>
          <w:rFonts w:cs="Arial"/>
          <w:szCs w:val="22"/>
        </w:rPr>
        <w:t xml:space="preserve"> is a technical coefficient that represents the amount of product </w:t>
      </w:r>
      <m:oMath>
        <m:r>
          <w:rPr>
            <w:rFonts w:ascii="Cambria Math" w:hAnsi="Cambria Math"/>
          </w:rPr>
          <m:t>m</m:t>
        </m:r>
      </m:oMath>
      <w:r w:rsidRPr="00CF7821">
        <w:rPr>
          <w:rFonts w:cs="Arial"/>
          <w:szCs w:val="22"/>
        </w:rPr>
        <w:t xml:space="preserve"> required to produce one dollar of product from </w:t>
      </w:r>
      <w:proofErr w:type="gramStart"/>
      <w:r w:rsidRPr="00CF7821">
        <w:rPr>
          <w:rFonts w:cs="Arial"/>
          <w:szCs w:val="22"/>
        </w:rPr>
        <w:t xml:space="preserve">sector </w:t>
      </w:r>
      <w:proofErr w:type="gramEnd"/>
      <m:oMath>
        <m:r>
          <w:rPr>
            <w:rFonts w:ascii="Cambria Math" w:hAnsi="Cambria Math"/>
          </w:rPr>
          <m:t>n</m:t>
        </m:r>
      </m:oMath>
      <w:r w:rsidRPr="00CF7821">
        <w:rPr>
          <w:rFonts w:cs="Arial"/>
          <w:szCs w:val="22"/>
        </w:rPr>
        <w:t xml:space="preserve">. The set of technical coefficients define the production technology and it is assumed that it remains fixed for the period of model application; this feature implies that there is no substitution between the factors of production. </w:t>
      </w:r>
    </w:p>
    <w:p w14:paraId="30978999" w14:textId="77777777" w:rsidR="00F17FEE" w:rsidRDefault="00F17FEE" w:rsidP="00CF7821">
      <w:pPr>
        <w:jc w:val="both"/>
        <w:outlineLvl w:val="0"/>
        <w:rPr>
          <w:rFonts w:cs="Arial"/>
          <w:szCs w:val="22"/>
        </w:rPr>
      </w:pPr>
    </w:p>
    <w:p w14:paraId="408684BD" w14:textId="77777777" w:rsidR="00CF7821" w:rsidRDefault="00CF7821" w:rsidP="00CF7821">
      <w:pPr>
        <w:jc w:val="both"/>
        <w:outlineLvl w:val="0"/>
        <w:rPr>
          <w:rFonts w:cs="Arial"/>
          <w:szCs w:val="22"/>
        </w:rPr>
      </w:pPr>
      <w:r w:rsidRPr="00CF7821">
        <w:rPr>
          <w:rFonts w:cs="Arial"/>
          <w:szCs w:val="22"/>
        </w:rPr>
        <w:t>The solution for the production levels vector expressed in matrix notation is:</w:t>
      </w:r>
    </w:p>
    <w:p w14:paraId="09D0631E" w14:textId="77777777" w:rsidR="00B97A54" w:rsidRDefault="00B97A54" w:rsidP="00CF7821">
      <w:pPr>
        <w:jc w:val="both"/>
        <w:outlineLvl w:val="0"/>
        <w:rPr>
          <w:rFonts w:cs="Arial"/>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3118"/>
      </w:tblGrid>
      <w:tr w:rsidR="00CF7821" w14:paraId="0C9A9A1B" w14:textId="77777777" w:rsidTr="00254BCB">
        <w:trPr>
          <w:jc w:val="center"/>
        </w:trPr>
        <w:tc>
          <w:tcPr>
            <w:tcW w:w="3118" w:type="dxa"/>
            <w:vAlign w:val="center"/>
          </w:tcPr>
          <w:p w14:paraId="07A23340" w14:textId="77777777" w:rsidR="00CF7821" w:rsidRDefault="00CF7821" w:rsidP="00254BCB">
            <w:pPr>
              <w:pStyle w:val="BodyText1"/>
              <w:ind w:left="0"/>
              <w:jc w:val="center"/>
            </w:pPr>
            <w:r>
              <w:t xml:space="preserve"> </w:t>
            </w:r>
            <m:oMath>
              <m:r>
                <w:rPr>
                  <w:rFonts w:ascii="Cambria Math" w:hAnsi="Cambria Math"/>
                </w:rPr>
                <m:t>X=</m:t>
              </m:r>
              <m:sSup>
                <m:sSupPr>
                  <m:ctrlPr>
                    <w:rPr>
                      <w:rFonts w:ascii="Cambria Math" w:hAnsi="Cambria Math"/>
                      <w:i/>
                    </w:rPr>
                  </m:ctrlPr>
                </m:sSupPr>
                <m:e>
                  <m:d>
                    <m:dPr>
                      <m:ctrlPr>
                        <w:rPr>
                          <w:rFonts w:ascii="Cambria Math" w:hAnsi="Cambria Math"/>
                          <w:i/>
                        </w:rPr>
                      </m:ctrlPr>
                    </m:dPr>
                    <m:e>
                      <m:r>
                        <w:rPr>
                          <w:rFonts w:ascii="Cambria Math" w:hAnsi="Cambria Math"/>
                        </w:rPr>
                        <m:t>I-A</m:t>
                      </m:r>
                    </m:e>
                  </m:d>
                </m:e>
                <m:sup>
                  <m:r>
                    <w:rPr>
                      <w:rFonts w:ascii="Cambria Math" w:hAnsi="Cambria Math"/>
                    </w:rPr>
                    <m:t>-1</m:t>
                  </m:r>
                </m:sup>
              </m:sSup>
              <m:r>
                <w:rPr>
                  <w:rFonts w:ascii="Cambria Math" w:hAnsi="Cambria Math"/>
                </w:rPr>
                <m:t>Y</m:t>
              </m:r>
            </m:oMath>
          </w:p>
        </w:tc>
        <w:tc>
          <w:tcPr>
            <w:tcW w:w="3118" w:type="dxa"/>
            <w:vAlign w:val="center"/>
          </w:tcPr>
          <w:p w14:paraId="7494D41F" w14:textId="77777777" w:rsidR="00CF7821" w:rsidRDefault="00CF7821" w:rsidP="00254BCB">
            <w:pPr>
              <w:pStyle w:val="BodyText1"/>
              <w:ind w:left="0"/>
              <w:jc w:val="center"/>
            </w:pPr>
            <w:r>
              <w:t>(3)</w:t>
            </w:r>
          </w:p>
        </w:tc>
      </w:tr>
    </w:tbl>
    <w:p w14:paraId="40E19F65" w14:textId="77777777" w:rsidR="00B97A54" w:rsidRDefault="00B97A54" w:rsidP="00F17FEE">
      <w:pPr>
        <w:jc w:val="both"/>
        <w:outlineLvl w:val="0"/>
        <w:rPr>
          <w:rFonts w:cs="Arial"/>
          <w:szCs w:val="22"/>
        </w:rPr>
      </w:pPr>
    </w:p>
    <w:p w14:paraId="5ECC6A76" w14:textId="77777777" w:rsidR="00CF7821" w:rsidRPr="00F17FEE" w:rsidRDefault="00CF7821" w:rsidP="00F17FEE">
      <w:pPr>
        <w:jc w:val="both"/>
        <w:outlineLvl w:val="0"/>
        <w:rPr>
          <w:rFonts w:cs="Arial"/>
          <w:szCs w:val="22"/>
        </w:rPr>
      </w:pPr>
      <w:r w:rsidRPr="00F17FEE">
        <w:rPr>
          <w:rFonts w:cs="Arial"/>
          <w:szCs w:val="22"/>
        </w:rPr>
        <w:t xml:space="preserve">Where </w:t>
      </w:r>
      <m:oMath>
        <m:r>
          <w:rPr>
            <w:rFonts w:ascii="Cambria Math" w:hAnsi="Cambria Math" w:cs="Arial"/>
            <w:szCs w:val="22"/>
          </w:rPr>
          <m:t>Y</m:t>
        </m:r>
      </m:oMath>
      <w:r w:rsidRPr="00F17FEE">
        <w:rPr>
          <w:rFonts w:cs="Arial"/>
          <w:szCs w:val="22"/>
        </w:rPr>
        <w:t xml:space="preserve"> represents the vector of final demand, </w:t>
      </w:r>
      <m:oMath>
        <m:r>
          <w:rPr>
            <w:rFonts w:ascii="Cambria Math" w:hAnsi="Cambria Math" w:cs="Arial"/>
            <w:szCs w:val="22"/>
          </w:rPr>
          <m:t>I</m:t>
        </m:r>
      </m:oMath>
      <w:r w:rsidRPr="00F17FEE">
        <w:rPr>
          <w:rFonts w:cs="Arial"/>
          <w:szCs w:val="22"/>
        </w:rPr>
        <w:t xml:space="preserve"> is the identity matrix and </w:t>
      </w:r>
      <m:oMath>
        <m:r>
          <w:rPr>
            <w:rFonts w:ascii="Cambria Math" w:hAnsi="Cambria Math" w:cs="Arial"/>
            <w:szCs w:val="22"/>
          </w:rPr>
          <m:t>A</m:t>
        </m:r>
      </m:oMath>
      <w:r w:rsidRPr="00F17FEE">
        <w:rPr>
          <w:rFonts w:cs="Arial"/>
          <w:szCs w:val="22"/>
        </w:rPr>
        <w:t xml:space="preserve"> is the technical coefficients matrix. The equilibrium solution is found given that the </w:t>
      </w:r>
      <m:oMath>
        <m:d>
          <m:dPr>
            <m:ctrlPr>
              <w:rPr>
                <w:rFonts w:ascii="Cambria Math" w:hAnsi="Cambria Math" w:cs="Arial"/>
                <w:szCs w:val="22"/>
              </w:rPr>
            </m:ctrlPr>
          </m:dPr>
          <m:e>
            <m:r>
              <w:rPr>
                <w:rFonts w:ascii="Cambria Math" w:hAnsi="Cambria Math" w:cs="Arial"/>
                <w:szCs w:val="22"/>
              </w:rPr>
              <m:t>I</m:t>
            </m:r>
            <m:r>
              <m:rPr>
                <m:sty m:val="p"/>
              </m:rPr>
              <w:rPr>
                <w:rFonts w:ascii="Cambria Math" w:hAnsi="Cambria Math" w:cs="Arial"/>
                <w:szCs w:val="22"/>
              </w:rPr>
              <m:t>-</m:t>
            </m:r>
            <m:r>
              <w:rPr>
                <w:rFonts w:ascii="Cambria Math" w:hAnsi="Cambria Math" w:cs="Arial"/>
                <w:szCs w:val="22"/>
              </w:rPr>
              <m:t>A</m:t>
            </m:r>
          </m:e>
        </m:d>
      </m:oMath>
      <w:r w:rsidRPr="00F17FEE">
        <w:rPr>
          <w:rFonts w:cs="Arial"/>
          <w:szCs w:val="22"/>
        </w:rPr>
        <w:t xml:space="preserve"> matrix is non-singular.</w:t>
      </w:r>
    </w:p>
    <w:p w14:paraId="631D1D23" w14:textId="77777777" w:rsidR="00436FE6" w:rsidRDefault="00436FE6" w:rsidP="00F17FEE">
      <w:pPr>
        <w:jc w:val="both"/>
        <w:outlineLvl w:val="0"/>
        <w:rPr>
          <w:rFonts w:cs="Arial"/>
          <w:szCs w:val="22"/>
        </w:rPr>
      </w:pPr>
    </w:p>
    <w:p w14:paraId="1A773BBC" w14:textId="77777777" w:rsidR="00B97A54" w:rsidRDefault="00B97A54" w:rsidP="00F17FEE">
      <w:pPr>
        <w:jc w:val="both"/>
        <w:outlineLvl w:val="0"/>
        <w:rPr>
          <w:rFonts w:cs="Arial"/>
          <w:szCs w:val="22"/>
        </w:rPr>
      </w:pPr>
    </w:p>
    <w:p w14:paraId="6B3B59DC" w14:textId="77777777" w:rsidR="00B97A54" w:rsidRDefault="00B97A54" w:rsidP="00F17FEE">
      <w:pPr>
        <w:jc w:val="both"/>
        <w:outlineLvl w:val="0"/>
        <w:rPr>
          <w:rFonts w:cs="Arial"/>
          <w:szCs w:val="22"/>
        </w:rPr>
      </w:pPr>
    </w:p>
    <w:p w14:paraId="5EF34076" w14:textId="77777777" w:rsidR="00B97A54" w:rsidRDefault="00B97A54" w:rsidP="00F17FEE">
      <w:pPr>
        <w:jc w:val="both"/>
        <w:outlineLvl w:val="0"/>
        <w:rPr>
          <w:rFonts w:cs="Arial"/>
          <w:szCs w:val="22"/>
        </w:rPr>
      </w:pPr>
    </w:p>
    <w:p w14:paraId="34FCCC4E" w14:textId="77777777" w:rsidR="00B97A54" w:rsidRDefault="00B97A54" w:rsidP="00F17FEE">
      <w:pPr>
        <w:jc w:val="both"/>
        <w:outlineLvl w:val="0"/>
        <w:rPr>
          <w:rFonts w:cs="Arial"/>
          <w:szCs w:val="22"/>
        </w:rPr>
      </w:pPr>
    </w:p>
    <w:p w14:paraId="61369337" w14:textId="77777777" w:rsidR="00B97A54" w:rsidRDefault="00B97A54" w:rsidP="00F17FEE">
      <w:pPr>
        <w:jc w:val="both"/>
        <w:outlineLvl w:val="0"/>
        <w:rPr>
          <w:rFonts w:cs="Arial"/>
          <w:szCs w:val="22"/>
        </w:rPr>
      </w:pPr>
    </w:p>
    <w:p w14:paraId="05BA9EBE" w14:textId="77777777" w:rsidR="00B97A54" w:rsidRDefault="00B97A54" w:rsidP="00F17FEE">
      <w:pPr>
        <w:jc w:val="both"/>
        <w:outlineLvl w:val="0"/>
        <w:rPr>
          <w:rFonts w:cs="Arial"/>
          <w:szCs w:val="22"/>
        </w:rPr>
      </w:pPr>
    </w:p>
    <w:p w14:paraId="636898DE" w14:textId="77777777" w:rsidR="00B97A54" w:rsidRDefault="00B97A54" w:rsidP="00F17FEE">
      <w:pPr>
        <w:jc w:val="both"/>
        <w:outlineLvl w:val="0"/>
        <w:rPr>
          <w:rFonts w:cs="Arial"/>
          <w:szCs w:val="22"/>
        </w:rPr>
      </w:pPr>
    </w:p>
    <w:p w14:paraId="3EBD5F2E" w14:textId="77777777" w:rsidR="00B97A54" w:rsidRDefault="00B97A54" w:rsidP="00F17FEE">
      <w:pPr>
        <w:jc w:val="both"/>
        <w:outlineLvl w:val="0"/>
        <w:rPr>
          <w:rFonts w:cs="Arial"/>
          <w:szCs w:val="22"/>
        </w:rPr>
      </w:pPr>
    </w:p>
    <w:p w14:paraId="01F93C16" w14:textId="77777777" w:rsidR="00B97A54" w:rsidRDefault="00B97A54" w:rsidP="00F17FEE">
      <w:pPr>
        <w:jc w:val="both"/>
        <w:outlineLvl w:val="0"/>
        <w:rPr>
          <w:rFonts w:cs="Arial"/>
          <w:szCs w:val="22"/>
        </w:rPr>
      </w:pPr>
    </w:p>
    <w:p w14:paraId="5182B956" w14:textId="77777777" w:rsidR="00B97A54" w:rsidRDefault="00B97A54" w:rsidP="00F17FEE">
      <w:pPr>
        <w:jc w:val="both"/>
        <w:outlineLvl w:val="0"/>
        <w:rPr>
          <w:rFonts w:cs="Arial"/>
          <w:szCs w:val="22"/>
        </w:rPr>
      </w:pPr>
    </w:p>
    <w:p w14:paraId="1F0CEB91" w14:textId="77777777" w:rsidR="00B97A54" w:rsidRDefault="00B97A54" w:rsidP="00F17FEE">
      <w:pPr>
        <w:jc w:val="both"/>
        <w:outlineLvl w:val="0"/>
        <w:rPr>
          <w:rFonts w:cs="Arial"/>
          <w:szCs w:val="22"/>
        </w:rPr>
      </w:pPr>
    </w:p>
    <w:p w14:paraId="4DB5E38E" w14:textId="77777777" w:rsidR="00B97A54" w:rsidRDefault="00B97A54" w:rsidP="00F17FEE">
      <w:pPr>
        <w:jc w:val="both"/>
        <w:outlineLvl w:val="0"/>
        <w:rPr>
          <w:rFonts w:cs="Arial"/>
          <w:szCs w:val="22"/>
        </w:rPr>
      </w:pPr>
    </w:p>
    <w:p w14:paraId="6EF3B39C" w14:textId="77777777" w:rsidR="00436FE6" w:rsidRDefault="00436FE6" w:rsidP="00F17FEE">
      <w:pPr>
        <w:jc w:val="both"/>
        <w:outlineLvl w:val="0"/>
        <w:rPr>
          <w:rFonts w:cs="Arial"/>
          <w:szCs w:val="22"/>
        </w:rPr>
      </w:pPr>
      <w:r>
        <w:rPr>
          <w:rFonts w:cs="Arial"/>
          <w:b/>
          <w:szCs w:val="22"/>
        </w:rPr>
        <w:lastRenderedPageBreak/>
        <w:t>Random Utility Based Multiregi</w:t>
      </w:r>
      <w:r w:rsidR="0049668C">
        <w:rPr>
          <w:rFonts w:cs="Arial"/>
          <w:b/>
          <w:szCs w:val="22"/>
        </w:rPr>
        <w:t xml:space="preserve">onal Input Output (RUBMRIO) </w:t>
      </w:r>
      <w:r w:rsidR="00945B19">
        <w:rPr>
          <w:rFonts w:cs="Arial"/>
          <w:b/>
          <w:szCs w:val="22"/>
        </w:rPr>
        <w:t>model description</w:t>
      </w:r>
    </w:p>
    <w:p w14:paraId="5A4E7410" w14:textId="77777777" w:rsidR="00125E17" w:rsidRDefault="00125E17" w:rsidP="00F17FEE">
      <w:pPr>
        <w:jc w:val="both"/>
        <w:outlineLvl w:val="0"/>
        <w:rPr>
          <w:rFonts w:cs="Arial"/>
          <w:b/>
          <w:i/>
          <w:szCs w:val="22"/>
        </w:rPr>
      </w:pPr>
    </w:p>
    <w:p w14:paraId="163E5718" w14:textId="77777777" w:rsidR="0087599A" w:rsidRPr="00945B19" w:rsidRDefault="0087599A" w:rsidP="00F17FEE">
      <w:pPr>
        <w:jc w:val="both"/>
        <w:outlineLvl w:val="0"/>
        <w:rPr>
          <w:rFonts w:cs="Arial"/>
          <w:b/>
          <w:i/>
          <w:szCs w:val="22"/>
        </w:rPr>
      </w:pPr>
      <w:r>
        <w:rPr>
          <w:rFonts w:cs="Arial"/>
          <w:b/>
          <w:i/>
          <w:szCs w:val="22"/>
        </w:rPr>
        <w:t>Notation</w:t>
      </w:r>
    </w:p>
    <w:p w14:paraId="709FEB17" w14:textId="77777777" w:rsidR="00945B19" w:rsidRDefault="00945B19" w:rsidP="00F17FEE">
      <w:pPr>
        <w:jc w:val="both"/>
        <w:outlineLvl w:val="0"/>
        <w:rPr>
          <w:rFonts w:cs="Arial"/>
          <w:szCs w:val="22"/>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7502"/>
      </w:tblGrid>
      <w:tr w:rsidR="00945B19" w14:paraId="07A7D9DE" w14:textId="77777777" w:rsidTr="00945B19">
        <w:tc>
          <w:tcPr>
            <w:tcW w:w="2127" w:type="dxa"/>
          </w:tcPr>
          <w:p w14:paraId="420AB41C" w14:textId="77777777" w:rsidR="00945B19" w:rsidRPr="0087599A" w:rsidRDefault="008C01A3" w:rsidP="00326D14">
            <w:pPr>
              <w:jc w:val="both"/>
              <w:outlineLvl w:val="0"/>
              <w:rPr>
                <w:rFonts w:cs="Arial"/>
                <w:szCs w:val="22"/>
              </w:rPr>
            </w:pPr>
            <m:oMathPara>
              <m:oMathParaPr>
                <m:jc m:val="left"/>
              </m:oMathParaPr>
              <m:oMath>
                <m:r>
                  <w:rPr>
                    <w:rFonts w:ascii="Cambria Math" w:hAnsi="Cambria Math" w:cs="Arial"/>
                    <w:szCs w:val="22"/>
                  </w:rPr>
                  <m:t>m</m:t>
                </m:r>
              </m:oMath>
            </m:oMathPara>
          </w:p>
        </w:tc>
        <w:tc>
          <w:tcPr>
            <w:tcW w:w="7502" w:type="dxa"/>
          </w:tcPr>
          <w:p w14:paraId="2FAC7F99" w14:textId="77777777" w:rsidR="00945B19" w:rsidRPr="008C01A3" w:rsidRDefault="00945B19" w:rsidP="00326D14">
            <w:pPr>
              <w:jc w:val="both"/>
              <w:outlineLvl w:val="0"/>
              <w:rPr>
                <w:rFonts w:cs="Arial"/>
                <w:i/>
                <w:sz w:val="20"/>
                <w:szCs w:val="22"/>
              </w:rPr>
            </w:pPr>
            <w:r w:rsidRPr="008C01A3">
              <w:rPr>
                <w:rFonts w:cs="Arial"/>
                <w:i/>
                <w:sz w:val="20"/>
                <w:szCs w:val="22"/>
              </w:rPr>
              <w:t>producing sector</w:t>
            </w:r>
          </w:p>
        </w:tc>
      </w:tr>
      <w:tr w:rsidR="00945B19" w14:paraId="19BBF2E7" w14:textId="77777777" w:rsidTr="00945B19">
        <w:tc>
          <w:tcPr>
            <w:tcW w:w="2127" w:type="dxa"/>
          </w:tcPr>
          <w:p w14:paraId="4D5DBF7D" w14:textId="77777777" w:rsidR="00945B19" w:rsidRPr="0087599A" w:rsidRDefault="008C01A3" w:rsidP="00326D14">
            <w:pPr>
              <w:jc w:val="both"/>
              <w:outlineLvl w:val="0"/>
              <w:rPr>
                <w:rFonts w:cs="Arial"/>
                <w:szCs w:val="22"/>
              </w:rPr>
            </w:pPr>
            <m:oMathPara>
              <m:oMathParaPr>
                <m:jc m:val="left"/>
              </m:oMathParaPr>
              <m:oMath>
                <m:r>
                  <w:rPr>
                    <w:rFonts w:ascii="Cambria Math" w:hAnsi="Cambria Math" w:cs="Arial"/>
                    <w:szCs w:val="22"/>
                  </w:rPr>
                  <m:t>n</m:t>
                </m:r>
              </m:oMath>
            </m:oMathPara>
          </w:p>
        </w:tc>
        <w:tc>
          <w:tcPr>
            <w:tcW w:w="7502" w:type="dxa"/>
          </w:tcPr>
          <w:p w14:paraId="2087EDD6" w14:textId="77777777" w:rsidR="00945B19" w:rsidRPr="008C01A3" w:rsidRDefault="00945B19" w:rsidP="00326D14">
            <w:pPr>
              <w:jc w:val="both"/>
              <w:outlineLvl w:val="0"/>
              <w:rPr>
                <w:rFonts w:cs="Arial"/>
                <w:i/>
                <w:sz w:val="20"/>
                <w:szCs w:val="22"/>
              </w:rPr>
            </w:pPr>
            <w:r w:rsidRPr="008C01A3">
              <w:rPr>
                <w:rFonts w:cs="Arial"/>
                <w:i/>
                <w:sz w:val="20"/>
                <w:szCs w:val="22"/>
              </w:rPr>
              <w:t>purchasing sector</w:t>
            </w:r>
          </w:p>
        </w:tc>
      </w:tr>
      <w:tr w:rsidR="00945B19" w14:paraId="72E2CAA8" w14:textId="77777777" w:rsidTr="00945B19">
        <w:tc>
          <w:tcPr>
            <w:tcW w:w="2127" w:type="dxa"/>
          </w:tcPr>
          <w:p w14:paraId="5A623852" w14:textId="77777777" w:rsidR="00945B19" w:rsidRPr="0087599A" w:rsidRDefault="008C01A3" w:rsidP="00326D14">
            <w:pPr>
              <w:jc w:val="both"/>
              <w:outlineLvl w:val="0"/>
              <w:rPr>
                <w:rFonts w:cs="Arial"/>
                <w:szCs w:val="22"/>
              </w:rPr>
            </w:pPr>
            <m:oMathPara>
              <m:oMathParaPr>
                <m:jc m:val="left"/>
              </m:oMathParaPr>
              <m:oMath>
                <m:r>
                  <w:rPr>
                    <w:rFonts w:ascii="Cambria Math" w:hAnsi="Cambria Math" w:cs="Arial"/>
                    <w:szCs w:val="22"/>
                  </w:rPr>
                  <m:t>i</m:t>
                </m:r>
                <m:r>
                  <m:rPr>
                    <m:sty m:val="p"/>
                  </m:rPr>
                  <w:rPr>
                    <w:rFonts w:ascii="Cambria Math" w:hAnsi="Cambria Math" w:cs="Arial"/>
                    <w:szCs w:val="22"/>
                  </w:rPr>
                  <m:t xml:space="preserve">, </m:t>
                </m:r>
                <m:r>
                  <w:rPr>
                    <w:rFonts w:ascii="Cambria Math" w:hAnsi="Cambria Math" w:cs="Arial"/>
                    <w:szCs w:val="22"/>
                  </w:rPr>
                  <m:t>j</m:t>
                </m:r>
                <m:r>
                  <m:rPr>
                    <m:sty m:val="p"/>
                  </m:rPr>
                  <w:rPr>
                    <w:rFonts w:ascii="Cambria Math" w:hAnsi="Cambria Math" w:cs="Arial"/>
                    <w:szCs w:val="22"/>
                  </w:rPr>
                  <m:t xml:space="preserve">, </m:t>
                </m:r>
                <m:r>
                  <w:rPr>
                    <w:rFonts w:ascii="Cambria Math" w:hAnsi="Cambria Math" w:cs="Arial"/>
                    <w:szCs w:val="22"/>
                  </w:rPr>
                  <m:t>k</m:t>
                </m:r>
                <m:r>
                  <m:rPr>
                    <m:sty m:val="p"/>
                  </m:rPr>
                  <w:rPr>
                    <w:rFonts w:ascii="Cambria Math" w:hAnsi="Cambria Math" w:cs="Arial"/>
                    <w:szCs w:val="22"/>
                  </w:rPr>
                  <m:t>=1,2,…,</m:t>
                </m:r>
                <m:r>
                  <w:rPr>
                    <w:rFonts w:ascii="Cambria Math" w:hAnsi="Cambria Math" w:cs="Arial"/>
                    <w:szCs w:val="22"/>
                  </w:rPr>
                  <m:t>J</m:t>
                </m:r>
              </m:oMath>
            </m:oMathPara>
          </w:p>
        </w:tc>
        <w:tc>
          <w:tcPr>
            <w:tcW w:w="7502" w:type="dxa"/>
          </w:tcPr>
          <w:p w14:paraId="051788AB" w14:textId="77777777" w:rsidR="00945B19" w:rsidRPr="008C01A3" w:rsidRDefault="00945B19" w:rsidP="00326D14">
            <w:pPr>
              <w:jc w:val="both"/>
              <w:outlineLvl w:val="0"/>
              <w:rPr>
                <w:rFonts w:cs="Arial"/>
                <w:i/>
                <w:sz w:val="20"/>
                <w:szCs w:val="22"/>
              </w:rPr>
            </w:pPr>
            <w:r w:rsidRPr="008C01A3">
              <w:rPr>
                <w:rFonts w:cs="Arial"/>
                <w:i/>
                <w:sz w:val="20"/>
                <w:szCs w:val="22"/>
              </w:rPr>
              <w:t>regions</w:t>
            </w:r>
          </w:p>
        </w:tc>
      </w:tr>
      <w:tr w:rsidR="00945B19" w14:paraId="19334638" w14:textId="77777777" w:rsidTr="00945B19">
        <w:tc>
          <w:tcPr>
            <w:tcW w:w="2127" w:type="dxa"/>
          </w:tcPr>
          <w:p w14:paraId="01857443" w14:textId="77777777" w:rsidR="00945B19" w:rsidRPr="0087599A" w:rsidRDefault="00722C0F" w:rsidP="00326D14">
            <w:pPr>
              <w:jc w:val="both"/>
              <w:outlineLvl w:val="0"/>
              <w:rPr>
                <w:rFonts w:cs="Arial"/>
                <w:szCs w:val="22"/>
              </w:rPr>
            </w:pPr>
            <m:oMathPara>
              <m:oMathParaPr>
                <m:jc m:val="left"/>
              </m:oMathParaPr>
              <m:oMath>
                <m:sSubSup>
                  <m:sSubSupPr>
                    <m:ctrlPr>
                      <w:rPr>
                        <w:rFonts w:ascii="Cambria Math" w:hAnsi="Cambria Math" w:cs="Arial"/>
                        <w:szCs w:val="22"/>
                      </w:rPr>
                    </m:ctrlPr>
                  </m:sSubSupPr>
                  <m:e>
                    <m:r>
                      <w:rPr>
                        <w:rFonts w:ascii="Cambria Math" w:hAnsi="Cambria Math" w:cs="Arial"/>
                        <w:szCs w:val="22"/>
                      </w:rPr>
                      <m:t>X</m:t>
                    </m:r>
                  </m:e>
                  <m:sub>
                    <m:r>
                      <w:rPr>
                        <w:rFonts w:ascii="Cambria Math" w:hAnsi="Cambria Math" w:cs="Arial"/>
                        <w:szCs w:val="22"/>
                      </w:rPr>
                      <m:t>i</m:t>
                    </m:r>
                  </m:sub>
                  <m:sup>
                    <m:r>
                      <w:rPr>
                        <w:rFonts w:ascii="Cambria Math" w:hAnsi="Cambria Math" w:cs="Arial"/>
                        <w:szCs w:val="22"/>
                      </w:rPr>
                      <m:t>m</m:t>
                    </m:r>
                  </m:sup>
                </m:sSubSup>
              </m:oMath>
            </m:oMathPara>
          </w:p>
        </w:tc>
        <w:tc>
          <w:tcPr>
            <w:tcW w:w="7502" w:type="dxa"/>
          </w:tcPr>
          <w:p w14:paraId="77C9F119" w14:textId="77777777" w:rsidR="00945B19" w:rsidRPr="008C01A3" w:rsidRDefault="00945B19" w:rsidP="00326D14">
            <w:pPr>
              <w:jc w:val="both"/>
              <w:outlineLvl w:val="0"/>
              <w:rPr>
                <w:rFonts w:cs="Arial"/>
                <w:i/>
                <w:sz w:val="20"/>
                <w:szCs w:val="22"/>
              </w:rPr>
            </w:pPr>
            <w:r w:rsidRPr="008C01A3">
              <w:rPr>
                <w:rFonts w:cs="Arial"/>
                <w:i/>
                <w:sz w:val="20"/>
                <w:szCs w:val="22"/>
              </w:rPr>
              <w:t xml:space="preserve">total output of sector m in region </w:t>
            </w:r>
            <w:proofErr w:type="spellStart"/>
            <w:r w:rsidRPr="008C01A3">
              <w:rPr>
                <w:rFonts w:cs="Arial"/>
                <w:i/>
                <w:sz w:val="20"/>
                <w:szCs w:val="22"/>
              </w:rPr>
              <w:t>i</w:t>
            </w:r>
            <w:proofErr w:type="spellEnd"/>
          </w:p>
        </w:tc>
      </w:tr>
      <w:tr w:rsidR="00945B19" w14:paraId="7F2813C3" w14:textId="77777777" w:rsidTr="00945B19">
        <w:tc>
          <w:tcPr>
            <w:tcW w:w="2127" w:type="dxa"/>
          </w:tcPr>
          <w:p w14:paraId="5F199434" w14:textId="77777777" w:rsidR="00945B19" w:rsidRPr="0087599A" w:rsidRDefault="00722C0F" w:rsidP="00326D14">
            <w:pPr>
              <w:jc w:val="both"/>
              <w:outlineLvl w:val="0"/>
              <w:rPr>
                <w:rFonts w:cs="Arial"/>
                <w:szCs w:val="22"/>
              </w:rPr>
            </w:pPr>
            <m:oMathPara>
              <m:oMathParaPr>
                <m:jc m:val="left"/>
              </m:oMathParaPr>
              <m:oMath>
                <m:sSubSup>
                  <m:sSubSupPr>
                    <m:ctrlPr>
                      <w:rPr>
                        <w:rFonts w:ascii="Cambria Math" w:hAnsi="Cambria Math" w:cs="Arial"/>
                        <w:szCs w:val="22"/>
                      </w:rPr>
                    </m:ctrlPr>
                  </m:sSubSupPr>
                  <m:e>
                    <m:r>
                      <w:rPr>
                        <w:rFonts w:ascii="Cambria Math" w:hAnsi="Cambria Math" w:cs="Arial"/>
                        <w:szCs w:val="22"/>
                      </w:rPr>
                      <m:t>Y</m:t>
                    </m:r>
                  </m:e>
                  <m:sub>
                    <m:r>
                      <w:rPr>
                        <w:rFonts w:ascii="Cambria Math" w:hAnsi="Cambria Math" w:cs="Arial"/>
                        <w:szCs w:val="22"/>
                      </w:rPr>
                      <m:t>j</m:t>
                    </m:r>
                  </m:sub>
                  <m:sup>
                    <m:r>
                      <w:rPr>
                        <w:rFonts w:ascii="Cambria Math" w:hAnsi="Cambria Math" w:cs="Arial"/>
                        <w:szCs w:val="22"/>
                      </w:rPr>
                      <m:t>m</m:t>
                    </m:r>
                  </m:sup>
                </m:sSubSup>
              </m:oMath>
            </m:oMathPara>
          </w:p>
        </w:tc>
        <w:tc>
          <w:tcPr>
            <w:tcW w:w="7502" w:type="dxa"/>
          </w:tcPr>
          <w:p w14:paraId="73578221" w14:textId="77777777" w:rsidR="00945B19" w:rsidRPr="008C01A3" w:rsidRDefault="00945B19" w:rsidP="00326D14">
            <w:pPr>
              <w:jc w:val="both"/>
              <w:outlineLvl w:val="0"/>
              <w:rPr>
                <w:rFonts w:cs="Arial"/>
                <w:i/>
                <w:sz w:val="20"/>
                <w:szCs w:val="22"/>
              </w:rPr>
            </w:pPr>
            <w:r w:rsidRPr="008C01A3">
              <w:rPr>
                <w:rFonts w:cs="Arial"/>
                <w:i/>
                <w:sz w:val="20"/>
                <w:szCs w:val="22"/>
              </w:rPr>
              <w:t>final demand of sector m in region j</w:t>
            </w:r>
          </w:p>
        </w:tc>
      </w:tr>
      <w:tr w:rsidR="00945B19" w14:paraId="27FA8838" w14:textId="77777777" w:rsidTr="00945B19">
        <w:tc>
          <w:tcPr>
            <w:tcW w:w="2127" w:type="dxa"/>
          </w:tcPr>
          <w:p w14:paraId="3F8B0FB5" w14:textId="77777777" w:rsidR="00945B19" w:rsidRPr="0087599A" w:rsidRDefault="00722C0F" w:rsidP="00326D14">
            <w:pPr>
              <w:jc w:val="both"/>
              <w:outlineLvl w:val="0"/>
              <w:rPr>
                <w:rFonts w:cs="Arial"/>
                <w:szCs w:val="22"/>
              </w:rPr>
            </w:pPr>
            <m:oMathPara>
              <m:oMathParaPr>
                <m:jc m:val="left"/>
              </m:oMathParaPr>
              <m:oMath>
                <m:sSubSup>
                  <m:sSubSupPr>
                    <m:ctrlPr>
                      <w:rPr>
                        <w:rFonts w:ascii="Cambria Math" w:hAnsi="Cambria Math" w:cs="Arial"/>
                        <w:szCs w:val="22"/>
                      </w:rPr>
                    </m:ctrlPr>
                  </m:sSubSupPr>
                  <m:e>
                    <m:r>
                      <w:rPr>
                        <w:rFonts w:ascii="Cambria Math" w:hAnsi="Cambria Math" w:cs="Arial"/>
                        <w:szCs w:val="22"/>
                      </w:rPr>
                      <m:t>a</m:t>
                    </m:r>
                  </m:e>
                  <m:sub>
                    <m:r>
                      <w:rPr>
                        <w:rFonts w:ascii="Cambria Math" w:hAnsi="Cambria Math" w:cs="Arial"/>
                        <w:szCs w:val="22"/>
                      </w:rPr>
                      <m:t>i</m:t>
                    </m:r>
                  </m:sub>
                  <m:sup>
                    <m:r>
                      <w:rPr>
                        <w:rFonts w:ascii="Cambria Math" w:hAnsi="Cambria Math" w:cs="Arial"/>
                        <w:szCs w:val="22"/>
                      </w:rPr>
                      <m:t>mn</m:t>
                    </m:r>
                  </m:sup>
                </m:sSubSup>
              </m:oMath>
            </m:oMathPara>
          </w:p>
        </w:tc>
        <w:tc>
          <w:tcPr>
            <w:tcW w:w="7502" w:type="dxa"/>
          </w:tcPr>
          <w:p w14:paraId="54E673EF" w14:textId="77777777" w:rsidR="00945B19" w:rsidRPr="008C01A3" w:rsidRDefault="00945B19" w:rsidP="00326D14">
            <w:pPr>
              <w:jc w:val="both"/>
              <w:outlineLvl w:val="0"/>
              <w:rPr>
                <w:rFonts w:cs="Arial"/>
                <w:i/>
                <w:sz w:val="20"/>
                <w:szCs w:val="22"/>
              </w:rPr>
            </w:pPr>
            <w:r w:rsidRPr="008C01A3">
              <w:rPr>
                <w:rFonts w:cs="Arial"/>
                <w:i/>
                <w:sz w:val="20"/>
                <w:szCs w:val="22"/>
              </w:rPr>
              <w:t xml:space="preserve">technical coefficient for production (input m, output n) in region </w:t>
            </w:r>
            <w:proofErr w:type="spellStart"/>
            <w:r w:rsidRPr="008C01A3">
              <w:rPr>
                <w:rFonts w:cs="Arial"/>
                <w:i/>
                <w:sz w:val="20"/>
                <w:szCs w:val="22"/>
              </w:rPr>
              <w:t>i</w:t>
            </w:r>
            <w:proofErr w:type="spellEnd"/>
          </w:p>
        </w:tc>
      </w:tr>
      <w:tr w:rsidR="00945B19" w14:paraId="4EB690F4" w14:textId="77777777" w:rsidTr="00945B19">
        <w:tc>
          <w:tcPr>
            <w:tcW w:w="2127" w:type="dxa"/>
          </w:tcPr>
          <w:p w14:paraId="51489180" w14:textId="77777777" w:rsidR="00945B19" w:rsidRPr="000E5F92" w:rsidRDefault="00722C0F" w:rsidP="00326D14">
            <w:pPr>
              <w:jc w:val="both"/>
              <w:outlineLvl w:val="0"/>
              <w:rPr>
                <w:rFonts w:cs="Arial"/>
                <w:szCs w:val="22"/>
              </w:rPr>
            </w:pPr>
            <m:oMathPara>
              <m:oMathParaPr>
                <m:jc m:val="left"/>
              </m:oMathParaPr>
              <m:oMath>
                <m:sSubSup>
                  <m:sSubSupPr>
                    <m:ctrlPr>
                      <w:rPr>
                        <w:rFonts w:ascii="Cambria Math" w:hAnsi="Cambria Math" w:cs="Arial"/>
                        <w:szCs w:val="22"/>
                      </w:rPr>
                    </m:ctrlPr>
                  </m:sSubSupPr>
                  <m:e>
                    <m:r>
                      <w:rPr>
                        <w:rFonts w:ascii="Cambria Math" w:hAnsi="Cambria Math" w:cs="Arial"/>
                        <w:szCs w:val="22"/>
                      </w:rPr>
                      <m:t>x</m:t>
                    </m:r>
                  </m:e>
                  <m:sub>
                    <m:r>
                      <w:rPr>
                        <w:rFonts w:ascii="Cambria Math" w:hAnsi="Cambria Math" w:cs="Arial"/>
                        <w:szCs w:val="22"/>
                      </w:rPr>
                      <m:t>ij</m:t>
                    </m:r>
                  </m:sub>
                  <m:sup>
                    <m:r>
                      <w:rPr>
                        <w:rFonts w:ascii="Cambria Math" w:hAnsi="Cambria Math" w:cs="Arial"/>
                        <w:szCs w:val="22"/>
                      </w:rPr>
                      <m:t>m</m:t>
                    </m:r>
                  </m:sup>
                </m:sSubSup>
              </m:oMath>
            </m:oMathPara>
          </w:p>
        </w:tc>
        <w:tc>
          <w:tcPr>
            <w:tcW w:w="7502" w:type="dxa"/>
          </w:tcPr>
          <w:p w14:paraId="6802CE70" w14:textId="77777777" w:rsidR="00945B19" w:rsidRPr="008C01A3" w:rsidRDefault="00945B19" w:rsidP="00326D14">
            <w:pPr>
              <w:jc w:val="both"/>
              <w:outlineLvl w:val="0"/>
              <w:rPr>
                <w:rFonts w:cs="Arial"/>
                <w:i/>
                <w:sz w:val="20"/>
                <w:szCs w:val="22"/>
              </w:rPr>
            </w:pPr>
            <w:r w:rsidRPr="008C01A3">
              <w:rPr>
                <w:rFonts w:cs="Arial"/>
                <w:i/>
                <w:sz w:val="20"/>
                <w:szCs w:val="22"/>
              </w:rPr>
              <w:t xml:space="preserve">flow in monetary units of sector m from region </w:t>
            </w:r>
            <w:proofErr w:type="spellStart"/>
            <w:r w:rsidRPr="008C01A3">
              <w:rPr>
                <w:rFonts w:cs="Arial"/>
                <w:i/>
                <w:sz w:val="20"/>
                <w:szCs w:val="22"/>
              </w:rPr>
              <w:t>i</w:t>
            </w:r>
            <w:proofErr w:type="spellEnd"/>
            <w:r w:rsidRPr="008C01A3">
              <w:rPr>
                <w:rFonts w:cs="Arial"/>
                <w:i/>
                <w:sz w:val="20"/>
                <w:szCs w:val="22"/>
              </w:rPr>
              <w:t xml:space="preserve"> to region j</w:t>
            </w:r>
          </w:p>
        </w:tc>
      </w:tr>
      <w:tr w:rsidR="00945B19" w14:paraId="4C5A3057" w14:textId="77777777" w:rsidTr="00945B19">
        <w:tc>
          <w:tcPr>
            <w:tcW w:w="2127" w:type="dxa"/>
          </w:tcPr>
          <w:p w14:paraId="4CE3BA8E" w14:textId="77777777" w:rsidR="00945B19" w:rsidRPr="000E5F92" w:rsidRDefault="00722C0F" w:rsidP="00326D14">
            <w:pPr>
              <w:jc w:val="both"/>
              <w:outlineLvl w:val="0"/>
              <w:rPr>
                <w:rFonts w:cs="Arial"/>
                <w:szCs w:val="22"/>
              </w:rPr>
            </w:pPr>
            <m:oMathPara>
              <m:oMathParaPr>
                <m:jc m:val="left"/>
              </m:oMathParaPr>
              <m:oMath>
                <m:sSubSup>
                  <m:sSubSupPr>
                    <m:ctrlPr>
                      <w:rPr>
                        <w:rFonts w:ascii="Cambria Math" w:hAnsi="Cambria Math" w:cs="Arial"/>
                        <w:szCs w:val="22"/>
                      </w:rPr>
                    </m:ctrlPr>
                  </m:sSubSupPr>
                  <m:e>
                    <m:r>
                      <w:rPr>
                        <w:rFonts w:ascii="Cambria Math" w:hAnsi="Cambria Math" w:cs="Arial"/>
                        <w:szCs w:val="22"/>
                      </w:rPr>
                      <m:t>C</m:t>
                    </m:r>
                  </m:e>
                  <m:sub>
                    <m:r>
                      <w:rPr>
                        <w:rFonts w:ascii="Cambria Math" w:hAnsi="Cambria Math" w:cs="Arial"/>
                        <w:szCs w:val="22"/>
                      </w:rPr>
                      <m:t>j</m:t>
                    </m:r>
                  </m:sub>
                  <m:sup>
                    <m:r>
                      <w:rPr>
                        <w:rFonts w:ascii="Cambria Math" w:hAnsi="Cambria Math" w:cs="Arial"/>
                        <w:szCs w:val="22"/>
                      </w:rPr>
                      <m:t>m</m:t>
                    </m:r>
                  </m:sup>
                </m:sSubSup>
              </m:oMath>
            </m:oMathPara>
          </w:p>
        </w:tc>
        <w:tc>
          <w:tcPr>
            <w:tcW w:w="7502" w:type="dxa"/>
          </w:tcPr>
          <w:p w14:paraId="5778B23A" w14:textId="77777777" w:rsidR="00945B19" w:rsidRPr="008C01A3" w:rsidRDefault="00945B19" w:rsidP="00326D14">
            <w:pPr>
              <w:jc w:val="both"/>
              <w:outlineLvl w:val="0"/>
              <w:rPr>
                <w:rFonts w:cs="Arial"/>
                <w:i/>
                <w:sz w:val="20"/>
                <w:szCs w:val="22"/>
              </w:rPr>
            </w:pPr>
            <w:r w:rsidRPr="008C01A3">
              <w:rPr>
                <w:rFonts w:cs="Arial"/>
                <w:i/>
                <w:sz w:val="20"/>
                <w:szCs w:val="22"/>
              </w:rPr>
              <w:t>total consumption of commodity m in region j</w:t>
            </w:r>
          </w:p>
        </w:tc>
      </w:tr>
      <w:tr w:rsidR="00945B19" w14:paraId="0C222FC9" w14:textId="77777777" w:rsidTr="00945B19">
        <w:tc>
          <w:tcPr>
            <w:tcW w:w="2127" w:type="dxa"/>
          </w:tcPr>
          <w:p w14:paraId="3AFD4835" w14:textId="77777777" w:rsidR="00945B19" w:rsidRPr="000E5F92" w:rsidRDefault="00722C0F" w:rsidP="00326D14">
            <w:pPr>
              <w:jc w:val="both"/>
              <w:outlineLvl w:val="0"/>
              <w:rPr>
                <w:rFonts w:cs="Arial"/>
                <w:szCs w:val="22"/>
              </w:rPr>
            </w:pPr>
            <m:oMathPara>
              <m:oMathParaPr>
                <m:jc m:val="left"/>
              </m:oMathParaPr>
              <m:oMath>
                <m:sSubSup>
                  <m:sSubSupPr>
                    <m:ctrlPr>
                      <w:rPr>
                        <w:rFonts w:ascii="Cambria Math" w:hAnsi="Cambria Math" w:cs="Arial"/>
                        <w:szCs w:val="22"/>
                      </w:rPr>
                    </m:ctrlPr>
                  </m:sSubSupPr>
                  <m:e>
                    <m:r>
                      <w:rPr>
                        <w:rFonts w:ascii="Cambria Math" w:hAnsi="Cambria Math" w:cs="Arial"/>
                        <w:szCs w:val="22"/>
                      </w:rPr>
                      <m:t>u</m:t>
                    </m:r>
                  </m:e>
                  <m:sub>
                    <m:r>
                      <w:rPr>
                        <w:rFonts w:ascii="Cambria Math" w:hAnsi="Cambria Math" w:cs="Arial"/>
                        <w:szCs w:val="22"/>
                      </w:rPr>
                      <m:t>ij</m:t>
                    </m:r>
                  </m:sub>
                  <m:sup>
                    <m:r>
                      <w:rPr>
                        <w:rFonts w:ascii="Cambria Math" w:hAnsi="Cambria Math" w:cs="Arial"/>
                        <w:szCs w:val="22"/>
                      </w:rPr>
                      <m:t>n</m:t>
                    </m:r>
                  </m:sup>
                </m:sSubSup>
              </m:oMath>
            </m:oMathPara>
          </w:p>
        </w:tc>
        <w:tc>
          <w:tcPr>
            <w:tcW w:w="7502" w:type="dxa"/>
          </w:tcPr>
          <w:p w14:paraId="21C7E17D" w14:textId="77777777" w:rsidR="00945B19" w:rsidRPr="008C01A3" w:rsidRDefault="00945B19" w:rsidP="00326D14">
            <w:pPr>
              <w:jc w:val="both"/>
              <w:outlineLvl w:val="0"/>
              <w:rPr>
                <w:rFonts w:cs="Arial"/>
                <w:i/>
                <w:sz w:val="20"/>
                <w:szCs w:val="22"/>
              </w:rPr>
            </w:pPr>
            <w:r w:rsidRPr="008C01A3">
              <w:rPr>
                <w:rFonts w:cs="Arial"/>
                <w:i/>
                <w:sz w:val="20"/>
                <w:szCs w:val="22"/>
              </w:rPr>
              <w:t xml:space="preserve">utility of purchasing one monetary unit of commodity n in region </w:t>
            </w:r>
            <w:proofErr w:type="spellStart"/>
            <w:r w:rsidRPr="008C01A3">
              <w:rPr>
                <w:rFonts w:cs="Arial"/>
                <w:i/>
                <w:sz w:val="20"/>
                <w:szCs w:val="22"/>
              </w:rPr>
              <w:t>i</w:t>
            </w:r>
            <w:proofErr w:type="spellEnd"/>
            <w:r w:rsidRPr="008C01A3">
              <w:rPr>
                <w:rFonts w:cs="Arial"/>
                <w:i/>
                <w:sz w:val="20"/>
                <w:szCs w:val="22"/>
              </w:rPr>
              <w:t xml:space="preserve"> for use as input in region j</w:t>
            </w:r>
          </w:p>
        </w:tc>
      </w:tr>
      <w:tr w:rsidR="00945B19" w14:paraId="40BAB994" w14:textId="77777777" w:rsidTr="00945B19">
        <w:tc>
          <w:tcPr>
            <w:tcW w:w="2127" w:type="dxa"/>
          </w:tcPr>
          <w:p w14:paraId="168FEE6A" w14:textId="77777777" w:rsidR="00945B19" w:rsidRPr="00945B19" w:rsidRDefault="00722C0F" w:rsidP="00326D14">
            <w:pPr>
              <w:jc w:val="both"/>
              <w:outlineLvl w:val="0"/>
              <w:rPr>
                <w:rFonts w:cs="Arial"/>
                <w:szCs w:val="22"/>
              </w:rPr>
            </w:pPr>
            <m:oMathPara>
              <m:oMathParaPr>
                <m:jc m:val="left"/>
              </m:oMathParaPr>
              <m:oMath>
                <m:sSubSup>
                  <m:sSubSupPr>
                    <m:ctrlPr>
                      <w:rPr>
                        <w:rFonts w:ascii="Cambria Math" w:hAnsi="Cambria Math" w:cs="Arial"/>
                        <w:szCs w:val="22"/>
                      </w:rPr>
                    </m:ctrlPr>
                  </m:sSubSupPr>
                  <m:e>
                    <m:r>
                      <w:rPr>
                        <w:rFonts w:ascii="Cambria Math" w:hAnsi="Cambria Math" w:cs="Arial"/>
                        <w:szCs w:val="22"/>
                      </w:rPr>
                      <m:t>v</m:t>
                    </m:r>
                  </m:e>
                  <m:sub>
                    <m:r>
                      <w:rPr>
                        <w:rFonts w:ascii="Cambria Math" w:hAnsi="Cambria Math" w:cs="Arial"/>
                        <w:szCs w:val="22"/>
                      </w:rPr>
                      <m:t>ij</m:t>
                    </m:r>
                  </m:sub>
                  <m:sup>
                    <m:r>
                      <w:rPr>
                        <w:rFonts w:ascii="Cambria Math" w:hAnsi="Cambria Math" w:cs="Arial"/>
                        <w:szCs w:val="22"/>
                      </w:rPr>
                      <m:t>n</m:t>
                    </m:r>
                  </m:sup>
                </m:sSubSup>
              </m:oMath>
            </m:oMathPara>
          </w:p>
        </w:tc>
        <w:tc>
          <w:tcPr>
            <w:tcW w:w="7502" w:type="dxa"/>
          </w:tcPr>
          <w:p w14:paraId="2ABA1B6C" w14:textId="77777777" w:rsidR="00945B19" w:rsidRPr="008C01A3" w:rsidRDefault="00945B19" w:rsidP="00326D14">
            <w:pPr>
              <w:jc w:val="both"/>
              <w:outlineLvl w:val="0"/>
              <w:rPr>
                <w:rFonts w:cs="Arial"/>
                <w:i/>
                <w:sz w:val="20"/>
                <w:szCs w:val="22"/>
              </w:rPr>
            </w:pPr>
            <w:r w:rsidRPr="008C01A3">
              <w:rPr>
                <w:rFonts w:cs="Arial"/>
                <w:i/>
                <w:sz w:val="20"/>
                <w:szCs w:val="22"/>
              </w:rPr>
              <w:t xml:space="preserve">systematic utility of purchasing one monetary unit of commodity n in region </w:t>
            </w:r>
            <w:proofErr w:type="spellStart"/>
            <w:r w:rsidRPr="008C01A3">
              <w:rPr>
                <w:rFonts w:cs="Arial"/>
                <w:i/>
                <w:sz w:val="20"/>
                <w:szCs w:val="22"/>
              </w:rPr>
              <w:t>i</w:t>
            </w:r>
            <w:proofErr w:type="spellEnd"/>
            <w:r w:rsidRPr="008C01A3">
              <w:rPr>
                <w:rFonts w:cs="Arial"/>
                <w:i/>
                <w:sz w:val="20"/>
                <w:szCs w:val="22"/>
              </w:rPr>
              <w:t xml:space="preserve"> for use as input in region j</w:t>
            </w:r>
          </w:p>
        </w:tc>
      </w:tr>
      <w:tr w:rsidR="00945B19" w14:paraId="4FF7C972" w14:textId="77777777" w:rsidTr="00945B19">
        <w:tc>
          <w:tcPr>
            <w:tcW w:w="2127" w:type="dxa"/>
          </w:tcPr>
          <w:p w14:paraId="566E3735" w14:textId="77777777" w:rsidR="00945B19" w:rsidRPr="000E5F92" w:rsidRDefault="00722C0F" w:rsidP="00326D14">
            <w:pPr>
              <w:jc w:val="both"/>
              <w:outlineLvl w:val="0"/>
              <w:rPr>
                <w:rFonts w:cs="Arial"/>
                <w:szCs w:val="22"/>
              </w:rPr>
            </w:pPr>
            <m:oMathPara>
              <m:oMathParaPr>
                <m:jc m:val="left"/>
              </m:oMathParaPr>
              <m:oMath>
                <m:sSubSup>
                  <m:sSubSupPr>
                    <m:ctrlPr>
                      <w:rPr>
                        <w:rFonts w:ascii="Cambria Math" w:hAnsi="Cambria Math" w:cs="Arial"/>
                        <w:szCs w:val="22"/>
                      </w:rPr>
                    </m:ctrlPr>
                  </m:sSubSupPr>
                  <m:e>
                    <m:r>
                      <w:rPr>
                        <w:rFonts w:ascii="Cambria Math" w:hAnsi="Cambria Math" w:cs="Arial"/>
                        <w:szCs w:val="22"/>
                      </w:rPr>
                      <m:t>b</m:t>
                    </m:r>
                  </m:e>
                  <m:sub>
                    <m:r>
                      <w:rPr>
                        <w:rFonts w:ascii="Cambria Math" w:hAnsi="Cambria Math" w:cs="Arial"/>
                        <w:szCs w:val="22"/>
                      </w:rPr>
                      <m:t>i</m:t>
                    </m:r>
                  </m:sub>
                  <m:sup>
                    <m:r>
                      <w:rPr>
                        <w:rFonts w:ascii="Cambria Math" w:hAnsi="Cambria Math" w:cs="Arial"/>
                        <w:szCs w:val="22"/>
                      </w:rPr>
                      <m:t>n</m:t>
                    </m:r>
                  </m:sup>
                </m:sSubSup>
              </m:oMath>
            </m:oMathPara>
          </w:p>
        </w:tc>
        <w:tc>
          <w:tcPr>
            <w:tcW w:w="7502" w:type="dxa"/>
          </w:tcPr>
          <w:p w14:paraId="5D48E14A" w14:textId="77777777" w:rsidR="00945B19" w:rsidRPr="008C01A3" w:rsidRDefault="00945B19" w:rsidP="00326D14">
            <w:pPr>
              <w:jc w:val="both"/>
              <w:outlineLvl w:val="0"/>
              <w:rPr>
                <w:rFonts w:cs="Arial"/>
                <w:i/>
                <w:sz w:val="20"/>
                <w:szCs w:val="22"/>
              </w:rPr>
            </w:pPr>
            <w:r w:rsidRPr="008C01A3">
              <w:rPr>
                <w:rFonts w:cs="Arial"/>
                <w:i/>
                <w:sz w:val="20"/>
                <w:szCs w:val="22"/>
              </w:rPr>
              <w:t xml:space="preserve">production price of n in region </w:t>
            </w:r>
            <w:proofErr w:type="spellStart"/>
            <w:r w:rsidRPr="008C01A3">
              <w:rPr>
                <w:rFonts w:cs="Arial"/>
                <w:i/>
                <w:sz w:val="20"/>
                <w:szCs w:val="22"/>
              </w:rPr>
              <w:t>i</w:t>
            </w:r>
            <w:proofErr w:type="spellEnd"/>
          </w:p>
        </w:tc>
      </w:tr>
      <w:tr w:rsidR="00945B19" w14:paraId="05831351" w14:textId="77777777" w:rsidTr="00945B19">
        <w:tc>
          <w:tcPr>
            <w:tcW w:w="2127" w:type="dxa"/>
          </w:tcPr>
          <w:p w14:paraId="6FF7F407" w14:textId="77777777" w:rsidR="00945B19" w:rsidRPr="00945B19" w:rsidRDefault="00722C0F" w:rsidP="00326D14">
            <w:pPr>
              <w:jc w:val="both"/>
              <w:outlineLvl w:val="0"/>
              <w:rPr>
                <w:rFonts w:cs="Arial"/>
                <w:szCs w:val="22"/>
              </w:rPr>
            </w:pPr>
            <m:oMathPara>
              <m:oMathParaPr>
                <m:jc m:val="left"/>
              </m:oMathParaPr>
              <m:oMath>
                <m:sSub>
                  <m:sSubPr>
                    <m:ctrlPr>
                      <w:rPr>
                        <w:rFonts w:ascii="Cambria Math" w:hAnsi="Cambria Math" w:cs="Arial"/>
                        <w:szCs w:val="22"/>
                      </w:rPr>
                    </m:ctrlPr>
                  </m:sSubPr>
                  <m:e>
                    <m:r>
                      <w:rPr>
                        <w:rFonts w:ascii="Cambria Math" w:hAnsi="Cambria Math" w:cs="Arial"/>
                        <w:szCs w:val="22"/>
                      </w:rPr>
                      <m:t>d</m:t>
                    </m:r>
                  </m:e>
                  <m:sub>
                    <m:r>
                      <w:rPr>
                        <w:rFonts w:ascii="Cambria Math" w:hAnsi="Cambria Math" w:cs="Arial"/>
                        <w:szCs w:val="22"/>
                      </w:rPr>
                      <m:t>ij</m:t>
                    </m:r>
                    <m:r>
                      <m:rPr>
                        <m:sty m:val="p"/>
                      </m:rPr>
                      <w:rPr>
                        <w:rFonts w:ascii="Cambria Math" w:hAnsi="Cambria Math" w:cs="Arial"/>
                        <w:szCs w:val="22"/>
                      </w:rPr>
                      <m:t>,</m:t>
                    </m:r>
                    <m:r>
                      <w:rPr>
                        <w:rFonts w:ascii="Cambria Math" w:hAnsi="Cambria Math" w:cs="Arial"/>
                        <w:szCs w:val="22"/>
                      </w:rPr>
                      <m:t>t</m:t>
                    </m:r>
                  </m:sub>
                </m:sSub>
              </m:oMath>
            </m:oMathPara>
          </w:p>
        </w:tc>
        <w:tc>
          <w:tcPr>
            <w:tcW w:w="7502" w:type="dxa"/>
          </w:tcPr>
          <w:p w14:paraId="165993AD" w14:textId="77777777" w:rsidR="00945B19" w:rsidRPr="008C01A3" w:rsidRDefault="00945B19" w:rsidP="00326D14">
            <w:pPr>
              <w:jc w:val="both"/>
              <w:outlineLvl w:val="0"/>
              <w:rPr>
                <w:rFonts w:cs="Arial"/>
                <w:i/>
                <w:sz w:val="20"/>
                <w:szCs w:val="22"/>
              </w:rPr>
            </w:pPr>
            <w:r w:rsidRPr="008C01A3">
              <w:rPr>
                <w:rFonts w:cs="Arial"/>
                <w:i/>
                <w:sz w:val="20"/>
                <w:szCs w:val="22"/>
              </w:rPr>
              <w:t xml:space="preserve">transportation cost between regions </w:t>
            </w:r>
            <w:proofErr w:type="spellStart"/>
            <w:r w:rsidRPr="008C01A3">
              <w:rPr>
                <w:rFonts w:cs="Arial"/>
                <w:i/>
                <w:sz w:val="20"/>
                <w:szCs w:val="22"/>
              </w:rPr>
              <w:t>i</w:t>
            </w:r>
            <w:proofErr w:type="spellEnd"/>
            <w:r w:rsidRPr="008C01A3">
              <w:rPr>
                <w:rFonts w:cs="Arial"/>
                <w:i/>
                <w:sz w:val="20"/>
                <w:szCs w:val="22"/>
              </w:rPr>
              <w:t xml:space="preserve"> and j by mode t</w:t>
            </w:r>
          </w:p>
        </w:tc>
      </w:tr>
      <w:tr w:rsidR="00945B19" w14:paraId="4C9058AA" w14:textId="77777777" w:rsidTr="00945B19">
        <w:tc>
          <w:tcPr>
            <w:tcW w:w="2127" w:type="dxa"/>
          </w:tcPr>
          <w:p w14:paraId="1088B823" w14:textId="77777777" w:rsidR="00945B19" w:rsidRPr="004F04BA" w:rsidRDefault="00722C0F" w:rsidP="00326D14">
            <w:pPr>
              <w:jc w:val="both"/>
              <w:outlineLvl w:val="0"/>
              <w:rPr>
                <w:rFonts w:cs="Arial"/>
                <w:szCs w:val="22"/>
              </w:rPr>
            </w:pPr>
            <m:oMathPara>
              <m:oMathParaPr>
                <m:jc m:val="left"/>
              </m:oMathParaPr>
              <m:oMath>
                <m:sSubSup>
                  <m:sSubSupPr>
                    <m:ctrlPr>
                      <w:rPr>
                        <w:rFonts w:ascii="Cambria Math" w:hAnsi="Cambria Math" w:cs="Arial"/>
                        <w:szCs w:val="22"/>
                      </w:rPr>
                    </m:ctrlPr>
                  </m:sSubSupPr>
                  <m:e>
                    <m:r>
                      <w:rPr>
                        <w:rFonts w:ascii="Cambria Math" w:hAnsi="Cambria Math" w:cs="Arial"/>
                        <w:szCs w:val="22"/>
                      </w:rPr>
                      <m:t>c</m:t>
                    </m:r>
                  </m:e>
                  <m:sub>
                    <m:r>
                      <w:rPr>
                        <w:rFonts w:ascii="Cambria Math" w:hAnsi="Cambria Math" w:cs="Arial"/>
                        <w:szCs w:val="22"/>
                      </w:rPr>
                      <m:t>j</m:t>
                    </m:r>
                  </m:sub>
                  <m:sup>
                    <m:r>
                      <w:rPr>
                        <w:rFonts w:ascii="Cambria Math" w:hAnsi="Cambria Math" w:cs="Arial"/>
                        <w:szCs w:val="22"/>
                      </w:rPr>
                      <m:t>n</m:t>
                    </m:r>
                  </m:sup>
                </m:sSubSup>
              </m:oMath>
            </m:oMathPara>
          </w:p>
        </w:tc>
        <w:tc>
          <w:tcPr>
            <w:tcW w:w="7502" w:type="dxa"/>
          </w:tcPr>
          <w:p w14:paraId="680CC28C" w14:textId="77777777" w:rsidR="00945B19" w:rsidRPr="008C01A3" w:rsidRDefault="00C918D5" w:rsidP="00326D14">
            <w:pPr>
              <w:jc w:val="both"/>
              <w:outlineLvl w:val="0"/>
              <w:rPr>
                <w:rFonts w:cs="Arial"/>
                <w:i/>
                <w:sz w:val="20"/>
                <w:szCs w:val="22"/>
              </w:rPr>
            </w:pPr>
            <w:r w:rsidRPr="008C01A3">
              <w:rPr>
                <w:rFonts w:cs="Arial"/>
                <w:i/>
                <w:sz w:val="20"/>
                <w:szCs w:val="22"/>
              </w:rPr>
              <w:t>a</w:t>
            </w:r>
            <w:r w:rsidR="00945B19" w:rsidRPr="008C01A3">
              <w:rPr>
                <w:rFonts w:cs="Arial"/>
                <w:i/>
                <w:sz w:val="20"/>
                <w:szCs w:val="22"/>
              </w:rPr>
              <w:t>verage cost of input n in region j</w:t>
            </w:r>
          </w:p>
        </w:tc>
      </w:tr>
      <w:tr w:rsidR="00C918D5" w14:paraId="0AA94811" w14:textId="77777777" w:rsidTr="00945B19">
        <w:tc>
          <w:tcPr>
            <w:tcW w:w="2127" w:type="dxa"/>
          </w:tcPr>
          <w:p w14:paraId="58A6497F" w14:textId="77777777" w:rsidR="00C918D5" w:rsidRPr="00C918D5" w:rsidRDefault="00722C0F" w:rsidP="00326D14">
            <w:pPr>
              <w:jc w:val="both"/>
              <w:outlineLvl w:val="0"/>
              <w:rPr>
                <w:rFonts w:cs="Arial"/>
                <w:szCs w:val="22"/>
              </w:rPr>
            </w:pPr>
            <m:oMathPara>
              <m:oMathParaPr>
                <m:jc m:val="left"/>
              </m:oMathParaPr>
              <m:oMath>
                <m:sSubSup>
                  <m:sSubSupPr>
                    <m:ctrlPr>
                      <w:rPr>
                        <w:rFonts w:ascii="Cambria Math" w:hAnsi="Cambria Math" w:cs="Arial"/>
                        <w:szCs w:val="22"/>
                      </w:rPr>
                    </m:ctrlPr>
                  </m:sSubSupPr>
                  <m:e>
                    <m:r>
                      <w:rPr>
                        <w:rFonts w:ascii="Cambria Math" w:hAnsi="Cambria Math" w:cs="Arial"/>
                        <w:szCs w:val="22"/>
                      </w:rPr>
                      <m:t>β</m:t>
                    </m:r>
                  </m:e>
                  <m:sub>
                    <m:r>
                      <w:rPr>
                        <w:rFonts w:ascii="Cambria Math" w:hAnsi="Cambria Math" w:cs="Arial"/>
                        <w:szCs w:val="22"/>
                      </w:rPr>
                      <m:t>t</m:t>
                    </m:r>
                  </m:sub>
                  <m:sup>
                    <m:r>
                      <w:rPr>
                        <w:rFonts w:ascii="Cambria Math" w:hAnsi="Cambria Math" w:cs="Arial"/>
                        <w:szCs w:val="22"/>
                      </w:rPr>
                      <m:t>n</m:t>
                    </m:r>
                  </m:sup>
                </m:sSubSup>
              </m:oMath>
            </m:oMathPara>
          </w:p>
        </w:tc>
        <w:tc>
          <w:tcPr>
            <w:tcW w:w="7502" w:type="dxa"/>
          </w:tcPr>
          <w:p w14:paraId="7E5E81DF" w14:textId="77777777" w:rsidR="00C918D5" w:rsidRPr="008C01A3" w:rsidRDefault="00C918D5" w:rsidP="00326D14">
            <w:pPr>
              <w:jc w:val="both"/>
              <w:outlineLvl w:val="0"/>
              <w:rPr>
                <w:rFonts w:cs="Arial"/>
                <w:i/>
                <w:sz w:val="20"/>
                <w:szCs w:val="22"/>
              </w:rPr>
            </w:pPr>
            <w:r w:rsidRPr="008C01A3">
              <w:rPr>
                <w:rFonts w:cs="Arial"/>
                <w:i/>
                <w:sz w:val="20"/>
                <w:szCs w:val="22"/>
              </w:rPr>
              <w:t>mode choice parameters for mode t and sector n</w:t>
            </w:r>
          </w:p>
        </w:tc>
      </w:tr>
      <w:tr w:rsidR="00C918D5" w14:paraId="4CE96629" w14:textId="77777777" w:rsidTr="00945B19">
        <w:tc>
          <w:tcPr>
            <w:tcW w:w="2127" w:type="dxa"/>
          </w:tcPr>
          <w:p w14:paraId="1B3E77FD" w14:textId="77777777" w:rsidR="00C918D5" w:rsidRPr="00C918D5" w:rsidRDefault="00722C0F" w:rsidP="00326D14">
            <w:pPr>
              <w:jc w:val="both"/>
              <w:outlineLvl w:val="0"/>
              <w:rPr>
                <w:rFonts w:cs="Arial"/>
                <w:szCs w:val="22"/>
              </w:rPr>
            </w:pPr>
            <m:oMathPara>
              <m:oMathParaPr>
                <m:jc m:val="left"/>
              </m:oMathParaPr>
              <m:oMath>
                <m:sSubSup>
                  <m:sSubSupPr>
                    <m:ctrlPr>
                      <w:rPr>
                        <w:rFonts w:ascii="Cambria Math" w:hAnsi="Cambria Math" w:cs="Arial"/>
                        <w:szCs w:val="22"/>
                      </w:rPr>
                    </m:ctrlPr>
                  </m:sSubSupPr>
                  <m:e>
                    <m:r>
                      <w:rPr>
                        <w:rFonts w:ascii="Cambria Math" w:hAnsi="Cambria Math" w:cs="Arial"/>
                        <w:szCs w:val="22"/>
                      </w:rPr>
                      <m:t>β</m:t>
                    </m:r>
                  </m:e>
                  <m:sub>
                    <m:r>
                      <m:rPr>
                        <m:sty m:val="p"/>
                      </m:rPr>
                      <w:rPr>
                        <w:rFonts w:ascii="Cambria Math" w:hAnsi="Cambria Math" w:cs="Arial"/>
                        <w:szCs w:val="22"/>
                      </w:rPr>
                      <m:t>0</m:t>
                    </m:r>
                  </m:sub>
                  <m:sup>
                    <m:r>
                      <w:rPr>
                        <w:rFonts w:ascii="Cambria Math" w:hAnsi="Cambria Math" w:cs="Arial"/>
                        <w:szCs w:val="22"/>
                      </w:rPr>
                      <m:t>n</m:t>
                    </m:r>
                  </m:sup>
                </m:sSubSup>
              </m:oMath>
            </m:oMathPara>
          </w:p>
        </w:tc>
        <w:tc>
          <w:tcPr>
            <w:tcW w:w="7502" w:type="dxa"/>
          </w:tcPr>
          <w:p w14:paraId="468DE726" w14:textId="77777777" w:rsidR="00C918D5" w:rsidRPr="008C01A3" w:rsidRDefault="00C918D5" w:rsidP="00326D14">
            <w:pPr>
              <w:jc w:val="both"/>
              <w:outlineLvl w:val="0"/>
              <w:rPr>
                <w:rFonts w:cs="Arial"/>
                <w:i/>
                <w:sz w:val="20"/>
                <w:szCs w:val="22"/>
              </w:rPr>
            </w:pPr>
            <w:r w:rsidRPr="008C01A3">
              <w:rPr>
                <w:rFonts w:cs="Arial"/>
                <w:i/>
                <w:sz w:val="20"/>
                <w:szCs w:val="22"/>
              </w:rPr>
              <w:t>alternative specific constant for sector n</w:t>
            </w:r>
          </w:p>
        </w:tc>
      </w:tr>
      <w:tr w:rsidR="008F273F" w14:paraId="6BD78836" w14:textId="77777777" w:rsidTr="00945B19">
        <w:tc>
          <w:tcPr>
            <w:tcW w:w="2127" w:type="dxa"/>
          </w:tcPr>
          <w:p w14:paraId="31010611" w14:textId="77777777" w:rsidR="008F273F" w:rsidRPr="008F273F" w:rsidRDefault="00722C0F" w:rsidP="00326D14">
            <w:pPr>
              <w:jc w:val="both"/>
              <w:outlineLvl w:val="0"/>
              <w:rPr>
                <w:rFonts w:cs="Arial"/>
                <w:szCs w:val="22"/>
              </w:rPr>
            </w:pPr>
            <m:oMathPara>
              <m:oMathParaPr>
                <m:jc m:val="left"/>
              </m:oMathParaPr>
              <m:oMath>
                <m:sSub>
                  <m:sSubPr>
                    <m:ctrlPr>
                      <w:rPr>
                        <w:rFonts w:ascii="Cambria Math" w:hAnsi="Cambria Math" w:cs="Arial"/>
                        <w:szCs w:val="22"/>
                      </w:rPr>
                    </m:ctrlPr>
                  </m:sSubPr>
                  <m:e>
                    <m:r>
                      <w:rPr>
                        <w:rFonts w:ascii="Cambria Math" w:hAnsi="Cambria Math" w:cs="Arial"/>
                        <w:szCs w:val="22"/>
                      </w:rPr>
                      <m:t>λ</m:t>
                    </m:r>
                  </m:e>
                  <m:sub>
                    <m:r>
                      <w:rPr>
                        <w:rFonts w:ascii="Cambria Math" w:hAnsi="Cambria Math" w:cs="Arial"/>
                        <w:szCs w:val="22"/>
                      </w:rPr>
                      <m:t>n</m:t>
                    </m:r>
                  </m:sub>
                </m:sSub>
              </m:oMath>
            </m:oMathPara>
          </w:p>
        </w:tc>
        <w:tc>
          <w:tcPr>
            <w:tcW w:w="7502" w:type="dxa"/>
          </w:tcPr>
          <w:p w14:paraId="0F52857B" w14:textId="77777777" w:rsidR="008F273F" w:rsidRPr="008C01A3" w:rsidRDefault="008F273F" w:rsidP="00326D14">
            <w:pPr>
              <w:jc w:val="both"/>
              <w:outlineLvl w:val="0"/>
              <w:rPr>
                <w:rFonts w:cs="Arial"/>
                <w:i/>
                <w:sz w:val="20"/>
                <w:szCs w:val="22"/>
              </w:rPr>
            </w:pPr>
            <w:r>
              <w:rPr>
                <w:rFonts w:cs="Arial"/>
                <w:i/>
                <w:sz w:val="20"/>
                <w:szCs w:val="22"/>
              </w:rPr>
              <w:t>dispersion parameter for sector n</w:t>
            </w:r>
          </w:p>
        </w:tc>
      </w:tr>
    </w:tbl>
    <w:p w14:paraId="4691793A" w14:textId="77777777" w:rsidR="00945B19" w:rsidRDefault="00945B19" w:rsidP="00F17FEE">
      <w:pPr>
        <w:jc w:val="both"/>
        <w:outlineLvl w:val="0"/>
        <w:rPr>
          <w:rFonts w:cs="Arial"/>
          <w:szCs w:val="22"/>
        </w:rPr>
      </w:pPr>
    </w:p>
    <w:p w14:paraId="55E4786A" w14:textId="77777777" w:rsidR="00945B19" w:rsidRDefault="00945B19" w:rsidP="00F17FEE">
      <w:pPr>
        <w:jc w:val="both"/>
        <w:outlineLvl w:val="0"/>
        <w:rPr>
          <w:rFonts w:cs="Arial"/>
          <w:szCs w:val="22"/>
        </w:rPr>
      </w:pPr>
      <w:r>
        <w:rPr>
          <w:rFonts w:cs="Arial"/>
          <w:b/>
          <w:i/>
          <w:szCs w:val="22"/>
        </w:rPr>
        <w:t>Formulation</w:t>
      </w:r>
    </w:p>
    <w:p w14:paraId="38EC6C40" w14:textId="77777777" w:rsidR="00CF7821" w:rsidRDefault="00CF7821" w:rsidP="00F17FEE">
      <w:pPr>
        <w:jc w:val="both"/>
        <w:outlineLvl w:val="0"/>
      </w:pPr>
      <w:r w:rsidRPr="00F17FEE">
        <w:rPr>
          <w:rFonts w:cs="Arial"/>
          <w:szCs w:val="22"/>
        </w:rPr>
        <w:t>Early practical formulations for Multiple Region Input Output (MRIO) models were derived upon the conceptualization that commodities that are produced in a region are merged into a supply pool and all commodities that are consumed are merged into a demand pool; hence, all inter-sectoral flows can be visualized as shipments from regional supply to regional demand pools of a specific commodity</w:t>
      </w:r>
      <w:r w:rsidR="00FD3ADD">
        <w:rPr>
          <w:rFonts w:cs="Arial"/>
          <w:szCs w:val="22"/>
        </w:rPr>
        <w:t xml:space="preserve"> </w:t>
      </w:r>
      <w:r w:rsidR="00EB32D9">
        <w:rPr>
          <w:rFonts w:cs="Arial"/>
          <w:szCs w:val="22"/>
        </w:rPr>
        <w:fldChar w:fldCharType="begin"/>
      </w:r>
      <w:r w:rsidR="00EB32D9">
        <w:rPr>
          <w:rFonts w:cs="Arial"/>
          <w:szCs w:val="22"/>
        </w:rPr>
        <w:instrText xml:space="preserve"> ADDIN EN.CITE &lt;EndNote&gt;&lt;Cite&gt;&lt;Author&gt;Leontief&lt;/Author&gt;&lt;Year&gt;1963&lt;/Year&gt;&lt;RecNum&gt;16&lt;/RecNum&gt;&lt;DisplayText&gt;(Leontief and Strout, 1963)&lt;/DisplayText&gt;&lt;record&gt;&lt;rec-number&gt;16&lt;/rec-number&gt;&lt;foreign-keys&gt;&lt;key app="EN" db-id="zesxtzdp6atewte95fc5dr2asp25rs2rstwt" timestamp="1512945675"&gt;16&lt;/key&gt;&lt;/foreign-keys&gt;&lt;ref-type name="Book Section"&gt;5&lt;/ref-type&gt;&lt;contributors&gt;&lt;authors&gt;&lt;author&gt;Leontief, Wassily&lt;/author&gt;&lt;author&gt;Strout, Alan&lt;/author&gt;&lt;/authors&gt;&lt;secondary-authors&gt;&lt;author&gt;Barna, Tibor&lt;/author&gt;&lt;/secondary-authors&gt;&lt;/contributors&gt;&lt;titles&gt;&lt;title&gt;Multiregional Input-Output Analysis&lt;/title&gt;&lt;/titles&gt;&lt;dates&gt;&lt;year&gt;1963&lt;/year&gt;&lt;/dates&gt;&lt;pub-location&gt;Toronto&lt;/pub-location&gt;&lt;publisher&gt;Palgrave McMillan&lt;/publisher&gt;&lt;isbn&gt;978-1-349-81636-1&lt;/isbn&gt;&lt;urls&gt;&lt;/urls&gt;&lt;electronic-resource-num&gt;10.1007/978-1-349-81634-7&lt;/electronic-resource-num&gt;&lt;/record&gt;&lt;/Cite&gt;&lt;/EndNote&gt;</w:instrText>
      </w:r>
      <w:r w:rsidR="00EB32D9">
        <w:rPr>
          <w:rFonts w:cs="Arial"/>
          <w:szCs w:val="22"/>
        </w:rPr>
        <w:fldChar w:fldCharType="separate"/>
      </w:r>
      <w:r w:rsidR="00EB32D9">
        <w:rPr>
          <w:rFonts w:cs="Arial"/>
          <w:noProof/>
          <w:szCs w:val="22"/>
        </w:rPr>
        <w:t>(Leontief and Strout, 1963)</w:t>
      </w:r>
      <w:r w:rsidR="00EB32D9">
        <w:rPr>
          <w:rFonts w:cs="Arial"/>
          <w:szCs w:val="22"/>
        </w:rPr>
        <w:fldChar w:fldCharType="end"/>
      </w:r>
      <w:r w:rsidRPr="00F17FEE">
        <w:rPr>
          <w:rFonts w:cs="Arial"/>
          <w:szCs w:val="22"/>
        </w:rPr>
        <w:t>.   The balance condition (4) requires that the total production from sector m is equal to the intermediate consumption and final demand from all regions, taking into account that a region is allowed to acquire inputs locally.</w:t>
      </w:r>
      <w:r>
        <w:t xml:space="preserve">    </w:t>
      </w:r>
    </w:p>
    <w:p w14:paraId="6101A2BF" w14:textId="77777777" w:rsidR="00F17FEE" w:rsidRDefault="00F17FEE" w:rsidP="00F17FEE">
      <w:pPr>
        <w:jc w:val="both"/>
        <w:outlineLvl w:val="0"/>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0"/>
        <w:gridCol w:w="709"/>
      </w:tblGrid>
      <w:tr w:rsidR="00CF7821" w14:paraId="01415912" w14:textId="77777777" w:rsidTr="00254BCB">
        <w:trPr>
          <w:jc w:val="center"/>
        </w:trPr>
        <w:tc>
          <w:tcPr>
            <w:tcW w:w="3750" w:type="dxa"/>
            <w:vAlign w:val="center"/>
          </w:tcPr>
          <w:p w14:paraId="16CD6EE1" w14:textId="77777777" w:rsidR="00CF7821" w:rsidRPr="003F1826" w:rsidRDefault="00722C0F" w:rsidP="00254BCB">
            <w:pPr>
              <w:pStyle w:val="BodyText1"/>
              <w:ind w:left="0"/>
              <w:jc w:val="center"/>
            </w:pPr>
            <m:oMathPara>
              <m:oMath>
                <m:nary>
                  <m:naryPr>
                    <m:chr m:val="∑"/>
                    <m:limLoc m:val="undOvr"/>
                    <m:supHide m:val="1"/>
                    <m:ctrlPr>
                      <w:rPr>
                        <w:rFonts w:ascii="Cambria Math" w:hAnsi="Cambria Math"/>
                        <w:i/>
                      </w:rPr>
                    </m:ctrlPr>
                  </m:naryPr>
                  <m:sub>
                    <m:r>
                      <w:rPr>
                        <w:rFonts w:ascii="Cambria Math" w:hAnsi="Cambria Math"/>
                      </w:rPr>
                      <m:t>i</m:t>
                    </m:r>
                  </m:sub>
                  <m:sup/>
                  <m:e>
                    <m:sSubSup>
                      <m:sSubSupPr>
                        <m:ctrlPr>
                          <w:rPr>
                            <w:rFonts w:ascii="Cambria Math" w:hAnsi="Cambria Math"/>
                            <w:i/>
                          </w:rPr>
                        </m:ctrlPr>
                      </m:sSubSupPr>
                      <m:e>
                        <m:r>
                          <w:rPr>
                            <w:rFonts w:ascii="Cambria Math" w:hAnsi="Cambria Math"/>
                          </w:rPr>
                          <m:t>x</m:t>
                        </m:r>
                      </m:e>
                      <m:sub>
                        <m:r>
                          <w:rPr>
                            <w:rFonts w:ascii="Cambria Math" w:hAnsi="Cambria Math"/>
                          </w:rPr>
                          <m:t>ij</m:t>
                        </m:r>
                      </m:sub>
                      <m:sup>
                        <m:r>
                          <w:rPr>
                            <w:rFonts w:ascii="Cambria Math" w:hAnsi="Cambria Math"/>
                          </w:rPr>
                          <m:t>m</m:t>
                        </m:r>
                      </m:sup>
                    </m:sSubSup>
                  </m:e>
                </m:nary>
                <m:r>
                  <w:rPr>
                    <w:rFonts w:ascii="Cambria Math" w:hAnsi="Cambria Math"/>
                  </w:rPr>
                  <m:t>=</m:t>
                </m:r>
                <m:nary>
                  <m:naryPr>
                    <m:chr m:val="∑"/>
                    <m:limLoc m:val="undOvr"/>
                    <m:supHide m:val="1"/>
                    <m:ctrlPr>
                      <w:rPr>
                        <w:rFonts w:ascii="Cambria Math" w:hAnsi="Cambria Math"/>
                        <w:i/>
                      </w:rPr>
                    </m:ctrlPr>
                  </m:naryPr>
                  <m:sub>
                    <m:r>
                      <w:rPr>
                        <w:rFonts w:ascii="Cambria Math" w:hAnsi="Cambria Math"/>
                      </w:rPr>
                      <m:t>n</m:t>
                    </m:r>
                  </m:sub>
                  <m:sup/>
                  <m:e>
                    <m:sSubSup>
                      <m:sSubSupPr>
                        <m:ctrlPr>
                          <w:rPr>
                            <w:rFonts w:ascii="Cambria Math" w:hAnsi="Cambria Math"/>
                            <w:i/>
                          </w:rPr>
                        </m:ctrlPr>
                      </m:sSubSupPr>
                      <m:e>
                        <m:r>
                          <w:rPr>
                            <w:rFonts w:ascii="Cambria Math" w:hAnsi="Cambria Math"/>
                          </w:rPr>
                          <m:t>a</m:t>
                        </m:r>
                      </m:e>
                      <m:sub>
                        <m:r>
                          <w:rPr>
                            <w:rFonts w:ascii="Cambria Math" w:hAnsi="Cambria Math"/>
                          </w:rPr>
                          <m:t>j</m:t>
                        </m:r>
                      </m:sub>
                      <m:sup>
                        <m:r>
                          <w:rPr>
                            <w:rFonts w:ascii="Cambria Math" w:hAnsi="Cambria Math"/>
                          </w:rPr>
                          <m:t>mn</m:t>
                        </m:r>
                      </m:sup>
                    </m:sSubSup>
                  </m:e>
                </m:nary>
                <m:nary>
                  <m:naryPr>
                    <m:chr m:val="∑"/>
                    <m:limLoc m:val="undOvr"/>
                    <m:supHide m:val="1"/>
                    <m:ctrlPr>
                      <w:rPr>
                        <w:rFonts w:ascii="Cambria Math" w:hAnsi="Cambria Math"/>
                        <w:i/>
                      </w:rPr>
                    </m:ctrlPr>
                  </m:naryPr>
                  <m:sub>
                    <m:r>
                      <w:rPr>
                        <w:rFonts w:ascii="Cambria Math" w:hAnsi="Cambria Math"/>
                      </w:rPr>
                      <m:t>k</m:t>
                    </m:r>
                  </m:sub>
                  <m:sup/>
                  <m:e>
                    <m:sSubSup>
                      <m:sSubSupPr>
                        <m:ctrlPr>
                          <w:rPr>
                            <w:rFonts w:ascii="Cambria Math" w:hAnsi="Cambria Math"/>
                            <w:i/>
                          </w:rPr>
                        </m:ctrlPr>
                      </m:sSubSupPr>
                      <m:e>
                        <m:r>
                          <w:rPr>
                            <w:rFonts w:ascii="Cambria Math" w:hAnsi="Cambria Math"/>
                          </w:rPr>
                          <m:t>x</m:t>
                        </m:r>
                      </m:e>
                      <m:sub>
                        <m:r>
                          <w:rPr>
                            <w:rFonts w:ascii="Cambria Math" w:hAnsi="Cambria Math"/>
                          </w:rPr>
                          <m:t>jk</m:t>
                        </m:r>
                      </m:sub>
                      <m:sup>
                        <m:r>
                          <w:rPr>
                            <w:rFonts w:ascii="Cambria Math" w:hAnsi="Cambria Math"/>
                          </w:rPr>
                          <m:t>n</m:t>
                        </m:r>
                      </m:sup>
                    </m:sSubSup>
                  </m:e>
                </m:nary>
                <m:r>
                  <w:rPr>
                    <w:rFonts w:ascii="Cambria Math" w:hAnsi="Cambria Math"/>
                  </w:rPr>
                  <m:t>+</m:t>
                </m:r>
                <m:sSubSup>
                  <m:sSubSupPr>
                    <m:ctrlPr>
                      <w:rPr>
                        <w:rFonts w:ascii="Cambria Math" w:hAnsi="Cambria Math"/>
                        <w:i/>
                      </w:rPr>
                    </m:ctrlPr>
                  </m:sSubSupPr>
                  <m:e>
                    <m:r>
                      <w:rPr>
                        <w:rFonts w:ascii="Cambria Math" w:hAnsi="Cambria Math"/>
                      </w:rPr>
                      <m:t>Y</m:t>
                    </m:r>
                  </m:e>
                  <m:sub>
                    <m:r>
                      <w:rPr>
                        <w:rFonts w:ascii="Cambria Math" w:hAnsi="Cambria Math"/>
                      </w:rPr>
                      <m:t>j</m:t>
                    </m:r>
                  </m:sub>
                  <m:sup>
                    <m:r>
                      <w:rPr>
                        <w:rFonts w:ascii="Cambria Math" w:hAnsi="Cambria Math"/>
                      </w:rPr>
                      <m:t>m</m:t>
                    </m:r>
                  </m:sup>
                </m:sSubSup>
                <m:r>
                  <w:rPr>
                    <w:rFonts w:ascii="Cambria Math" w:hAnsi="Cambria Math"/>
                  </w:rPr>
                  <m:t xml:space="preserve">        ∀j,m</m:t>
                </m:r>
              </m:oMath>
            </m:oMathPara>
          </w:p>
        </w:tc>
        <w:tc>
          <w:tcPr>
            <w:tcW w:w="709" w:type="dxa"/>
            <w:vAlign w:val="center"/>
          </w:tcPr>
          <w:p w14:paraId="62235A05" w14:textId="77777777" w:rsidR="00CF7821" w:rsidRDefault="00CF7821" w:rsidP="00254BCB">
            <w:pPr>
              <w:pStyle w:val="BodyText1"/>
              <w:ind w:left="0"/>
              <w:jc w:val="center"/>
            </w:pPr>
            <w:r>
              <w:t>(4)</w:t>
            </w:r>
          </w:p>
        </w:tc>
      </w:tr>
    </w:tbl>
    <w:p w14:paraId="4302C68E" w14:textId="77777777" w:rsidR="00F17FEE" w:rsidRDefault="00F17FEE" w:rsidP="00F17FEE">
      <w:pPr>
        <w:jc w:val="both"/>
        <w:outlineLvl w:val="0"/>
        <w:rPr>
          <w:rFonts w:cs="Arial"/>
          <w:szCs w:val="22"/>
        </w:rPr>
      </w:pPr>
    </w:p>
    <w:p w14:paraId="5C880635" w14:textId="77777777" w:rsidR="009F3ACF" w:rsidRDefault="00CF7821" w:rsidP="00F17FEE">
      <w:pPr>
        <w:jc w:val="both"/>
        <w:outlineLvl w:val="0"/>
        <w:rPr>
          <w:rFonts w:cs="Arial"/>
          <w:szCs w:val="22"/>
        </w:rPr>
      </w:pPr>
      <w:r w:rsidRPr="00F17FEE">
        <w:rPr>
          <w:rFonts w:cs="Arial"/>
          <w:szCs w:val="22"/>
        </w:rPr>
        <w:t xml:space="preserve">Where </w:t>
      </w:r>
      <m:oMath>
        <m:sSubSup>
          <m:sSubSupPr>
            <m:ctrlPr>
              <w:rPr>
                <w:rFonts w:ascii="Cambria Math" w:hAnsi="Cambria Math" w:cs="Arial"/>
                <w:szCs w:val="22"/>
              </w:rPr>
            </m:ctrlPr>
          </m:sSubSupPr>
          <m:e>
            <m:r>
              <w:rPr>
                <w:rFonts w:ascii="Cambria Math" w:hAnsi="Cambria Math" w:cs="Arial"/>
                <w:szCs w:val="22"/>
              </w:rPr>
              <m:t>x</m:t>
            </m:r>
          </m:e>
          <m:sub>
            <m:r>
              <w:rPr>
                <w:rFonts w:ascii="Cambria Math" w:hAnsi="Cambria Math" w:cs="Arial"/>
                <w:szCs w:val="22"/>
              </w:rPr>
              <m:t>ij</m:t>
            </m:r>
          </m:sub>
          <m:sup>
            <m:r>
              <w:rPr>
                <w:rFonts w:ascii="Cambria Math" w:hAnsi="Cambria Math" w:cs="Arial"/>
                <w:szCs w:val="22"/>
              </w:rPr>
              <m:t>m</m:t>
            </m:r>
          </m:sup>
        </m:sSubSup>
      </m:oMath>
      <w:r w:rsidRPr="00F17FEE">
        <w:rPr>
          <w:rFonts w:cs="Arial"/>
          <w:szCs w:val="22"/>
        </w:rPr>
        <w:t xml:space="preserve"> represents the flow of sector </w:t>
      </w:r>
      <m:oMath>
        <m:r>
          <w:rPr>
            <w:rFonts w:ascii="Cambria Math" w:hAnsi="Cambria Math" w:cs="Arial"/>
            <w:szCs w:val="22"/>
          </w:rPr>
          <m:t>m</m:t>
        </m:r>
      </m:oMath>
      <w:r w:rsidRPr="00F17FEE">
        <w:rPr>
          <w:rFonts w:cs="Arial"/>
          <w:szCs w:val="22"/>
        </w:rPr>
        <w:t xml:space="preserve"> from region </w:t>
      </w:r>
      <m:oMath>
        <m:r>
          <w:rPr>
            <w:rFonts w:ascii="Cambria Math" w:hAnsi="Cambria Math" w:cs="Arial"/>
            <w:szCs w:val="22"/>
          </w:rPr>
          <m:t>i</m:t>
        </m:r>
      </m:oMath>
      <w:r w:rsidR="0087599A" w:rsidRPr="00F17FEE">
        <w:rPr>
          <w:rFonts w:cs="Arial"/>
          <w:szCs w:val="22"/>
        </w:rPr>
        <w:t xml:space="preserve"> </w:t>
      </w:r>
      <w:r w:rsidRPr="00F17FEE">
        <w:rPr>
          <w:rFonts w:cs="Arial"/>
          <w:szCs w:val="22"/>
        </w:rPr>
        <w:t xml:space="preserve">to region </w:t>
      </w:r>
      <m:oMath>
        <m:r>
          <w:rPr>
            <w:rFonts w:ascii="Cambria Math" w:hAnsi="Cambria Math" w:cs="Arial"/>
            <w:szCs w:val="22"/>
          </w:rPr>
          <m:t>j</m:t>
        </m:r>
      </m:oMath>
      <w:r w:rsidRPr="00F17FEE">
        <w:rPr>
          <w:rFonts w:cs="Arial"/>
          <w:szCs w:val="22"/>
        </w:rPr>
        <w:t xml:space="preserve">, </w:t>
      </w:r>
      <m:oMath>
        <m:sSubSup>
          <m:sSubSupPr>
            <m:ctrlPr>
              <w:rPr>
                <w:rFonts w:ascii="Cambria Math" w:hAnsi="Cambria Math" w:cs="Arial"/>
                <w:szCs w:val="22"/>
              </w:rPr>
            </m:ctrlPr>
          </m:sSubSupPr>
          <m:e>
            <m:r>
              <w:rPr>
                <w:rFonts w:ascii="Cambria Math" w:hAnsi="Cambria Math" w:cs="Arial"/>
                <w:szCs w:val="22"/>
              </w:rPr>
              <m:t>a</m:t>
            </m:r>
          </m:e>
          <m:sub>
            <m:r>
              <w:rPr>
                <w:rFonts w:ascii="Cambria Math" w:hAnsi="Cambria Math" w:cs="Arial"/>
                <w:szCs w:val="22"/>
              </w:rPr>
              <m:t>j</m:t>
            </m:r>
          </m:sub>
          <m:sup>
            <m:r>
              <w:rPr>
                <w:rFonts w:ascii="Cambria Math" w:hAnsi="Cambria Math" w:cs="Arial"/>
                <w:szCs w:val="22"/>
              </w:rPr>
              <m:t>mn</m:t>
            </m:r>
          </m:sup>
        </m:sSubSup>
      </m:oMath>
      <w:r w:rsidRPr="00F17FEE">
        <w:rPr>
          <w:rFonts w:cs="Arial"/>
          <w:szCs w:val="22"/>
        </w:rPr>
        <w:t xml:space="preserve"> is the technical coefficient that represents the fraction of production from commodity </w:t>
      </w:r>
      <m:oMath>
        <m:r>
          <w:rPr>
            <w:rFonts w:ascii="Cambria Math" w:hAnsi="Cambria Math"/>
          </w:rPr>
          <m:t>m</m:t>
        </m:r>
      </m:oMath>
      <w:r w:rsidRPr="00F17FEE">
        <w:rPr>
          <w:rFonts w:cs="Arial"/>
          <w:szCs w:val="22"/>
        </w:rPr>
        <w:t xml:space="preserve"> that is used in the production of commodity </w:t>
      </w:r>
      <m:oMath>
        <m:r>
          <w:rPr>
            <w:rFonts w:ascii="Cambria Math" w:hAnsi="Cambria Math" w:cs="Arial"/>
            <w:szCs w:val="22"/>
          </w:rPr>
          <m:t>n</m:t>
        </m:r>
      </m:oMath>
      <w:r w:rsidRPr="00F17FEE">
        <w:rPr>
          <w:rFonts w:cs="Arial"/>
          <w:szCs w:val="22"/>
        </w:rPr>
        <w:t xml:space="preserve"> and </w:t>
      </w:r>
      <m:oMath>
        <m:sSubSup>
          <m:sSubSupPr>
            <m:ctrlPr>
              <w:rPr>
                <w:rFonts w:ascii="Cambria Math" w:hAnsi="Cambria Math" w:cs="Arial"/>
                <w:szCs w:val="22"/>
              </w:rPr>
            </m:ctrlPr>
          </m:sSubSupPr>
          <m:e>
            <m:r>
              <w:rPr>
                <w:rFonts w:ascii="Cambria Math" w:hAnsi="Cambria Math" w:cs="Arial"/>
                <w:szCs w:val="22"/>
              </w:rPr>
              <m:t>Y</m:t>
            </m:r>
          </m:e>
          <m:sub>
            <m:r>
              <w:rPr>
                <w:rFonts w:ascii="Cambria Math" w:hAnsi="Cambria Math" w:cs="Arial"/>
                <w:szCs w:val="22"/>
              </w:rPr>
              <m:t>j</m:t>
            </m:r>
          </m:sub>
          <m:sup>
            <m:r>
              <w:rPr>
                <w:rFonts w:ascii="Cambria Math" w:hAnsi="Cambria Math" w:cs="Arial"/>
                <w:szCs w:val="22"/>
              </w:rPr>
              <m:t>m</m:t>
            </m:r>
          </m:sup>
        </m:sSubSup>
      </m:oMath>
      <w:r w:rsidRPr="00F17FEE">
        <w:rPr>
          <w:rFonts w:cs="Arial"/>
          <w:szCs w:val="22"/>
        </w:rPr>
        <w:t xml:space="preserve"> is the final demand for commodity m in region j. Trade flows were estimated upon gravity type formulations where the impedance for trade was expressed as a function of transportation costs </w:t>
      </w:r>
      <w:r w:rsidR="002E1ED6">
        <w:rPr>
          <w:rFonts w:cs="Arial"/>
          <w:szCs w:val="22"/>
        </w:rPr>
        <w:fldChar w:fldCharType="begin"/>
      </w:r>
      <w:r w:rsidR="002E1ED6">
        <w:rPr>
          <w:rFonts w:cs="Arial"/>
          <w:szCs w:val="22"/>
        </w:rPr>
        <w:instrText xml:space="preserve"> ADDIN EN.CITE &lt;EndNote&gt;&lt;Cite&gt;&lt;Author&gt;Leontief&lt;/Author&gt;&lt;Year&gt;1963&lt;/Year&gt;&lt;RecNum&gt;16&lt;/RecNum&gt;&lt;DisplayText&gt;(Leontief and Strout, 1963)&lt;/DisplayText&gt;&lt;record&gt;&lt;rec-number&gt;16&lt;/rec-number&gt;&lt;foreign-keys&gt;&lt;key app="EN" db-id="zesxtzdp6atewte95fc5dr2asp25rs2rstwt" timestamp="1512945675"&gt;16&lt;/key&gt;&lt;/foreign-keys&gt;&lt;ref-type name="Book Section"&gt;5&lt;/ref-type&gt;&lt;contributors&gt;&lt;authors&gt;&lt;author&gt;Leontief, Wassily&lt;/author&gt;&lt;author&gt;Strout, Alan&lt;/author&gt;&lt;/authors&gt;&lt;secondary-authors&gt;&lt;author&gt;Barna, Tibor&lt;/author&gt;&lt;/secondary-authors&gt;&lt;/contributors&gt;&lt;titles&gt;&lt;title&gt;Multiregional Input-Output Analysis&lt;/title&gt;&lt;/titles&gt;&lt;dates&gt;&lt;year&gt;1963&lt;/year&gt;&lt;/dates&gt;&lt;pub-location&gt;Toronto&lt;/pub-location&gt;&lt;publisher&gt;Palgrave McMillan&lt;/publisher&gt;&lt;isbn&gt;978-1-349-81636-1&lt;/isbn&gt;&lt;urls&gt;&lt;/urls&gt;&lt;electronic-resource-num&gt;10.1007/978-1-349-81634-7&lt;/electronic-resource-num&gt;&lt;/record&gt;&lt;/Cite&gt;&lt;/EndNote&gt;</w:instrText>
      </w:r>
      <w:r w:rsidR="002E1ED6">
        <w:rPr>
          <w:rFonts w:cs="Arial"/>
          <w:szCs w:val="22"/>
        </w:rPr>
        <w:fldChar w:fldCharType="separate"/>
      </w:r>
      <w:r w:rsidR="002E1ED6">
        <w:rPr>
          <w:rFonts w:cs="Arial"/>
          <w:noProof/>
          <w:szCs w:val="22"/>
        </w:rPr>
        <w:t>(Leontief and Strout, 1963)</w:t>
      </w:r>
      <w:r w:rsidR="002E1ED6">
        <w:rPr>
          <w:rFonts w:cs="Arial"/>
          <w:szCs w:val="22"/>
        </w:rPr>
        <w:fldChar w:fldCharType="end"/>
      </w:r>
      <w:r w:rsidRPr="00F17FEE">
        <w:rPr>
          <w:rFonts w:cs="Arial"/>
          <w:szCs w:val="22"/>
        </w:rPr>
        <w:t xml:space="preserve">. </w:t>
      </w:r>
    </w:p>
    <w:p w14:paraId="696315A3" w14:textId="77777777" w:rsidR="009F3ACF" w:rsidRDefault="009F3ACF" w:rsidP="00F17FEE">
      <w:pPr>
        <w:jc w:val="both"/>
        <w:outlineLvl w:val="0"/>
        <w:rPr>
          <w:rFonts w:cs="Arial"/>
          <w:szCs w:val="22"/>
        </w:rPr>
      </w:pPr>
    </w:p>
    <w:p w14:paraId="0EC777F6" w14:textId="77777777" w:rsidR="00125E17" w:rsidRDefault="00CF7821" w:rsidP="00F17FEE">
      <w:pPr>
        <w:jc w:val="both"/>
        <w:outlineLvl w:val="0"/>
        <w:rPr>
          <w:rFonts w:cs="Arial"/>
          <w:szCs w:val="22"/>
        </w:rPr>
      </w:pPr>
      <w:r w:rsidRPr="00F17FEE">
        <w:rPr>
          <w:rFonts w:cs="Arial"/>
          <w:szCs w:val="22"/>
        </w:rPr>
        <w:t xml:space="preserve">An alternative and more recent multiregional framework contemplates variations in trade coefficients through a discrete choice model; models that have been developed upon this concept are known to belong to the Random Utility Based MRIO (RUBMRIO) category </w:t>
      </w:r>
      <w:r w:rsidR="002E1ED6">
        <w:rPr>
          <w:rFonts w:cs="Arial"/>
          <w:szCs w:val="22"/>
        </w:rPr>
        <w:fldChar w:fldCharType="begin"/>
      </w:r>
      <w:r w:rsidR="002E1ED6">
        <w:rPr>
          <w:rFonts w:cs="Arial"/>
          <w:szCs w:val="22"/>
        </w:rPr>
        <w:instrText xml:space="preserve"> ADDIN EN.CITE &lt;EndNote&gt;&lt;Cite&gt;&lt;Author&gt;Cascetta&lt;/Author&gt;&lt;Year&gt;2013&lt;/Year&gt;&lt;RecNum&gt;6&lt;/RecNum&gt;&lt;DisplayText&gt;(Cascetta et al., 2013)&lt;/DisplayText&gt;&lt;record&gt;&lt;rec-number&gt;6&lt;/rec-number&gt;&lt;foreign-keys&gt;&lt;key app="EN" db-id="zesxtzdp6atewte95fc5dr2asp25rs2rstwt" timestamp="1512945675"&gt;6&lt;/key&gt;&lt;/foreign-keys&gt;&lt;ref-type name="Book Section"&gt;5&lt;/ref-type&gt;&lt;contributors&gt;&lt;authors&gt;&lt;author&gt;Cascetta, Ennio&lt;/author&gt;&lt;author&gt;Marzano, Vittorio&lt;/author&gt;&lt;author&gt;Papola, Andrea&lt;/author&gt;&lt;author&gt;Vitillo, Roberta&lt;/author&gt;&lt;/authors&gt;&lt;secondary-authors&gt;&lt;author&gt;Ben-Akiva, Moshe&lt;/author&gt;&lt;author&gt;Meersman, Hilde&lt;/author&gt;&lt;author&gt;Van de Voorde, Eddy&lt;/author&gt;&lt;/secondary-authors&gt;&lt;/contributors&gt;&lt;titles&gt;&lt;title&gt;A Multimodal Elastic Trade Coefficients MRIO Model for Freight Demand in Europe&lt;/title&gt;&lt;/titles&gt;&lt;pages&gt;400-400&lt;/pages&gt;&lt;dates&gt;&lt;year&gt;2013&lt;/year&gt;&lt;/dates&gt;&lt;pub-location&gt;Bingley&lt;/pub-location&gt;&lt;publisher&gt;Emerald Group&lt;/publisher&gt;&lt;isbn&gt;978-1-78190-285-1&lt;/isbn&gt;&lt;urls&gt;&lt;/urls&gt;&lt;/record&gt;&lt;/Cite&gt;&lt;/EndNote&gt;</w:instrText>
      </w:r>
      <w:r w:rsidR="002E1ED6">
        <w:rPr>
          <w:rFonts w:cs="Arial"/>
          <w:szCs w:val="22"/>
        </w:rPr>
        <w:fldChar w:fldCharType="separate"/>
      </w:r>
      <w:r w:rsidR="002E1ED6">
        <w:rPr>
          <w:rFonts w:cs="Arial"/>
          <w:noProof/>
          <w:szCs w:val="22"/>
        </w:rPr>
        <w:t>(Cascetta et al., 2013)</w:t>
      </w:r>
      <w:r w:rsidR="002E1ED6">
        <w:rPr>
          <w:rFonts w:cs="Arial"/>
          <w:szCs w:val="22"/>
        </w:rPr>
        <w:fldChar w:fldCharType="end"/>
      </w:r>
      <w:r w:rsidRPr="00F17FEE">
        <w:rPr>
          <w:rFonts w:cs="Arial"/>
          <w:szCs w:val="22"/>
        </w:rPr>
        <w:t xml:space="preserve">; TRANUS and MEPLAN are the most prominent software packages that have embodied the RUBMRIO approach in order to deliver transport-land use interaction models </w:t>
      </w:r>
      <w:r w:rsidR="002E1ED6">
        <w:rPr>
          <w:rFonts w:cs="Arial"/>
          <w:szCs w:val="22"/>
        </w:rPr>
        <w:fldChar w:fldCharType="begin"/>
      </w:r>
      <w:r w:rsidR="002E1ED6">
        <w:rPr>
          <w:rFonts w:cs="Arial"/>
          <w:szCs w:val="22"/>
        </w:rPr>
        <w:instrText xml:space="preserve"> ADDIN EN.CITE &lt;EndNote&gt;&lt;Cite&gt;&lt;Author&gt;Hunt&lt;/Author&gt;&lt;Year&gt;1993&lt;/Year&gt;&lt;RecNum&gt;9&lt;/RecNum&gt;&lt;DisplayText&gt;(Hunt and Simmonds, 1993)&lt;/DisplayText&gt;&lt;record&gt;&lt;rec-number&gt;9&lt;/rec-number&gt;&lt;foreign-keys&gt;&lt;key app="EN" db-id="zesxtzdp6atewte95fc5dr2asp25rs2rstwt" timestamp="1512945675"&gt;9&lt;/key&gt;&lt;/foreign-keys&gt;&lt;ref-type name="Journal Article"&gt;17&lt;/ref-type&gt;&lt;contributors&gt;&lt;authors&gt;&lt;author&gt;Hunt, J. D.&lt;/author&gt;&lt;author&gt;Simmonds, D. C.&lt;/author&gt;&lt;/authors&gt;&lt;/contributors&gt;&lt;titles&gt;&lt;title&gt;Theory and application of an integrated land-use and transport modelling framework&lt;/title&gt;&lt;secondary-title&gt;Environment and Planning B: Planning and Design&lt;/secondary-title&gt;&lt;/titles&gt;&lt;periodical&gt;&lt;full-title&gt;Environment and Planning B: Planning and Design&lt;/full-title&gt;&lt;/periodical&gt;&lt;pages&gt;221-244&lt;/pages&gt;&lt;volume&gt;20&lt;/volume&gt;&lt;dates&gt;&lt;year&gt;1993&lt;/year&gt;&lt;/dates&gt;&lt;urls&gt;&lt;/urls&gt;&lt;/record&gt;&lt;/Cite&gt;&lt;/EndNote&gt;</w:instrText>
      </w:r>
      <w:r w:rsidR="002E1ED6">
        <w:rPr>
          <w:rFonts w:cs="Arial"/>
          <w:szCs w:val="22"/>
        </w:rPr>
        <w:fldChar w:fldCharType="separate"/>
      </w:r>
      <w:r w:rsidR="002E1ED6">
        <w:rPr>
          <w:rFonts w:cs="Arial"/>
          <w:noProof/>
          <w:szCs w:val="22"/>
        </w:rPr>
        <w:t>(Hunt and Simmonds, 1993)</w:t>
      </w:r>
      <w:r w:rsidR="002E1ED6">
        <w:rPr>
          <w:rFonts w:cs="Arial"/>
          <w:szCs w:val="22"/>
        </w:rPr>
        <w:fldChar w:fldCharType="end"/>
      </w:r>
      <w:r w:rsidRPr="00F17FEE">
        <w:rPr>
          <w:rFonts w:cs="Arial"/>
          <w:szCs w:val="22"/>
        </w:rPr>
        <w:t xml:space="preserve">. Random utility is adopted to describe the choices that different sectors follow in order to purchase their inputs in a utility maximizing, or cost minimizing, way. This feature enables the model to respond to changes in transportation costs, so that, commodity prices are updated and may induce a change in the overall trade pattern; however, new prices do not affect the final demand which is exogenous to the model. </w:t>
      </w:r>
      <w:r w:rsidR="00436FE6">
        <w:rPr>
          <w:rFonts w:cs="Arial"/>
          <w:szCs w:val="22"/>
        </w:rPr>
        <w:t>The set of equations</w:t>
      </w:r>
      <w:r w:rsidR="002F2150">
        <w:rPr>
          <w:rFonts w:cs="Arial"/>
          <w:szCs w:val="22"/>
        </w:rPr>
        <w:t xml:space="preserve"> (6</w:t>
      </w:r>
      <w:r w:rsidR="00A67795">
        <w:rPr>
          <w:rFonts w:cs="Arial"/>
          <w:szCs w:val="22"/>
        </w:rPr>
        <w:t>-11</w:t>
      </w:r>
      <w:r w:rsidR="00AE71B6">
        <w:rPr>
          <w:rFonts w:cs="Arial"/>
          <w:szCs w:val="22"/>
        </w:rPr>
        <w:t xml:space="preserve">) </w:t>
      </w:r>
      <w:r w:rsidR="00436FE6">
        <w:rPr>
          <w:rFonts w:cs="Arial"/>
          <w:szCs w:val="22"/>
        </w:rPr>
        <w:t>h</w:t>
      </w:r>
      <w:r w:rsidR="00AE71B6">
        <w:rPr>
          <w:rFonts w:cs="Arial"/>
          <w:szCs w:val="22"/>
        </w:rPr>
        <w:t xml:space="preserve">ave been adapted to the </w:t>
      </w:r>
      <w:r w:rsidR="008251D3">
        <w:rPr>
          <w:rFonts w:cs="Arial"/>
          <w:szCs w:val="22"/>
        </w:rPr>
        <w:t xml:space="preserve">algorithm </w:t>
      </w:r>
      <w:r w:rsidR="00812A74">
        <w:rPr>
          <w:rFonts w:cs="Arial"/>
          <w:szCs w:val="22"/>
        </w:rPr>
        <w:t>proposed initially by</w:t>
      </w:r>
      <w:r w:rsidR="002E1ED6">
        <w:rPr>
          <w:rFonts w:cs="Arial"/>
          <w:szCs w:val="22"/>
        </w:rPr>
        <w:t xml:space="preserve"> </w:t>
      </w:r>
      <w:r w:rsidR="002E1ED6">
        <w:rPr>
          <w:rFonts w:cs="Arial"/>
          <w:szCs w:val="22"/>
        </w:rPr>
        <w:fldChar w:fldCharType="begin"/>
      </w:r>
      <w:r w:rsidR="002E1ED6">
        <w:rPr>
          <w:rFonts w:cs="Arial"/>
          <w:szCs w:val="22"/>
        </w:rPr>
        <w:instrText xml:space="preserve"> ADDIN EN.CITE &lt;EndNote&gt;&lt;Cite AuthorYear="1"&gt;&lt;Author&gt;Hunt&lt;/Author&gt;&lt;Year&gt;1993&lt;/Year&gt;&lt;RecNum&gt;9&lt;/RecNum&gt;&lt;DisplayText&gt;Hunt and Simmonds (1993)&lt;/DisplayText&gt;&lt;record&gt;&lt;rec-number&gt;9&lt;/rec-number&gt;&lt;foreign-keys&gt;&lt;key app="EN" db-id="zesxtzdp6atewte95fc5dr2asp25rs2rstwt" timestamp="1512945675"&gt;9&lt;/key&gt;&lt;/foreign-keys&gt;&lt;ref-type name="Journal Article"&gt;17&lt;/ref-type&gt;&lt;contributors&gt;&lt;authors&gt;&lt;author&gt;Hunt, J. D.&lt;/author&gt;&lt;author&gt;Simmonds, D. C.&lt;/author&gt;&lt;/authors&gt;&lt;/contributors&gt;&lt;titles&gt;&lt;title&gt;Theory and application of an integrated land-use and transport modelling framework&lt;/title&gt;&lt;secondary-title&gt;Environment and Planning B: Planning and Design&lt;/secondary-title&gt;&lt;/titles&gt;&lt;periodical&gt;&lt;full-title&gt;Environment and Planning B: Planning and Design&lt;/full-title&gt;&lt;/periodical&gt;&lt;pages&gt;221-244&lt;/pages&gt;&lt;volume&gt;20&lt;/volume&gt;&lt;dates&gt;&lt;year&gt;1993&lt;/year&gt;&lt;/dates&gt;&lt;urls&gt;&lt;/urls&gt;&lt;/record&gt;&lt;/Cite&gt;&lt;/EndNote&gt;</w:instrText>
      </w:r>
      <w:r w:rsidR="002E1ED6">
        <w:rPr>
          <w:rFonts w:cs="Arial"/>
          <w:szCs w:val="22"/>
        </w:rPr>
        <w:fldChar w:fldCharType="separate"/>
      </w:r>
      <w:r w:rsidR="002E1ED6">
        <w:rPr>
          <w:rFonts w:cs="Arial"/>
          <w:noProof/>
          <w:szCs w:val="22"/>
        </w:rPr>
        <w:t>Hunt and Simmonds (1993)</w:t>
      </w:r>
      <w:r w:rsidR="002E1ED6">
        <w:rPr>
          <w:rFonts w:cs="Arial"/>
          <w:szCs w:val="22"/>
        </w:rPr>
        <w:fldChar w:fldCharType="end"/>
      </w:r>
      <w:r w:rsidR="00AE71B6">
        <w:rPr>
          <w:rFonts w:cs="Arial"/>
          <w:szCs w:val="22"/>
        </w:rPr>
        <w:t>;</w:t>
      </w:r>
      <w:r w:rsidR="00812A74">
        <w:rPr>
          <w:rFonts w:cs="Arial"/>
          <w:szCs w:val="22"/>
        </w:rPr>
        <w:t xml:space="preserve"> more details on the algorithm will be provided </w:t>
      </w:r>
      <w:r w:rsidR="008251D3">
        <w:rPr>
          <w:rFonts w:cs="Arial"/>
          <w:szCs w:val="22"/>
        </w:rPr>
        <w:t>at the end of this section</w:t>
      </w:r>
      <w:r w:rsidR="00812A74">
        <w:rPr>
          <w:rFonts w:cs="Arial"/>
          <w:szCs w:val="22"/>
        </w:rPr>
        <w:t xml:space="preserve">. </w:t>
      </w:r>
    </w:p>
    <w:p w14:paraId="7E172E5C" w14:textId="77777777" w:rsidR="00125E17" w:rsidRDefault="00125E17" w:rsidP="00F17FEE">
      <w:pPr>
        <w:jc w:val="both"/>
        <w:outlineLvl w:val="0"/>
        <w:rPr>
          <w:rFonts w:cs="Arial"/>
          <w:szCs w:val="22"/>
        </w:rPr>
      </w:pPr>
    </w:p>
    <w:p w14:paraId="5A5A8CCF" w14:textId="77777777" w:rsidR="00125E17" w:rsidRDefault="00125E17" w:rsidP="00F17FEE">
      <w:pPr>
        <w:jc w:val="both"/>
        <w:outlineLvl w:val="0"/>
        <w:rPr>
          <w:rFonts w:cs="Arial"/>
          <w:szCs w:val="22"/>
        </w:rPr>
      </w:pPr>
    </w:p>
    <w:p w14:paraId="5ED8D81C" w14:textId="77777777" w:rsidR="00125E17" w:rsidRDefault="00125E17" w:rsidP="00F17FEE">
      <w:pPr>
        <w:jc w:val="both"/>
        <w:outlineLvl w:val="0"/>
        <w:rPr>
          <w:rFonts w:cs="Arial"/>
          <w:szCs w:val="22"/>
        </w:rPr>
      </w:pPr>
    </w:p>
    <w:p w14:paraId="19420E1F" w14:textId="1551CC4C" w:rsidR="00CF7821" w:rsidRDefault="00CF7821" w:rsidP="00F17FEE">
      <w:pPr>
        <w:jc w:val="both"/>
        <w:outlineLvl w:val="0"/>
        <w:rPr>
          <w:rFonts w:cs="Arial"/>
          <w:szCs w:val="22"/>
        </w:rPr>
      </w:pPr>
      <w:r w:rsidRPr="00F17FEE">
        <w:rPr>
          <w:rFonts w:cs="Arial"/>
          <w:szCs w:val="22"/>
        </w:rPr>
        <w:lastRenderedPageBreak/>
        <w:t>The disutility function has the following form:</w:t>
      </w:r>
    </w:p>
    <w:p w14:paraId="16247110" w14:textId="77777777" w:rsidR="00F17FEE" w:rsidRPr="00F17FEE" w:rsidRDefault="00F17FEE" w:rsidP="00F17FEE">
      <w:pPr>
        <w:jc w:val="both"/>
        <w:outlineLvl w:val="0"/>
        <w:rPr>
          <w:rFonts w:cs="Arial"/>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3118"/>
      </w:tblGrid>
      <w:tr w:rsidR="00CF7821" w14:paraId="436BC394" w14:textId="77777777" w:rsidTr="00254BCB">
        <w:trPr>
          <w:jc w:val="center"/>
        </w:trPr>
        <w:tc>
          <w:tcPr>
            <w:tcW w:w="3118" w:type="dxa"/>
            <w:vAlign w:val="center"/>
          </w:tcPr>
          <w:p w14:paraId="0F123654" w14:textId="77777777" w:rsidR="00CF7821" w:rsidRPr="003F1826" w:rsidRDefault="003F1826" w:rsidP="00254BCB">
            <w:pPr>
              <w:pStyle w:val="BodyText1"/>
              <w:ind w:left="0"/>
              <w:jc w:val="center"/>
            </w:pPr>
            <m:oMathPara>
              <m:oMath>
                <m:r>
                  <w:rPr>
                    <w:rFonts w:ascii="Cambria Math" w:hAnsi="Cambria Math"/>
                  </w:rPr>
                  <m:t>-</m:t>
                </m:r>
                <m:sSubSup>
                  <m:sSubSupPr>
                    <m:ctrlPr>
                      <w:rPr>
                        <w:rFonts w:ascii="Cambria Math" w:hAnsi="Cambria Math"/>
                        <w:i/>
                      </w:rPr>
                    </m:ctrlPr>
                  </m:sSubSupPr>
                  <m:e>
                    <m:r>
                      <w:rPr>
                        <w:rFonts w:ascii="Cambria Math" w:hAnsi="Cambria Math"/>
                      </w:rPr>
                      <m:t>u</m:t>
                    </m:r>
                  </m:e>
                  <m:sub>
                    <m:r>
                      <w:rPr>
                        <w:rFonts w:ascii="Cambria Math" w:hAnsi="Cambria Math"/>
                      </w:rPr>
                      <m:t>ij</m:t>
                    </m:r>
                  </m:sub>
                  <m:sup>
                    <m:r>
                      <w:rPr>
                        <w:rFonts w:ascii="Cambria Math" w:hAnsi="Cambria Math"/>
                      </w:rPr>
                      <m:t>n</m:t>
                    </m:r>
                  </m:sup>
                </m:sSubSup>
                <m:r>
                  <w:rPr>
                    <w:rFonts w:ascii="Cambria Math" w:hAnsi="Cambria Math"/>
                  </w:rPr>
                  <m:t>=</m:t>
                </m:r>
                <m:sSubSup>
                  <m:sSubSupPr>
                    <m:ctrlPr>
                      <w:rPr>
                        <w:rFonts w:ascii="Cambria Math" w:hAnsi="Cambria Math"/>
                        <w:i/>
                      </w:rPr>
                    </m:ctrlPr>
                  </m:sSubSupPr>
                  <m:e>
                    <m:r>
                      <w:rPr>
                        <w:rFonts w:ascii="Cambria Math" w:hAnsi="Cambria Math"/>
                      </w:rPr>
                      <m:t>b</m:t>
                    </m:r>
                  </m:e>
                  <m:sub>
                    <m:r>
                      <w:rPr>
                        <w:rFonts w:ascii="Cambria Math" w:hAnsi="Cambria Math"/>
                      </w:rPr>
                      <m:t>i</m:t>
                    </m:r>
                  </m:sub>
                  <m:sup>
                    <m:r>
                      <w:rPr>
                        <w:rFonts w:ascii="Cambria Math" w:hAnsi="Cambria Math"/>
                      </w:rPr>
                      <m:t>n</m:t>
                    </m:r>
                  </m:sup>
                </m:sSubSup>
                <m:r>
                  <w:rPr>
                    <w:rFonts w:ascii="Cambria Math" w:hAnsi="Cambria Math"/>
                  </w:rPr>
                  <m:t>+</m:t>
                </m:r>
                <m:sSubSup>
                  <m:sSubSupPr>
                    <m:ctrlPr>
                      <w:rPr>
                        <w:rFonts w:ascii="Cambria Math" w:hAnsi="Cambria Math"/>
                        <w:i/>
                      </w:rPr>
                    </m:ctrlPr>
                  </m:sSubSupPr>
                  <m:e>
                    <m:r>
                      <w:rPr>
                        <w:rFonts w:ascii="Cambria Math" w:hAnsi="Cambria Math"/>
                      </w:rPr>
                      <m:t>d</m:t>
                    </m:r>
                  </m:e>
                  <m:sub>
                    <m:r>
                      <w:rPr>
                        <w:rFonts w:ascii="Cambria Math" w:hAnsi="Cambria Math"/>
                      </w:rPr>
                      <m:t>ij</m:t>
                    </m:r>
                  </m:sub>
                  <m:sup>
                    <m:r>
                      <w:rPr>
                        <w:rFonts w:ascii="Cambria Math" w:hAnsi="Cambria Math"/>
                      </w:rPr>
                      <m:t>n</m:t>
                    </m:r>
                  </m:sup>
                </m:sSubSup>
                <m:r>
                  <w:rPr>
                    <w:rFonts w:ascii="Cambria Math" w:hAnsi="Cambria Math"/>
                  </w:rPr>
                  <m:t>+</m:t>
                </m:r>
                <m:sSubSup>
                  <m:sSubSupPr>
                    <m:ctrlPr>
                      <w:rPr>
                        <w:rFonts w:ascii="Cambria Math" w:hAnsi="Cambria Math"/>
                        <w:i/>
                      </w:rPr>
                    </m:ctrlPr>
                  </m:sSubSupPr>
                  <m:e>
                    <m:r>
                      <w:rPr>
                        <w:rFonts w:ascii="Cambria Math" w:hAnsi="Cambria Math"/>
                      </w:rPr>
                      <m:t>ε</m:t>
                    </m:r>
                  </m:e>
                  <m:sub>
                    <m:r>
                      <w:rPr>
                        <w:rFonts w:ascii="Cambria Math" w:hAnsi="Cambria Math"/>
                      </w:rPr>
                      <m:t>ij</m:t>
                    </m:r>
                  </m:sub>
                  <m:sup>
                    <m:r>
                      <w:rPr>
                        <w:rFonts w:ascii="Cambria Math" w:hAnsi="Cambria Math"/>
                      </w:rPr>
                      <m:t>n</m:t>
                    </m:r>
                  </m:sup>
                </m:sSubSup>
                <m:r>
                  <w:rPr>
                    <w:rFonts w:ascii="Cambria Math" w:hAnsi="Cambria Math"/>
                  </w:rPr>
                  <m:t xml:space="preserve">      ∀i,j,n</m:t>
                </m:r>
              </m:oMath>
            </m:oMathPara>
          </w:p>
        </w:tc>
        <w:tc>
          <w:tcPr>
            <w:tcW w:w="3118" w:type="dxa"/>
            <w:vAlign w:val="center"/>
          </w:tcPr>
          <w:p w14:paraId="48BADAE1" w14:textId="77777777" w:rsidR="00CF7821" w:rsidRDefault="00CF7821" w:rsidP="00254BCB">
            <w:pPr>
              <w:pStyle w:val="BodyText1"/>
              <w:ind w:left="0"/>
              <w:jc w:val="center"/>
            </w:pPr>
            <w:r>
              <w:t>(5)</w:t>
            </w:r>
          </w:p>
        </w:tc>
      </w:tr>
    </w:tbl>
    <w:p w14:paraId="3FE78E20" w14:textId="77777777" w:rsidR="00125E17" w:rsidRDefault="00125E17" w:rsidP="00F17FEE">
      <w:pPr>
        <w:jc w:val="both"/>
        <w:outlineLvl w:val="0"/>
        <w:rPr>
          <w:rFonts w:cs="Arial"/>
          <w:szCs w:val="22"/>
        </w:rPr>
      </w:pPr>
    </w:p>
    <w:p w14:paraId="24416014" w14:textId="77777777" w:rsidR="009F3ACF" w:rsidRDefault="00CF7821" w:rsidP="00F17FEE">
      <w:pPr>
        <w:jc w:val="both"/>
        <w:outlineLvl w:val="0"/>
        <w:rPr>
          <w:rFonts w:cs="Arial"/>
          <w:szCs w:val="22"/>
        </w:rPr>
      </w:pPr>
      <w:r w:rsidRPr="00F17FEE">
        <w:rPr>
          <w:rFonts w:cs="Arial"/>
          <w:szCs w:val="22"/>
        </w:rPr>
        <w:t xml:space="preserve">Where </w:t>
      </w:r>
      <m:oMath>
        <m:sSubSup>
          <m:sSubSupPr>
            <m:ctrlPr>
              <w:rPr>
                <w:rFonts w:ascii="Cambria Math" w:hAnsi="Cambria Math" w:cs="Arial"/>
                <w:szCs w:val="22"/>
              </w:rPr>
            </m:ctrlPr>
          </m:sSubSupPr>
          <m:e>
            <m:r>
              <w:rPr>
                <w:rFonts w:ascii="Cambria Math" w:hAnsi="Cambria Math" w:cs="Arial"/>
                <w:szCs w:val="22"/>
              </w:rPr>
              <m:t>u</m:t>
            </m:r>
          </m:e>
          <m:sub>
            <m:r>
              <w:rPr>
                <w:rFonts w:ascii="Cambria Math" w:hAnsi="Cambria Math" w:cs="Arial"/>
                <w:szCs w:val="22"/>
              </w:rPr>
              <m:t>ij</m:t>
            </m:r>
          </m:sub>
          <m:sup>
            <m:r>
              <w:rPr>
                <w:rFonts w:ascii="Cambria Math" w:hAnsi="Cambria Math" w:cs="Arial"/>
                <w:szCs w:val="22"/>
              </w:rPr>
              <m:t>n</m:t>
            </m:r>
          </m:sup>
        </m:sSubSup>
      </m:oMath>
      <w:r w:rsidRPr="00F17FEE">
        <w:rPr>
          <w:rFonts w:cs="Arial"/>
          <w:szCs w:val="22"/>
        </w:rPr>
        <w:t xml:space="preserve"> is the utility of each region trading with each other region, </w:t>
      </w:r>
      <m:oMath>
        <m:sSubSup>
          <m:sSubSupPr>
            <m:ctrlPr>
              <w:rPr>
                <w:rFonts w:ascii="Cambria Math" w:hAnsi="Cambria Math" w:cs="Arial"/>
                <w:szCs w:val="22"/>
              </w:rPr>
            </m:ctrlPr>
          </m:sSubSupPr>
          <m:e>
            <m:r>
              <w:rPr>
                <w:rFonts w:ascii="Cambria Math" w:hAnsi="Cambria Math" w:cs="Arial"/>
                <w:szCs w:val="22"/>
              </w:rPr>
              <m:t>b</m:t>
            </m:r>
          </m:e>
          <m:sub>
            <m:r>
              <w:rPr>
                <w:rFonts w:ascii="Cambria Math" w:hAnsi="Cambria Math" w:cs="Arial"/>
                <w:szCs w:val="22"/>
              </w:rPr>
              <m:t>i</m:t>
            </m:r>
          </m:sub>
          <m:sup>
            <m:r>
              <w:rPr>
                <w:rFonts w:ascii="Cambria Math" w:hAnsi="Cambria Math" w:cs="Arial"/>
                <w:szCs w:val="22"/>
              </w:rPr>
              <m:t>n</m:t>
            </m:r>
          </m:sup>
        </m:sSubSup>
      </m:oMath>
      <w:r w:rsidRPr="00F17FEE">
        <w:rPr>
          <w:rFonts w:cs="Arial"/>
          <w:szCs w:val="22"/>
        </w:rPr>
        <w:t xml:space="preserve"> is the selling price of commodity </w:t>
      </w:r>
      <m:oMath>
        <m:r>
          <w:rPr>
            <w:rFonts w:ascii="Cambria Math" w:hAnsi="Cambria Math" w:cs="Arial"/>
            <w:szCs w:val="22"/>
          </w:rPr>
          <m:t>n</m:t>
        </m:r>
      </m:oMath>
      <w:r w:rsidRPr="00F17FEE">
        <w:rPr>
          <w:rFonts w:cs="Arial"/>
          <w:szCs w:val="22"/>
        </w:rPr>
        <w:t xml:space="preserve"> in region </w:t>
      </w:r>
      <m:oMath>
        <m:r>
          <w:rPr>
            <w:rFonts w:ascii="Cambria Math" w:hAnsi="Cambria Math" w:cs="Arial"/>
            <w:szCs w:val="22"/>
          </w:rPr>
          <m:t>i</m:t>
        </m:r>
      </m:oMath>
      <w:r w:rsidRPr="00F17FEE">
        <w:rPr>
          <w:rFonts w:cs="Arial"/>
          <w:szCs w:val="22"/>
        </w:rPr>
        <w:t xml:space="preserve">, </w:t>
      </w:r>
      <m:oMath>
        <m:sSubSup>
          <m:sSubSupPr>
            <m:ctrlPr>
              <w:rPr>
                <w:rFonts w:ascii="Cambria Math" w:hAnsi="Cambria Math" w:cs="Arial"/>
                <w:szCs w:val="22"/>
              </w:rPr>
            </m:ctrlPr>
          </m:sSubSupPr>
          <m:e>
            <m:r>
              <w:rPr>
                <w:rFonts w:ascii="Cambria Math" w:hAnsi="Cambria Math" w:cs="Arial"/>
                <w:szCs w:val="22"/>
              </w:rPr>
              <m:t>d</m:t>
            </m:r>
          </m:e>
          <m:sub>
            <m:r>
              <w:rPr>
                <w:rFonts w:ascii="Cambria Math" w:hAnsi="Cambria Math" w:cs="Arial"/>
                <w:szCs w:val="22"/>
              </w:rPr>
              <m:t>ij</m:t>
            </m:r>
          </m:sub>
          <m:sup>
            <m:r>
              <w:rPr>
                <w:rFonts w:ascii="Cambria Math" w:hAnsi="Cambria Math" w:cs="Arial"/>
                <w:szCs w:val="22"/>
              </w:rPr>
              <m:t>n</m:t>
            </m:r>
          </m:sup>
        </m:sSubSup>
      </m:oMath>
      <w:r w:rsidRPr="00F17FEE">
        <w:rPr>
          <w:rFonts w:cs="Arial"/>
          <w:szCs w:val="22"/>
        </w:rPr>
        <w:t xml:space="preserve"> is the transportation cost between region </w:t>
      </w:r>
      <m:oMath>
        <m:r>
          <w:rPr>
            <w:rFonts w:ascii="Cambria Math" w:hAnsi="Cambria Math" w:cs="Arial"/>
            <w:szCs w:val="22"/>
          </w:rPr>
          <m:t>i</m:t>
        </m:r>
      </m:oMath>
      <w:r w:rsidRPr="00F17FEE">
        <w:rPr>
          <w:rFonts w:cs="Arial"/>
          <w:szCs w:val="22"/>
        </w:rPr>
        <w:t xml:space="preserve"> and </w:t>
      </w:r>
      <m:oMath>
        <m:r>
          <w:rPr>
            <w:rFonts w:ascii="Cambria Math" w:hAnsi="Cambria Math" w:cs="Arial"/>
            <w:szCs w:val="22"/>
          </w:rPr>
          <m:t>j</m:t>
        </m:r>
      </m:oMath>
      <w:r w:rsidRPr="00F17FEE">
        <w:rPr>
          <w:rFonts w:cs="Arial"/>
          <w:szCs w:val="22"/>
        </w:rPr>
        <w:t xml:space="preserve">, for commodity </w:t>
      </w:r>
      <m:oMath>
        <m:r>
          <w:rPr>
            <w:rFonts w:ascii="Cambria Math" w:hAnsi="Cambria Math" w:cs="Arial"/>
            <w:szCs w:val="22"/>
          </w:rPr>
          <m:t>n</m:t>
        </m:r>
      </m:oMath>
      <w:r w:rsidRPr="00F17FEE">
        <w:rPr>
          <w:rFonts w:cs="Arial"/>
          <w:szCs w:val="22"/>
        </w:rPr>
        <w:t>. These two attributes (price and transportation costs) represent the systematic or representative part</w:t>
      </w:r>
      <w:proofErr w:type="gramStart"/>
      <w:r w:rsidR="00A81FFE">
        <w:rPr>
          <w:rFonts w:cs="Arial"/>
          <w:szCs w:val="22"/>
        </w:rPr>
        <w:t>,</w:t>
      </w:r>
      <w:r w:rsidRPr="00F17FEE">
        <w:rPr>
          <w:rFonts w:cs="Arial"/>
          <w:szCs w:val="22"/>
        </w:rPr>
        <w:t xml:space="preserve"> </w:t>
      </w:r>
      <w:proofErr w:type="gramEnd"/>
      <m:oMath>
        <m:sSubSup>
          <m:sSubSupPr>
            <m:ctrlPr>
              <w:rPr>
                <w:rFonts w:ascii="Cambria Math" w:hAnsi="Cambria Math" w:cs="Arial"/>
                <w:szCs w:val="22"/>
              </w:rPr>
            </m:ctrlPr>
          </m:sSubSupPr>
          <m:e>
            <m:r>
              <w:rPr>
                <w:rFonts w:ascii="Cambria Math" w:hAnsi="Cambria Math" w:cs="Arial"/>
                <w:szCs w:val="22"/>
              </w:rPr>
              <m:t>v</m:t>
            </m:r>
          </m:e>
          <m:sub>
            <m:r>
              <w:rPr>
                <w:rFonts w:ascii="Cambria Math" w:hAnsi="Cambria Math" w:cs="Arial"/>
                <w:szCs w:val="22"/>
              </w:rPr>
              <m:t>ij</m:t>
            </m:r>
          </m:sub>
          <m:sup>
            <m:r>
              <w:rPr>
                <w:rFonts w:ascii="Cambria Math" w:hAnsi="Cambria Math" w:cs="Arial"/>
                <w:szCs w:val="22"/>
              </w:rPr>
              <m:t>n</m:t>
            </m:r>
          </m:sup>
        </m:sSubSup>
      </m:oMath>
      <w:r w:rsidRPr="00F17FEE">
        <w:rPr>
          <w:rFonts w:cs="Arial"/>
          <w:szCs w:val="22"/>
        </w:rPr>
        <w:t xml:space="preserve">. The term </w:t>
      </w:r>
      <m:oMath>
        <m:sSubSup>
          <m:sSubSupPr>
            <m:ctrlPr>
              <w:rPr>
                <w:rFonts w:ascii="Cambria Math" w:hAnsi="Cambria Math" w:cs="Arial"/>
                <w:szCs w:val="22"/>
              </w:rPr>
            </m:ctrlPr>
          </m:sSubSupPr>
          <m:e>
            <m:r>
              <w:rPr>
                <w:rFonts w:ascii="Cambria Math" w:hAnsi="Cambria Math" w:cs="Arial"/>
                <w:szCs w:val="22"/>
              </w:rPr>
              <m:t>ε</m:t>
            </m:r>
          </m:e>
          <m:sub>
            <m:r>
              <w:rPr>
                <w:rFonts w:ascii="Cambria Math" w:hAnsi="Cambria Math" w:cs="Arial"/>
                <w:szCs w:val="22"/>
              </w:rPr>
              <m:t>ij</m:t>
            </m:r>
          </m:sub>
          <m:sup>
            <m:r>
              <w:rPr>
                <w:rFonts w:ascii="Cambria Math" w:hAnsi="Cambria Math" w:cs="Arial"/>
                <w:szCs w:val="22"/>
              </w:rPr>
              <m:t>n</m:t>
            </m:r>
          </m:sup>
        </m:sSubSup>
      </m:oMath>
      <w:r w:rsidRPr="00F17FEE">
        <w:rPr>
          <w:rFonts w:cs="Arial"/>
          <w:szCs w:val="22"/>
        </w:rPr>
        <w:t xml:space="preserve"> is a random element that encompasses particular features that have not been considered in the systematic portion, together with measurement and observational errors. It can be assumed that the residuals </w:t>
      </w:r>
      <m:oMath>
        <m:sSubSup>
          <m:sSubSupPr>
            <m:ctrlPr>
              <w:rPr>
                <w:rFonts w:ascii="Cambria Math" w:hAnsi="Cambria Math" w:cs="Arial"/>
                <w:szCs w:val="22"/>
              </w:rPr>
            </m:ctrlPr>
          </m:sSubSupPr>
          <m:e>
            <m:r>
              <w:rPr>
                <w:rFonts w:ascii="Cambria Math" w:hAnsi="Cambria Math" w:cs="Arial"/>
                <w:szCs w:val="22"/>
              </w:rPr>
              <m:t>ε</m:t>
            </m:r>
          </m:e>
          <m:sub>
            <m:r>
              <w:rPr>
                <w:rFonts w:ascii="Cambria Math" w:hAnsi="Cambria Math" w:cs="Arial"/>
                <w:szCs w:val="22"/>
              </w:rPr>
              <m:t>ij</m:t>
            </m:r>
          </m:sub>
          <m:sup>
            <m:r>
              <w:rPr>
                <w:rFonts w:ascii="Cambria Math" w:hAnsi="Cambria Math" w:cs="Arial"/>
                <w:szCs w:val="22"/>
              </w:rPr>
              <m:t>n</m:t>
            </m:r>
          </m:sup>
        </m:sSubSup>
      </m:oMath>
      <w:r w:rsidRPr="00F17FEE">
        <w:rPr>
          <w:rFonts w:cs="Arial"/>
          <w:szCs w:val="22"/>
        </w:rPr>
        <w:t xml:space="preserve"> are random variables that follow a specific probability distribution with mean equal to 0; different assumptions about the distribution of residuals result in different representations of the model used to describe and predict choice probabilities</w:t>
      </w:r>
      <w:r w:rsidR="002E1ED6">
        <w:rPr>
          <w:rFonts w:cs="Arial"/>
          <w:szCs w:val="22"/>
        </w:rPr>
        <w:t xml:space="preserve"> </w:t>
      </w:r>
      <w:r w:rsidR="002E1ED6">
        <w:rPr>
          <w:rFonts w:cs="Arial"/>
          <w:szCs w:val="22"/>
        </w:rPr>
        <w:fldChar w:fldCharType="begin"/>
      </w:r>
      <w:r w:rsidR="002E1ED6">
        <w:rPr>
          <w:rFonts w:cs="Arial"/>
          <w:szCs w:val="22"/>
        </w:rPr>
        <w:instrText xml:space="preserve"> ADDIN EN.CITE &lt;EndNote&gt;&lt;Cite&gt;&lt;Author&gt;Ben-Akiva&lt;/Author&gt;&lt;Year&gt;1993&lt;/Year&gt;&lt;RecNum&gt;3&lt;/RecNum&gt;&lt;DisplayText&gt;(Ben-Akiva and Lerman, 1993)&lt;/DisplayText&gt;&lt;record&gt;&lt;rec-number&gt;3&lt;/rec-number&gt;&lt;foreign-keys&gt;&lt;key app="EN" db-id="zesxtzdp6atewte95fc5dr2asp25rs2rstwt" timestamp="1512945675"&gt;3&lt;/key&gt;&lt;/foreign-keys&gt;&lt;ref-type name="Journal Article"&gt;17&lt;/ref-type&gt;&lt;contributors&gt;&lt;authors&gt;&lt;author&gt;Ben-Akiva, M.&lt;/author&gt;&lt;author&gt;Lerman, S.&lt;/author&gt;&lt;/authors&gt;&lt;/contributors&gt;&lt;titles&gt;&lt;title&gt;Discrete choice analysis: theory and application to travel demand&lt;/title&gt;&lt;secondary-title&gt;books.google.com&lt;/secondary-title&gt;&lt;/titles&gt;&lt;periodical&gt;&lt;full-title&gt;books.google.com&lt;/full-title&gt;&lt;/periodical&gt;&lt;dates&gt;&lt;year&gt;1993&lt;/year&gt;&lt;/dates&gt;&lt;isbn&gt;0262022176&lt;/isbn&gt;&lt;urls&gt;&lt;related-urls&gt;&lt;url&gt;http://books.google.com/books?hl=en&amp;amp;lr=&amp;amp;id=oLC6ZYPs9UoC&amp;amp;oi=fnd&amp;amp;pg=PR11&amp;amp;dq=ben+akiva+lerman&amp;amp;ots=nKfqjYeqKh&amp;amp;sig=P4HdiGRDYCBcl5FoPwSrkSci-as&lt;/url&gt;&lt;/related-urls&gt;&lt;/urls&gt;&lt;electronic-resource-num&gt;10.1016/0191-2607(88)90064-7&lt;/electronic-resource-num&gt;&lt;/record&gt;&lt;/Cite&gt;&lt;/EndNote&gt;</w:instrText>
      </w:r>
      <w:r w:rsidR="002E1ED6">
        <w:rPr>
          <w:rFonts w:cs="Arial"/>
          <w:szCs w:val="22"/>
        </w:rPr>
        <w:fldChar w:fldCharType="separate"/>
      </w:r>
      <w:r w:rsidR="002E1ED6">
        <w:rPr>
          <w:rFonts w:cs="Arial"/>
          <w:noProof/>
          <w:szCs w:val="22"/>
        </w:rPr>
        <w:t>(Ben-Akiva and Lerman, 1993)</w:t>
      </w:r>
      <w:r w:rsidR="002E1ED6">
        <w:rPr>
          <w:rFonts w:cs="Arial"/>
          <w:szCs w:val="22"/>
        </w:rPr>
        <w:fldChar w:fldCharType="end"/>
      </w:r>
      <w:r w:rsidRPr="00F17FEE">
        <w:rPr>
          <w:rFonts w:cs="Arial"/>
          <w:szCs w:val="22"/>
        </w:rPr>
        <w:t xml:space="preserve">. </w:t>
      </w:r>
    </w:p>
    <w:p w14:paraId="7B0FAD7D" w14:textId="77777777" w:rsidR="009F3ACF" w:rsidRDefault="009F3ACF" w:rsidP="00F17FEE">
      <w:pPr>
        <w:jc w:val="both"/>
        <w:outlineLvl w:val="0"/>
        <w:rPr>
          <w:rFonts w:cs="Arial"/>
          <w:szCs w:val="22"/>
        </w:rPr>
      </w:pPr>
    </w:p>
    <w:p w14:paraId="237F8687" w14:textId="1B5F5252" w:rsidR="00CF7821" w:rsidRDefault="00CF7821" w:rsidP="00F17FEE">
      <w:pPr>
        <w:jc w:val="both"/>
        <w:outlineLvl w:val="0"/>
      </w:pPr>
      <w:r w:rsidRPr="00F17FEE">
        <w:rPr>
          <w:rFonts w:cs="Arial"/>
          <w:szCs w:val="22"/>
        </w:rPr>
        <w:t xml:space="preserve">The assumption of a normal distribution leads to the formulation of a Multinomial </w:t>
      </w:r>
      <w:proofErr w:type="spellStart"/>
      <w:r w:rsidRPr="00F17FEE">
        <w:rPr>
          <w:rFonts w:cs="Arial"/>
          <w:szCs w:val="22"/>
        </w:rPr>
        <w:t>Probit</w:t>
      </w:r>
      <w:proofErr w:type="spellEnd"/>
      <w:r w:rsidRPr="00F17FEE">
        <w:rPr>
          <w:rFonts w:cs="Arial"/>
          <w:szCs w:val="22"/>
        </w:rPr>
        <w:t xml:space="preserve"> (MNP) model. Even though, this assumption is intuitively reasonable, a </w:t>
      </w:r>
      <w:proofErr w:type="spellStart"/>
      <w:r w:rsidRPr="00F17FEE">
        <w:rPr>
          <w:rFonts w:cs="Arial"/>
          <w:szCs w:val="22"/>
        </w:rPr>
        <w:t>probit</w:t>
      </w:r>
      <w:proofErr w:type="spellEnd"/>
      <w:r w:rsidRPr="00F17FEE">
        <w:rPr>
          <w:rFonts w:cs="Arial"/>
          <w:szCs w:val="22"/>
        </w:rPr>
        <w:t xml:space="preserve"> model does not have a closed form</w:t>
      </w:r>
      <w:r w:rsidR="007008EC">
        <w:rPr>
          <w:rFonts w:cs="Arial"/>
          <w:szCs w:val="22"/>
        </w:rPr>
        <w:t xml:space="preserve"> solution</w:t>
      </w:r>
      <w:r w:rsidRPr="00F17FEE">
        <w:rPr>
          <w:rFonts w:cs="Arial"/>
          <w:szCs w:val="22"/>
        </w:rPr>
        <w:t xml:space="preserve">, since choice probability is expressed as an integral, which makes it difficult to estimate, interpret and predict. The Gumbel distribution </w:t>
      </w:r>
      <w:r w:rsidR="00A81FFE">
        <w:rPr>
          <w:rFonts w:cs="Arial"/>
          <w:szCs w:val="22"/>
        </w:rPr>
        <w:t>is similar to</w:t>
      </w:r>
      <w:r w:rsidRPr="00F17FEE">
        <w:rPr>
          <w:rFonts w:cs="Arial"/>
          <w:szCs w:val="22"/>
        </w:rPr>
        <w:t xml:space="preserve"> the normal distribution and is </w:t>
      </w:r>
      <w:r w:rsidR="00FD3ADD">
        <w:rPr>
          <w:rFonts w:cs="Arial"/>
          <w:szCs w:val="22"/>
        </w:rPr>
        <w:t>a</w:t>
      </w:r>
      <w:r w:rsidRPr="00F17FEE">
        <w:rPr>
          <w:rFonts w:cs="Arial"/>
          <w:szCs w:val="22"/>
        </w:rPr>
        <w:t xml:space="preserve">nalytically </w:t>
      </w:r>
      <w:r w:rsidR="00FD3ADD">
        <w:rPr>
          <w:rFonts w:cs="Arial"/>
          <w:szCs w:val="22"/>
        </w:rPr>
        <w:t xml:space="preserve">more </w:t>
      </w:r>
      <w:r w:rsidRPr="00F17FEE">
        <w:rPr>
          <w:rFonts w:cs="Arial"/>
          <w:szCs w:val="22"/>
        </w:rPr>
        <w:t xml:space="preserve">convenient since it produces a probabilistic model that can be calculated without </w:t>
      </w:r>
      <w:r w:rsidR="003C2EBC">
        <w:rPr>
          <w:rFonts w:cs="Arial"/>
          <w:szCs w:val="22"/>
        </w:rPr>
        <w:t>resorting</w:t>
      </w:r>
      <w:r w:rsidR="003C2EBC" w:rsidRPr="00F17FEE">
        <w:rPr>
          <w:rFonts w:cs="Arial"/>
          <w:szCs w:val="22"/>
        </w:rPr>
        <w:t xml:space="preserve"> </w:t>
      </w:r>
      <w:r w:rsidRPr="00F17FEE">
        <w:rPr>
          <w:rFonts w:cs="Arial"/>
          <w:szCs w:val="22"/>
        </w:rPr>
        <w:t>to numerical integration</w:t>
      </w:r>
      <w:r w:rsidR="002E1ED6">
        <w:rPr>
          <w:rFonts w:cs="Arial"/>
          <w:szCs w:val="22"/>
        </w:rPr>
        <w:t xml:space="preserve"> </w:t>
      </w:r>
      <w:r w:rsidR="002E1ED6">
        <w:rPr>
          <w:rFonts w:cs="Arial"/>
          <w:szCs w:val="22"/>
        </w:rPr>
        <w:fldChar w:fldCharType="begin"/>
      </w:r>
      <w:r w:rsidR="002E1ED6">
        <w:rPr>
          <w:rFonts w:cs="Arial"/>
          <w:szCs w:val="22"/>
        </w:rPr>
        <w:instrText xml:space="preserve"> ADDIN EN.CITE &lt;EndNote&gt;&lt;Cite&gt;&lt;Author&gt;Koppelman&lt;/Author&gt;&lt;Year&gt;2006&lt;/Year&gt;&lt;RecNum&gt;14&lt;/RecNum&gt;&lt;DisplayText&gt;(Koppelman and Bhat, 2006)&lt;/DisplayText&gt;&lt;record&gt;&lt;rec-number&gt;14&lt;/rec-number&gt;&lt;foreign-keys&gt;&lt;key app="EN" db-id="zesxtzdp6atewte95fc5dr2asp25rs2rstwt" timestamp="1512945675"&gt;14&lt;/key&gt;&lt;/foreign-keys&gt;&lt;ref-type name="Journal Article"&gt;17&lt;/ref-type&gt;&lt;contributors&gt;&lt;authors&gt;&lt;author&gt;Koppelman, Frank S.&lt;/author&gt;&lt;author&gt;Bhat, Chandra&lt;/author&gt;&lt;/authors&gt;&lt;/contributors&gt;&lt;titles&gt;&lt;title&gt;A self instructing course in mode choice modeling: multinomial and nested logit models&lt;/title&gt;&lt;secondary-title&gt;US Department of Transportation, Federal Transit Administration&lt;/secondary-title&gt;&lt;/titles&gt;&lt;periodical&gt;&lt;full-title&gt;US Department of Transportation, Federal Transit Administration&lt;/full-title&gt;&lt;/periodical&gt;&lt;pages&gt;31-31&lt;/pages&gt;&lt;dates&gt;&lt;year&gt;2006&lt;/year&gt;&lt;/dates&gt;&lt;isbn&gt;0969-6997&lt;/isbn&gt;&lt;urls&gt;&lt;/urls&gt;&lt;electronic-resource-num&gt;10.1002/stem.294&lt;/electronic-resource-num&gt;&lt;/record&gt;&lt;/Cite&gt;&lt;/EndNote&gt;</w:instrText>
      </w:r>
      <w:r w:rsidR="002E1ED6">
        <w:rPr>
          <w:rFonts w:cs="Arial"/>
          <w:szCs w:val="22"/>
        </w:rPr>
        <w:fldChar w:fldCharType="separate"/>
      </w:r>
      <w:r w:rsidR="002E1ED6">
        <w:rPr>
          <w:rFonts w:cs="Arial"/>
          <w:noProof/>
          <w:szCs w:val="22"/>
        </w:rPr>
        <w:t>(Koppelman and Bhat, 2006)</w:t>
      </w:r>
      <w:r w:rsidR="002E1ED6">
        <w:rPr>
          <w:rFonts w:cs="Arial"/>
          <w:szCs w:val="22"/>
        </w:rPr>
        <w:fldChar w:fldCharType="end"/>
      </w:r>
      <w:r w:rsidRPr="00F17FEE">
        <w:rPr>
          <w:rFonts w:cs="Arial"/>
          <w:szCs w:val="22"/>
        </w:rPr>
        <w:t xml:space="preserve">. In this particular case, if </w:t>
      </w:r>
      <m:oMath>
        <m:sSubSup>
          <m:sSubSupPr>
            <m:ctrlPr>
              <w:rPr>
                <w:rFonts w:ascii="Cambria Math" w:hAnsi="Cambria Math" w:cs="Arial"/>
                <w:szCs w:val="22"/>
              </w:rPr>
            </m:ctrlPr>
          </m:sSubSupPr>
          <m:e>
            <m:r>
              <w:rPr>
                <w:rFonts w:ascii="Cambria Math" w:hAnsi="Cambria Math" w:cs="Arial"/>
                <w:szCs w:val="22"/>
              </w:rPr>
              <m:t>ε</m:t>
            </m:r>
          </m:e>
          <m:sub>
            <m:r>
              <w:rPr>
                <w:rFonts w:ascii="Cambria Math" w:hAnsi="Cambria Math" w:cs="Arial"/>
                <w:szCs w:val="22"/>
              </w:rPr>
              <m:t>ij</m:t>
            </m:r>
          </m:sub>
          <m:sup>
            <m:r>
              <w:rPr>
                <w:rFonts w:ascii="Cambria Math" w:hAnsi="Cambria Math" w:cs="Arial"/>
                <w:szCs w:val="22"/>
              </w:rPr>
              <m:t>n</m:t>
            </m:r>
          </m:sup>
        </m:sSubSup>
      </m:oMath>
      <w:r w:rsidRPr="00F17FEE">
        <w:rPr>
          <w:rFonts w:cs="Arial"/>
          <w:szCs w:val="22"/>
        </w:rPr>
        <w:t xml:space="preserve"> are assumed to be identically and independently Gumbel distributed across alternatives and observations, then trade volume of sector </w:t>
      </w:r>
      <m:oMath>
        <m:r>
          <w:rPr>
            <w:rFonts w:ascii="Cambria Math" w:hAnsi="Cambria Math" w:cs="Arial"/>
            <w:szCs w:val="22"/>
          </w:rPr>
          <m:t>n</m:t>
        </m:r>
      </m:oMath>
      <w:r w:rsidRPr="00F17FEE">
        <w:rPr>
          <w:rFonts w:cs="Arial"/>
          <w:szCs w:val="22"/>
        </w:rPr>
        <w:t xml:space="preserve"> from </w:t>
      </w:r>
      <m:oMath>
        <m:r>
          <w:rPr>
            <w:rFonts w:ascii="Cambria Math" w:hAnsi="Cambria Math" w:cs="Arial"/>
            <w:szCs w:val="22"/>
          </w:rPr>
          <m:t>i</m:t>
        </m:r>
      </m:oMath>
      <w:r w:rsidR="00FD3ADD">
        <w:rPr>
          <w:rFonts w:cs="Arial"/>
          <w:szCs w:val="22"/>
        </w:rPr>
        <w:t xml:space="preserve"> to </w:t>
      </w:r>
      <m:oMath>
        <m:r>
          <w:rPr>
            <w:rFonts w:ascii="Cambria Math" w:hAnsi="Cambria Math" w:cs="Arial"/>
            <w:szCs w:val="22"/>
          </w:rPr>
          <m:t>j</m:t>
        </m:r>
      </m:oMath>
      <w:r w:rsidRPr="00F17FEE">
        <w:rPr>
          <w:rFonts w:cs="Arial"/>
          <w:szCs w:val="22"/>
        </w:rPr>
        <w:t xml:space="preserve"> is given by:  </w:t>
      </w:r>
      <w:r>
        <w:t xml:space="preserve">  </w:t>
      </w:r>
    </w:p>
    <w:p w14:paraId="6E58B518" w14:textId="77777777" w:rsidR="00812A74" w:rsidRDefault="00812A74" w:rsidP="00F17FEE">
      <w:pPr>
        <w:jc w:val="both"/>
        <w:outlineLvl w:val="0"/>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3118"/>
      </w:tblGrid>
      <w:tr w:rsidR="00CF7821" w14:paraId="2F9BB473" w14:textId="77777777" w:rsidTr="00254BCB">
        <w:trPr>
          <w:jc w:val="center"/>
        </w:trPr>
        <w:tc>
          <w:tcPr>
            <w:tcW w:w="3118" w:type="dxa"/>
            <w:vAlign w:val="center"/>
          </w:tcPr>
          <w:p w14:paraId="5C284191" w14:textId="77777777" w:rsidR="00CF7821" w:rsidRPr="003F1826" w:rsidRDefault="00722C0F" w:rsidP="00254BCB">
            <w:pPr>
              <w:pStyle w:val="BodyText1"/>
              <w:ind w:left="0"/>
              <w:jc w:val="center"/>
            </w:pPr>
            <m:oMathPara>
              <m:oMath>
                <m:sSubSup>
                  <m:sSubSupPr>
                    <m:ctrlPr>
                      <w:rPr>
                        <w:rFonts w:ascii="Cambria Math" w:hAnsi="Cambria Math"/>
                        <w:i/>
                      </w:rPr>
                    </m:ctrlPr>
                  </m:sSubSupPr>
                  <m:e>
                    <m:r>
                      <w:rPr>
                        <w:rFonts w:ascii="Cambria Math" w:hAnsi="Cambria Math"/>
                      </w:rPr>
                      <m:t>x</m:t>
                    </m:r>
                  </m:e>
                  <m:sub>
                    <m:r>
                      <w:rPr>
                        <w:rFonts w:ascii="Cambria Math" w:hAnsi="Cambria Math"/>
                      </w:rPr>
                      <m:t>ij</m:t>
                    </m:r>
                  </m:sub>
                  <m:sup>
                    <m:r>
                      <w:rPr>
                        <w:rFonts w:ascii="Cambria Math" w:hAnsi="Cambria Math"/>
                      </w:rPr>
                      <m:t>n</m:t>
                    </m:r>
                  </m:sup>
                </m:sSubSup>
                <m:r>
                  <w:rPr>
                    <w:rFonts w:ascii="Cambria Math" w:hAnsi="Cambria Math"/>
                  </w:rPr>
                  <m:t>=</m:t>
                </m:r>
                <m:sSubSup>
                  <m:sSubSupPr>
                    <m:ctrlPr>
                      <w:rPr>
                        <w:rFonts w:ascii="Cambria Math" w:hAnsi="Cambria Math"/>
                        <w:i/>
                      </w:rPr>
                    </m:ctrlPr>
                  </m:sSubSupPr>
                  <m:e>
                    <m:r>
                      <w:rPr>
                        <w:rFonts w:ascii="Cambria Math" w:hAnsi="Cambria Math"/>
                      </w:rPr>
                      <m:t>C</m:t>
                    </m:r>
                  </m:e>
                  <m:sub>
                    <m:r>
                      <w:rPr>
                        <w:rFonts w:ascii="Cambria Math" w:hAnsi="Cambria Math"/>
                      </w:rPr>
                      <m:t>j</m:t>
                    </m:r>
                  </m:sub>
                  <m:sup>
                    <m:r>
                      <w:rPr>
                        <w:rFonts w:ascii="Cambria Math" w:hAnsi="Cambria Math"/>
                      </w:rPr>
                      <m:t>n</m:t>
                    </m:r>
                  </m:sup>
                </m:sSubSup>
                <m:f>
                  <m:fPr>
                    <m:ctrlPr>
                      <w:rPr>
                        <w:rFonts w:ascii="Cambria Math" w:hAnsi="Cambria Math"/>
                        <w:i/>
                      </w:rPr>
                    </m:ctrlPr>
                  </m:fPr>
                  <m:num>
                    <m:sSup>
                      <m:sSupPr>
                        <m:ctrlPr>
                          <w:rPr>
                            <w:rFonts w:ascii="Cambria Math" w:hAnsi="Cambria Math"/>
                            <w:i/>
                          </w:rPr>
                        </m:ctrlPr>
                      </m:sSupPr>
                      <m:e>
                        <m:r>
                          <w:rPr>
                            <w:rFonts w:ascii="Cambria Math" w:hAnsi="Cambria Math"/>
                          </w:rPr>
                          <m:t>e</m:t>
                        </m:r>
                      </m:e>
                      <m:sup>
                        <m:sSub>
                          <m:sSubPr>
                            <m:ctrlPr>
                              <w:rPr>
                                <w:rFonts w:ascii="Cambria Math" w:hAnsi="Cambria Math"/>
                                <w:i/>
                              </w:rPr>
                            </m:ctrlPr>
                          </m:sSubPr>
                          <m:e>
                            <m:r>
                              <w:rPr>
                                <w:rFonts w:ascii="Cambria Math" w:hAnsi="Cambria Math"/>
                              </w:rPr>
                              <m:t>λ</m:t>
                            </m:r>
                          </m:e>
                          <m:sub>
                            <m:r>
                              <w:rPr>
                                <w:rFonts w:ascii="Cambria Math" w:hAnsi="Cambria Math"/>
                              </w:rPr>
                              <m:t>n</m:t>
                            </m:r>
                          </m:sub>
                        </m:sSub>
                        <m:sSubSup>
                          <m:sSubSupPr>
                            <m:ctrlPr>
                              <w:rPr>
                                <w:rFonts w:ascii="Cambria Math" w:hAnsi="Cambria Math"/>
                                <w:i/>
                              </w:rPr>
                            </m:ctrlPr>
                          </m:sSubSupPr>
                          <m:e>
                            <m:r>
                              <w:rPr>
                                <w:rFonts w:ascii="Cambria Math" w:hAnsi="Cambria Math"/>
                              </w:rPr>
                              <m:t>v</m:t>
                            </m:r>
                          </m:e>
                          <m:sub>
                            <m:r>
                              <w:rPr>
                                <w:rFonts w:ascii="Cambria Math" w:hAnsi="Cambria Math"/>
                              </w:rPr>
                              <m:t>ij</m:t>
                            </m:r>
                          </m:sub>
                          <m:sup>
                            <m:r>
                              <w:rPr>
                                <w:rFonts w:ascii="Cambria Math" w:hAnsi="Cambria Math"/>
                              </w:rPr>
                              <m:t>n</m:t>
                            </m:r>
                          </m:sup>
                        </m:sSubSup>
                      </m:sup>
                    </m:sSup>
                  </m:num>
                  <m:den>
                    <m:nary>
                      <m:naryPr>
                        <m:chr m:val="∑"/>
                        <m:limLoc m:val="undOvr"/>
                        <m:supHide m:val="1"/>
                        <m:ctrlPr>
                          <w:rPr>
                            <w:rFonts w:ascii="Cambria Math" w:hAnsi="Cambria Math"/>
                            <w:i/>
                          </w:rPr>
                        </m:ctrlPr>
                      </m:naryPr>
                      <m:sub>
                        <m:r>
                          <w:rPr>
                            <w:rFonts w:ascii="Cambria Math" w:hAnsi="Cambria Math"/>
                          </w:rPr>
                          <m:t>k</m:t>
                        </m:r>
                      </m:sub>
                      <m:sup/>
                      <m:e>
                        <m:sSup>
                          <m:sSupPr>
                            <m:ctrlPr>
                              <w:rPr>
                                <w:rFonts w:ascii="Cambria Math" w:hAnsi="Cambria Math"/>
                                <w:i/>
                              </w:rPr>
                            </m:ctrlPr>
                          </m:sSupPr>
                          <m:e>
                            <m:r>
                              <w:rPr>
                                <w:rFonts w:ascii="Cambria Math" w:hAnsi="Cambria Math"/>
                              </w:rPr>
                              <m:t>e</m:t>
                            </m:r>
                          </m:e>
                          <m:sup>
                            <m:sSub>
                              <m:sSubPr>
                                <m:ctrlPr>
                                  <w:rPr>
                                    <w:rFonts w:ascii="Cambria Math" w:hAnsi="Cambria Math"/>
                                    <w:i/>
                                  </w:rPr>
                                </m:ctrlPr>
                              </m:sSubPr>
                              <m:e>
                                <m:r>
                                  <w:rPr>
                                    <w:rFonts w:ascii="Cambria Math" w:hAnsi="Cambria Math"/>
                                  </w:rPr>
                                  <m:t>λ</m:t>
                                </m:r>
                              </m:e>
                              <m:sub>
                                <m:r>
                                  <w:rPr>
                                    <w:rFonts w:ascii="Cambria Math" w:hAnsi="Cambria Math"/>
                                  </w:rPr>
                                  <m:t>n</m:t>
                                </m:r>
                              </m:sub>
                            </m:sSub>
                            <m:sSubSup>
                              <m:sSubSupPr>
                                <m:ctrlPr>
                                  <w:rPr>
                                    <w:rFonts w:ascii="Cambria Math" w:hAnsi="Cambria Math"/>
                                    <w:i/>
                                  </w:rPr>
                                </m:ctrlPr>
                              </m:sSubSupPr>
                              <m:e>
                                <m:r>
                                  <w:rPr>
                                    <w:rFonts w:ascii="Cambria Math" w:hAnsi="Cambria Math"/>
                                  </w:rPr>
                                  <m:t>v</m:t>
                                </m:r>
                              </m:e>
                              <m:sub>
                                <m:r>
                                  <w:rPr>
                                    <w:rFonts w:ascii="Cambria Math" w:hAnsi="Cambria Math"/>
                                  </w:rPr>
                                  <m:t>kj</m:t>
                                </m:r>
                              </m:sub>
                              <m:sup>
                                <m:r>
                                  <w:rPr>
                                    <w:rFonts w:ascii="Cambria Math" w:hAnsi="Cambria Math"/>
                                  </w:rPr>
                                  <m:t>n</m:t>
                                </m:r>
                              </m:sup>
                            </m:sSubSup>
                          </m:sup>
                        </m:sSup>
                      </m:e>
                    </m:nary>
                  </m:den>
                </m:f>
                <m:r>
                  <w:rPr>
                    <w:rFonts w:ascii="Cambria Math" w:hAnsi="Cambria Math"/>
                  </w:rPr>
                  <m:t xml:space="preserve">      ∀i,j,n</m:t>
                </m:r>
              </m:oMath>
            </m:oMathPara>
          </w:p>
        </w:tc>
        <w:tc>
          <w:tcPr>
            <w:tcW w:w="3118" w:type="dxa"/>
            <w:vAlign w:val="center"/>
          </w:tcPr>
          <w:p w14:paraId="0F684E97" w14:textId="77777777" w:rsidR="00CF7821" w:rsidRDefault="00CF7821" w:rsidP="00254BCB">
            <w:pPr>
              <w:pStyle w:val="BodyText1"/>
              <w:ind w:left="0"/>
              <w:jc w:val="center"/>
            </w:pPr>
            <w:r>
              <w:t>(6)</w:t>
            </w:r>
          </w:p>
        </w:tc>
      </w:tr>
    </w:tbl>
    <w:p w14:paraId="03665F19" w14:textId="77777777" w:rsidR="00F17FEE" w:rsidRDefault="00F17FEE" w:rsidP="00F17FEE">
      <w:pPr>
        <w:jc w:val="both"/>
        <w:outlineLvl w:val="0"/>
        <w:rPr>
          <w:rFonts w:cs="Arial"/>
          <w:szCs w:val="22"/>
        </w:rPr>
      </w:pPr>
    </w:p>
    <w:p w14:paraId="095AE1DB" w14:textId="77777777" w:rsidR="00CF7821" w:rsidRDefault="00CF7821" w:rsidP="00F17FEE">
      <w:pPr>
        <w:jc w:val="both"/>
        <w:outlineLvl w:val="0"/>
        <w:rPr>
          <w:rFonts w:cs="Arial"/>
          <w:szCs w:val="22"/>
        </w:rPr>
      </w:pPr>
      <w:r w:rsidRPr="00F17FEE">
        <w:rPr>
          <w:rFonts w:cs="Arial"/>
          <w:szCs w:val="22"/>
        </w:rPr>
        <w:t xml:space="preserve">Where </w:t>
      </w:r>
      <m:oMath>
        <m:sSub>
          <m:sSubPr>
            <m:ctrlPr>
              <w:rPr>
                <w:rFonts w:ascii="Cambria Math" w:hAnsi="Cambria Math" w:cs="Arial"/>
                <w:szCs w:val="22"/>
              </w:rPr>
            </m:ctrlPr>
          </m:sSubPr>
          <m:e>
            <m:r>
              <w:rPr>
                <w:rFonts w:ascii="Cambria Math" w:hAnsi="Cambria Math" w:cs="Arial"/>
                <w:szCs w:val="22"/>
              </w:rPr>
              <m:t>λ</m:t>
            </m:r>
          </m:e>
          <m:sub>
            <m:r>
              <w:rPr>
                <w:rFonts w:ascii="Cambria Math" w:hAnsi="Cambria Math" w:cs="Arial"/>
                <w:szCs w:val="22"/>
              </w:rPr>
              <m:t>n</m:t>
            </m:r>
          </m:sub>
        </m:sSub>
      </m:oMath>
      <w:r w:rsidRPr="00F17FEE">
        <w:rPr>
          <w:rFonts w:cs="Arial"/>
          <w:szCs w:val="22"/>
        </w:rPr>
        <w:t xml:space="preserve"> is a dispersion parameter and </w:t>
      </w:r>
      <m:oMath>
        <m:sSubSup>
          <m:sSubSupPr>
            <m:ctrlPr>
              <w:rPr>
                <w:rFonts w:ascii="Cambria Math" w:hAnsi="Cambria Math" w:cs="Arial"/>
                <w:szCs w:val="22"/>
              </w:rPr>
            </m:ctrlPr>
          </m:sSubSupPr>
          <m:e>
            <m:r>
              <w:rPr>
                <w:rFonts w:ascii="Cambria Math" w:hAnsi="Cambria Math" w:cs="Arial"/>
                <w:szCs w:val="22"/>
              </w:rPr>
              <m:t>v</m:t>
            </m:r>
          </m:e>
          <m:sub>
            <m:r>
              <w:rPr>
                <w:rFonts w:ascii="Cambria Math" w:hAnsi="Cambria Math" w:cs="Arial"/>
                <w:szCs w:val="22"/>
              </w:rPr>
              <m:t>ij</m:t>
            </m:r>
          </m:sub>
          <m:sup>
            <m:r>
              <w:rPr>
                <w:rFonts w:ascii="Cambria Math" w:hAnsi="Cambria Math" w:cs="Arial"/>
                <w:szCs w:val="22"/>
              </w:rPr>
              <m:t>n</m:t>
            </m:r>
          </m:sup>
        </m:sSubSup>
      </m:oMath>
      <w:r w:rsidRPr="00F17FEE">
        <w:rPr>
          <w:rFonts w:cs="Arial"/>
          <w:szCs w:val="22"/>
        </w:rPr>
        <w:t xml:space="preserve"> is the systematic utility. </w:t>
      </w:r>
      <m:oMath>
        <m:sSubSup>
          <m:sSubSupPr>
            <m:ctrlPr>
              <w:rPr>
                <w:rFonts w:ascii="Cambria Math" w:hAnsi="Cambria Math" w:cs="Arial"/>
                <w:szCs w:val="22"/>
              </w:rPr>
            </m:ctrlPr>
          </m:sSubSupPr>
          <m:e>
            <m:r>
              <w:rPr>
                <w:rFonts w:ascii="Cambria Math" w:hAnsi="Cambria Math" w:cs="Arial"/>
                <w:szCs w:val="22"/>
              </w:rPr>
              <m:t>C</m:t>
            </m:r>
          </m:e>
          <m:sub>
            <m:r>
              <w:rPr>
                <w:rFonts w:ascii="Cambria Math" w:hAnsi="Cambria Math" w:cs="Arial"/>
                <w:szCs w:val="22"/>
              </w:rPr>
              <m:t>j</m:t>
            </m:r>
          </m:sub>
          <m:sup>
            <m:r>
              <w:rPr>
                <w:rFonts w:ascii="Cambria Math" w:hAnsi="Cambria Math" w:cs="Arial"/>
                <w:szCs w:val="22"/>
              </w:rPr>
              <m:t>n</m:t>
            </m:r>
          </m:sup>
        </m:sSubSup>
      </m:oMath>
      <w:r w:rsidRPr="00F17FEE">
        <w:rPr>
          <w:rFonts w:cs="Arial"/>
          <w:szCs w:val="22"/>
        </w:rPr>
        <w:t xml:space="preserve"> </w:t>
      </w:r>
      <w:proofErr w:type="gramStart"/>
      <w:r w:rsidRPr="00F17FEE">
        <w:rPr>
          <w:rFonts w:cs="Arial"/>
          <w:szCs w:val="22"/>
        </w:rPr>
        <w:t>is</w:t>
      </w:r>
      <w:proofErr w:type="gramEnd"/>
      <w:r w:rsidRPr="00F17FEE">
        <w:rPr>
          <w:rFonts w:cs="Arial"/>
          <w:szCs w:val="22"/>
        </w:rPr>
        <w:t xml:space="preserve"> the total consumption</w:t>
      </w:r>
      <w:r w:rsidR="00B33567">
        <w:rPr>
          <w:rFonts w:cs="Arial"/>
          <w:szCs w:val="22"/>
        </w:rPr>
        <w:t xml:space="preserve"> (intermediate and final)</w:t>
      </w:r>
      <w:r w:rsidRPr="00F17FEE">
        <w:rPr>
          <w:rFonts w:cs="Arial"/>
          <w:szCs w:val="22"/>
        </w:rPr>
        <w:t xml:space="preserve"> of commodity n in region j, and is given by:</w:t>
      </w:r>
    </w:p>
    <w:p w14:paraId="7E9742A1" w14:textId="77777777" w:rsidR="00F17FEE" w:rsidRPr="00F17FEE" w:rsidRDefault="00F17FEE" w:rsidP="00F17FEE">
      <w:pPr>
        <w:jc w:val="both"/>
        <w:outlineLvl w:val="0"/>
        <w:rPr>
          <w:rFonts w:cs="Arial"/>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0"/>
        <w:gridCol w:w="709"/>
      </w:tblGrid>
      <w:tr w:rsidR="00CF7821" w14:paraId="6E8BCF23" w14:textId="77777777" w:rsidTr="00254BCB">
        <w:trPr>
          <w:jc w:val="center"/>
        </w:trPr>
        <w:tc>
          <w:tcPr>
            <w:tcW w:w="3750" w:type="dxa"/>
            <w:vAlign w:val="center"/>
          </w:tcPr>
          <w:p w14:paraId="0BE423E9" w14:textId="77777777" w:rsidR="00CF7821" w:rsidRPr="003F1826" w:rsidRDefault="00722C0F" w:rsidP="00254BCB">
            <w:pPr>
              <w:pStyle w:val="BodyText1"/>
              <w:ind w:left="0"/>
              <w:jc w:val="center"/>
            </w:pPr>
            <m:oMathPara>
              <m:oMath>
                <m:sSubSup>
                  <m:sSubSupPr>
                    <m:ctrlPr>
                      <w:rPr>
                        <w:rFonts w:ascii="Cambria Math" w:hAnsi="Cambria Math"/>
                        <w:i/>
                      </w:rPr>
                    </m:ctrlPr>
                  </m:sSubSupPr>
                  <m:e>
                    <m:r>
                      <w:rPr>
                        <w:rFonts w:ascii="Cambria Math" w:hAnsi="Cambria Math"/>
                      </w:rPr>
                      <m:t>C</m:t>
                    </m:r>
                  </m:e>
                  <m:sub>
                    <m:r>
                      <w:rPr>
                        <w:rFonts w:ascii="Cambria Math" w:hAnsi="Cambria Math"/>
                      </w:rPr>
                      <m:t>j</m:t>
                    </m:r>
                  </m:sub>
                  <m:sup>
                    <m:r>
                      <w:rPr>
                        <w:rFonts w:ascii="Cambria Math" w:hAnsi="Cambria Math"/>
                      </w:rPr>
                      <m:t>m</m:t>
                    </m:r>
                  </m:sup>
                </m:sSubSup>
                <m:r>
                  <w:rPr>
                    <w:rFonts w:ascii="Cambria Math" w:hAnsi="Cambria Math"/>
                  </w:rPr>
                  <m:t>=</m:t>
                </m:r>
                <m:nary>
                  <m:naryPr>
                    <m:chr m:val="∑"/>
                    <m:limLoc m:val="undOvr"/>
                    <m:supHide m:val="1"/>
                    <m:ctrlPr>
                      <w:rPr>
                        <w:rFonts w:ascii="Cambria Math" w:hAnsi="Cambria Math"/>
                        <w:i/>
                      </w:rPr>
                    </m:ctrlPr>
                  </m:naryPr>
                  <m:sub>
                    <m:r>
                      <w:rPr>
                        <w:rFonts w:ascii="Cambria Math" w:hAnsi="Cambria Math"/>
                      </w:rPr>
                      <m:t>n</m:t>
                    </m:r>
                  </m:sub>
                  <m:sup/>
                  <m:e>
                    <m:sSubSup>
                      <m:sSubSupPr>
                        <m:ctrlPr>
                          <w:rPr>
                            <w:rFonts w:ascii="Cambria Math" w:hAnsi="Cambria Math"/>
                            <w:i/>
                          </w:rPr>
                        </m:ctrlPr>
                      </m:sSubSupPr>
                      <m:e>
                        <m:r>
                          <w:rPr>
                            <w:rFonts w:ascii="Cambria Math" w:hAnsi="Cambria Math"/>
                          </w:rPr>
                          <m:t>a</m:t>
                        </m:r>
                      </m:e>
                      <m:sub>
                        <m:r>
                          <w:rPr>
                            <w:rFonts w:ascii="Cambria Math" w:hAnsi="Cambria Math"/>
                          </w:rPr>
                          <m:t>j</m:t>
                        </m:r>
                      </m:sub>
                      <m:sup>
                        <m:r>
                          <w:rPr>
                            <w:rFonts w:ascii="Cambria Math" w:hAnsi="Cambria Math"/>
                          </w:rPr>
                          <m:t>mn</m:t>
                        </m:r>
                      </m:sup>
                    </m:sSubSup>
                  </m:e>
                </m:nary>
                <m:sSubSup>
                  <m:sSubSupPr>
                    <m:ctrlPr>
                      <w:rPr>
                        <w:rFonts w:ascii="Cambria Math" w:hAnsi="Cambria Math"/>
                        <w:i/>
                      </w:rPr>
                    </m:ctrlPr>
                  </m:sSubSupPr>
                  <m:e>
                    <m:r>
                      <w:rPr>
                        <w:rFonts w:ascii="Cambria Math" w:hAnsi="Cambria Math"/>
                      </w:rPr>
                      <m:t>X</m:t>
                    </m:r>
                  </m:e>
                  <m:sub>
                    <m:r>
                      <w:rPr>
                        <w:rFonts w:ascii="Cambria Math" w:hAnsi="Cambria Math"/>
                      </w:rPr>
                      <m:t>j</m:t>
                    </m:r>
                  </m:sub>
                  <m:sup>
                    <m:r>
                      <w:rPr>
                        <w:rFonts w:ascii="Cambria Math" w:hAnsi="Cambria Math"/>
                      </w:rPr>
                      <m:t>n</m:t>
                    </m:r>
                  </m:sup>
                </m:sSubSup>
                <m:r>
                  <w:rPr>
                    <w:rFonts w:ascii="Cambria Math" w:hAnsi="Cambria Math"/>
                  </w:rPr>
                  <m:t>+</m:t>
                </m:r>
                <m:sSubSup>
                  <m:sSubSupPr>
                    <m:ctrlPr>
                      <w:rPr>
                        <w:rFonts w:ascii="Cambria Math" w:hAnsi="Cambria Math"/>
                        <w:i/>
                      </w:rPr>
                    </m:ctrlPr>
                  </m:sSubSupPr>
                  <m:e>
                    <m:r>
                      <w:rPr>
                        <w:rFonts w:ascii="Cambria Math" w:hAnsi="Cambria Math"/>
                      </w:rPr>
                      <m:t>Y</m:t>
                    </m:r>
                  </m:e>
                  <m:sub>
                    <m:r>
                      <w:rPr>
                        <w:rFonts w:ascii="Cambria Math" w:hAnsi="Cambria Math"/>
                      </w:rPr>
                      <m:t>j</m:t>
                    </m:r>
                  </m:sub>
                  <m:sup>
                    <m:r>
                      <w:rPr>
                        <w:rFonts w:ascii="Cambria Math" w:hAnsi="Cambria Math"/>
                      </w:rPr>
                      <m:t>m</m:t>
                    </m:r>
                  </m:sup>
                </m:sSubSup>
                <m:r>
                  <w:rPr>
                    <w:rFonts w:ascii="Cambria Math" w:hAnsi="Cambria Math"/>
                  </w:rPr>
                  <m:t xml:space="preserve">        ∀j,m</m:t>
                </m:r>
              </m:oMath>
            </m:oMathPara>
          </w:p>
        </w:tc>
        <w:tc>
          <w:tcPr>
            <w:tcW w:w="709" w:type="dxa"/>
            <w:vAlign w:val="center"/>
          </w:tcPr>
          <w:p w14:paraId="4A425A37" w14:textId="77777777" w:rsidR="00CF7821" w:rsidRDefault="00CF7821" w:rsidP="00254BCB">
            <w:pPr>
              <w:pStyle w:val="BodyText1"/>
              <w:ind w:left="0"/>
              <w:jc w:val="center"/>
            </w:pPr>
            <w:r>
              <w:t>(7)</w:t>
            </w:r>
          </w:p>
        </w:tc>
      </w:tr>
    </w:tbl>
    <w:p w14:paraId="049665C8" w14:textId="77777777" w:rsidR="00F17FEE" w:rsidRDefault="00F17FEE" w:rsidP="00F17FEE">
      <w:pPr>
        <w:jc w:val="both"/>
        <w:outlineLvl w:val="0"/>
        <w:rPr>
          <w:rFonts w:cs="Arial"/>
          <w:szCs w:val="22"/>
        </w:rPr>
      </w:pPr>
    </w:p>
    <w:p w14:paraId="18CB6B12" w14:textId="77777777" w:rsidR="00CF7821" w:rsidRDefault="00CF7821" w:rsidP="00F17FEE">
      <w:pPr>
        <w:jc w:val="both"/>
        <w:outlineLvl w:val="0"/>
        <w:rPr>
          <w:rFonts w:cs="Arial"/>
          <w:szCs w:val="22"/>
        </w:rPr>
      </w:pPr>
      <w:r w:rsidRPr="00F17FEE">
        <w:rPr>
          <w:rFonts w:cs="Arial"/>
          <w:szCs w:val="22"/>
        </w:rPr>
        <w:t>And,</w:t>
      </w:r>
    </w:p>
    <w:p w14:paraId="4ED75AF8" w14:textId="77777777" w:rsidR="00F17FEE" w:rsidRPr="00F17FEE" w:rsidRDefault="00F17FEE" w:rsidP="00F17FEE">
      <w:pPr>
        <w:jc w:val="both"/>
        <w:outlineLvl w:val="0"/>
        <w:rPr>
          <w:rFonts w:cs="Arial"/>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0"/>
        <w:gridCol w:w="709"/>
      </w:tblGrid>
      <w:tr w:rsidR="00CF7821" w14:paraId="66F08016" w14:textId="77777777" w:rsidTr="007F24F6">
        <w:trPr>
          <w:jc w:val="center"/>
        </w:trPr>
        <w:tc>
          <w:tcPr>
            <w:tcW w:w="3750" w:type="dxa"/>
            <w:vAlign w:val="center"/>
          </w:tcPr>
          <w:p w14:paraId="36C9B63C" w14:textId="77777777" w:rsidR="00CF7821" w:rsidRPr="003F1826" w:rsidRDefault="00722C0F" w:rsidP="00254BCB">
            <w:pPr>
              <w:pStyle w:val="BodyText1"/>
              <w:ind w:left="0"/>
              <w:jc w:val="center"/>
            </w:pPr>
            <m:oMathPara>
              <m:oMath>
                <m:sSubSup>
                  <m:sSubSupPr>
                    <m:ctrlPr>
                      <w:rPr>
                        <w:rFonts w:ascii="Cambria Math" w:hAnsi="Cambria Math"/>
                        <w:i/>
                      </w:rPr>
                    </m:ctrlPr>
                  </m:sSubSupPr>
                  <m:e>
                    <m:r>
                      <w:rPr>
                        <w:rFonts w:ascii="Cambria Math" w:hAnsi="Cambria Math"/>
                      </w:rPr>
                      <m:t>X</m:t>
                    </m:r>
                  </m:e>
                  <m:sub>
                    <m:r>
                      <w:rPr>
                        <w:rFonts w:ascii="Cambria Math" w:hAnsi="Cambria Math"/>
                      </w:rPr>
                      <m:t>i</m:t>
                    </m:r>
                  </m:sub>
                  <m:sup>
                    <m:r>
                      <w:rPr>
                        <w:rFonts w:ascii="Cambria Math" w:hAnsi="Cambria Math"/>
                      </w:rPr>
                      <m:t>m</m:t>
                    </m:r>
                  </m:sup>
                </m:sSubSup>
                <m:r>
                  <w:rPr>
                    <w:rFonts w:ascii="Cambria Math" w:hAnsi="Cambria Math"/>
                  </w:rPr>
                  <m:t>=</m:t>
                </m:r>
                <m:nary>
                  <m:naryPr>
                    <m:chr m:val="∑"/>
                    <m:limLoc m:val="undOvr"/>
                    <m:supHide m:val="1"/>
                    <m:ctrlPr>
                      <w:rPr>
                        <w:rFonts w:ascii="Cambria Math" w:hAnsi="Cambria Math"/>
                        <w:i/>
                      </w:rPr>
                    </m:ctrlPr>
                  </m:naryPr>
                  <m:sub>
                    <m:r>
                      <w:rPr>
                        <w:rFonts w:ascii="Cambria Math" w:hAnsi="Cambria Math"/>
                      </w:rPr>
                      <m:t>j</m:t>
                    </m:r>
                  </m:sub>
                  <m:sup/>
                  <m:e>
                    <m:sSubSup>
                      <m:sSubSupPr>
                        <m:ctrlPr>
                          <w:rPr>
                            <w:rFonts w:ascii="Cambria Math" w:hAnsi="Cambria Math"/>
                            <w:i/>
                          </w:rPr>
                        </m:ctrlPr>
                      </m:sSubSupPr>
                      <m:e>
                        <m:r>
                          <w:rPr>
                            <w:rFonts w:ascii="Cambria Math" w:hAnsi="Cambria Math"/>
                          </w:rPr>
                          <m:t>x</m:t>
                        </m:r>
                      </m:e>
                      <m:sub>
                        <m:r>
                          <w:rPr>
                            <w:rFonts w:ascii="Cambria Math" w:hAnsi="Cambria Math"/>
                          </w:rPr>
                          <m:t>ij</m:t>
                        </m:r>
                      </m:sub>
                      <m:sup>
                        <m:r>
                          <w:rPr>
                            <w:rFonts w:ascii="Cambria Math" w:hAnsi="Cambria Math"/>
                          </w:rPr>
                          <m:t>m</m:t>
                        </m:r>
                      </m:sup>
                    </m:sSubSup>
                  </m:e>
                </m:nary>
                <m:r>
                  <w:rPr>
                    <w:rFonts w:ascii="Cambria Math" w:hAnsi="Cambria Math"/>
                  </w:rPr>
                  <m:t xml:space="preserve">        ∀i,m</m:t>
                </m:r>
              </m:oMath>
            </m:oMathPara>
          </w:p>
        </w:tc>
        <w:tc>
          <w:tcPr>
            <w:tcW w:w="709" w:type="dxa"/>
            <w:vAlign w:val="center"/>
          </w:tcPr>
          <w:p w14:paraId="7360E2FA" w14:textId="77777777" w:rsidR="00CF7821" w:rsidRDefault="00CF7821" w:rsidP="00254BCB">
            <w:pPr>
              <w:pStyle w:val="BodyText1"/>
              <w:ind w:left="0"/>
              <w:jc w:val="center"/>
            </w:pPr>
            <w:r>
              <w:t>(8)</w:t>
            </w:r>
          </w:p>
        </w:tc>
      </w:tr>
    </w:tbl>
    <w:p w14:paraId="336EC228" w14:textId="77777777" w:rsidR="00F17FEE" w:rsidRDefault="00F17FEE" w:rsidP="00F17FEE">
      <w:pPr>
        <w:jc w:val="both"/>
        <w:outlineLvl w:val="0"/>
        <w:rPr>
          <w:rFonts w:cs="Arial"/>
          <w:szCs w:val="22"/>
        </w:rPr>
      </w:pPr>
    </w:p>
    <w:p w14:paraId="3B1B3D2B" w14:textId="77777777" w:rsidR="00F37D58" w:rsidRDefault="00CF7821" w:rsidP="00F17FEE">
      <w:pPr>
        <w:jc w:val="both"/>
        <w:outlineLvl w:val="0"/>
        <w:rPr>
          <w:rFonts w:cs="Arial"/>
          <w:szCs w:val="22"/>
        </w:rPr>
      </w:pPr>
      <w:r w:rsidRPr="00F17FEE">
        <w:rPr>
          <w:rFonts w:cs="Arial"/>
          <w:szCs w:val="22"/>
        </w:rPr>
        <w:t xml:space="preserve">Transportation costs </w:t>
      </w:r>
      <m:oMath>
        <m:sSubSup>
          <m:sSubSupPr>
            <m:ctrlPr>
              <w:rPr>
                <w:rFonts w:ascii="Cambria Math" w:hAnsi="Cambria Math" w:cs="Arial"/>
                <w:szCs w:val="22"/>
              </w:rPr>
            </m:ctrlPr>
          </m:sSubSupPr>
          <m:e>
            <m:r>
              <w:rPr>
                <w:rFonts w:ascii="Cambria Math" w:hAnsi="Cambria Math" w:cs="Arial"/>
                <w:szCs w:val="22"/>
              </w:rPr>
              <m:t>d</m:t>
            </m:r>
          </m:e>
          <m:sub>
            <m:r>
              <w:rPr>
                <w:rFonts w:ascii="Cambria Math" w:hAnsi="Cambria Math" w:cs="Arial"/>
                <w:szCs w:val="22"/>
              </w:rPr>
              <m:t>ij</m:t>
            </m:r>
          </m:sub>
          <m:sup>
            <m:r>
              <w:rPr>
                <w:rFonts w:ascii="Cambria Math" w:hAnsi="Cambria Math" w:cs="Arial"/>
                <w:szCs w:val="22"/>
              </w:rPr>
              <m:t>n</m:t>
            </m:r>
          </m:sup>
        </m:sSubSup>
      </m:oMath>
      <w:r w:rsidRPr="00F17FEE">
        <w:rPr>
          <w:rFonts w:cs="Arial"/>
          <w:szCs w:val="22"/>
        </w:rPr>
        <w:t xml:space="preserve"> and final demand </w:t>
      </w:r>
      <m:oMath>
        <m:sSubSup>
          <m:sSubSupPr>
            <m:ctrlPr>
              <w:rPr>
                <w:rFonts w:ascii="Cambria Math" w:hAnsi="Cambria Math" w:cs="Arial"/>
                <w:szCs w:val="22"/>
              </w:rPr>
            </m:ctrlPr>
          </m:sSubSupPr>
          <m:e>
            <m:r>
              <w:rPr>
                <w:rFonts w:ascii="Cambria Math" w:hAnsi="Cambria Math" w:cs="Arial"/>
                <w:szCs w:val="22"/>
              </w:rPr>
              <m:t>Y</m:t>
            </m:r>
          </m:e>
          <m:sub>
            <m:r>
              <w:rPr>
                <w:rFonts w:ascii="Cambria Math" w:hAnsi="Cambria Math" w:cs="Arial"/>
                <w:szCs w:val="22"/>
              </w:rPr>
              <m:t>j</m:t>
            </m:r>
          </m:sub>
          <m:sup>
            <m:r>
              <w:rPr>
                <w:rFonts w:ascii="Cambria Math" w:hAnsi="Cambria Math" w:cs="Arial"/>
                <w:szCs w:val="22"/>
              </w:rPr>
              <m:t>m</m:t>
            </m:r>
          </m:sup>
        </m:sSubSup>
      </m:oMath>
      <w:r w:rsidRPr="00F17FEE">
        <w:rPr>
          <w:rFonts w:cs="Arial"/>
          <w:szCs w:val="22"/>
        </w:rPr>
        <w:t xml:space="preserve"> are exogenous to the model. Alternative specifications for the utility function </w:t>
      </w:r>
      <w:r w:rsidR="00254BCB">
        <w:rPr>
          <w:rFonts w:cs="Arial"/>
          <w:szCs w:val="22"/>
        </w:rPr>
        <w:t xml:space="preserve">consider origin and </w:t>
      </w:r>
      <w:r w:rsidRPr="00F17FEE">
        <w:rPr>
          <w:rFonts w:cs="Arial"/>
          <w:szCs w:val="22"/>
        </w:rPr>
        <w:t xml:space="preserve">mode choice through a Nested Logit structure. </w:t>
      </w:r>
      <w:r w:rsidR="00254BCB">
        <w:rPr>
          <w:rFonts w:cs="Arial"/>
          <w:szCs w:val="22"/>
        </w:rPr>
        <w:t>The disutility</w:t>
      </w:r>
      <w:r w:rsidR="00F37D58">
        <w:rPr>
          <w:rFonts w:cs="Arial"/>
          <w:szCs w:val="22"/>
        </w:rPr>
        <w:t xml:space="preserve"> function</w:t>
      </w:r>
      <w:r w:rsidR="00254BCB">
        <w:rPr>
          <w:rFonts w:cs="Arial"/>
          <w:szCs w:val="22"/>
        </w:rPr>
        <w:t xml:space="preserve"> fo</w:t>
      </w:r>
      <w:r w:rsidR="00F37D58">
        <w:rPr>
          <w:rFonts w:cs="Arial"/>
          <w:szCs w:val="22"/>
        </w:rPr>
        <w:t>r the model described in this paper (9) follows the same structure as the function proposed for a similar study that was based on data from the state of Texas</w:t>
      </w:r>
      <w:r w:rsidR="002E1ED6">
        <w:rPr>
          <w:rFonts w:cs="Arial"/>
          <w:szCs w:val="22"/>
        </w:rPr>
        <w:t xml:space="preserve"> </w:t>
      </w:r>
      <w:r w:rsidR="002E1ED6">
        <w:rPr>
          <w:rFonts w:cs="Arial"/>
          <w:szCs w:val="22"/>
        </w:rPr>
        <w:fldChar w:fldCharType="begin"/>
      </w:r>
      <w:r w:rsidR="002E1ED6">
        <w:rPr>
          <w:rFonts w:cs="Arial"/>
          <w:szCs w:val="22"/>
        </w:rPr>
        <w:instrText xml:space="preserve"> ADDIN EN.CITE &lt;EndNote&gt;&lt;Cite&gt;&lt;Author&gt;Kockelman&lt;/Author&gt;&lt;Year&gt;2005&lt;/Year&gt;&lt;RecNum&gt;11&lt;/RecNum&gt;&lt;DisplayText&gt;(Kockelman et al., 2005)&lt;/DisplayText&gt;&lt;record&gt;&lt;rec-number&gt;11&lt;/rec-number&gt;&lt;foreign-keys&gt;&lt;key app="EN" db-id="zesxtzdp6atewte95fc5dr2asp25rs2rstwt" timestamp="1512945675"&gt;11&lt;/key&gt;&lt;/foreign-keys&gt;&lt;ref-type name="Journal Article"&gt;17&lt;/ref-type&gt;&lt;contributors&gt;&lt;authors&gt;&lt;author&gt;Kockelman, Kara M.&lt;/author&gt;&lt;author&gt;Jin, Ling&lt;/author&gt;&lt;author&gt;Zhao, Yong&lt;/author&gt;&lt;author&gt;Ruiz-Juri, Natalia&lt;/author&gt;&lt;/authors&gt;&lt;/contributors&gt;&lt;titles&gt;&lt;title&gt;Tracking land use , transport , and industrial production using random-utility-based multiregional input – output models : Applications for Texas trade&lt;/title&gt;&lt;secondary-title&gt;Journal of Transport Geography&lt;/secondary-title&gt;&lt;/titles&gt;&lt;periodical&gt;&lt;full-title&gt;Journal of Transport Geography&lt;/full-title&gt;&lt;/periodical&gt;&lt;pages&gt;275-286&lt;/pages&gt;&lt;volume&gt;13&lt;/volume&gt;&lt;keywords&gt;&lt;keyword&gt;input origin&lt;/keyword&gt;&lt;keyword&gt;nested logit model of&lt;/keyword&gt;&lt;keyword&gt;output model&lt;/keyword&gt;&lt;keyword&gt;random-utility-based multiregional input&lt;/keyword&gt;&lt;keyword&gt;technical coefficients&lt;/keyword&gt;&lt;keyword&gt;trade flow patterns&lt;/keyword&gt;&lt;/keywords&gt;&lt;dates&gt;&lt;year&gt;2005&lt;/year&gt;&lt;/dates&gt;&lt;urls&gt;&lt;/urls&gt;&lt;electronic-resource-num&gt;10.1016/j.jtrangeo.2004.04.009&lt;/electronic-resource-num&gt;&lt;/record&gt;&lt;/Cite&gt;&lt;/EndNote&gt;</w:instrText>
      </w:r>
      <w:r w:rsidR="002E1ED6">
        <w:rPr>
          <w:rFonts w:cs="Arial"/>
          <w:szCs w:val="22"/>
        </w:rPr>
        <w:fldChar w:fldCharType="separate"/>
      </w:r>
      <w:r w:rsidR="002E1ED6">
        <w:rPr>
          <w:rFonts w:cs="Arial"/>
          <w:noProof/>
          <w:szCs w:val="22"/>
        </w:rPr>
        <w:t>(Kockelman et al., 2005)</w:t>
      </w:r>
      <w:r w:rsidR="002E1ED6">
        <w:rPr>
          <w:rFonts w:cs="Arial"/>
          <w:szCs w:val="22"/>
        </w:rPr>
        <w:fldChar w:fldCharType="end"/>
      </w:r>
      <w:r w:rsidR="00F37D58">
        <w:rPr>
          <w:rFonts w:cs="Arial"/>
          <w:szCs w:val="22"/>
        </w:rPr>
        <w:t>.</w:t>
      </w:r>
    </w:p>
    <w:p w14:paraId="1F065CC9" w14:textId="77777777" w:rsidR="007F24F6" w:rsidRDefault="007F24F6" w:rsidP="00F17FEE">
      <w:pPr>
        <w:jc w:val="both"/>
        <w:outlineLvl w:val="0"/>
        <w:rPr>
          <w:rFonts w:cs="Arial"/>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32"/>
        <w:gridCol w:w="709"/>
      </w:tblGrid>
      <w:tr w:rsidR="007F24F6" w14:paraId="6F58B1D4" w14:textId="77777777" w:rsidTr="007F24F6">
        <w:trPr>
          <w:jc w:val="center"/>
        </w:trPr>
        <w:tc>
          <w:tcPr>
            <w:tcW w:w="6732" w:type="dxa"/>
            <w:vAlign w:val="center"/>
          </w:tcPr>
          <w:p w14:paraId="52224D68" w14:textId="6AA1B916" w:rsidR="007F24F6" w:rsidRPr="003F1826" w:rsidRDefault="00722C0F" w:rsidP="00A406D0">
            <w:pPr>
              <w:pStyle w:val="BodyText1"/>
              <w:ind w:left="0"/>
              <w:jc w:val="center"/>
            </w:pPr>
            <m:oMathPara>
              <m:oMath>
                <m:sSubSup>
                  <m:sSubSupPr>
                    <m:ctrlPr>
                      <w:rPr>
                        <w:rFonts w:ascii="Cambria Math" w:hAnsi="Cambria Math"/>
                        <w:i/>
                      </w:rPr>
                    </m:ctrlPr>
                  </m:sSubSupPr>
                  <m:e>
                    <m:r>
                      <w:rPr>
                        <w:rFonts w:ascii="Cambria Math" w:hAnsi="Cambria Math"/>
                      </w:rPr>
                      <m:t>-u</m:t>
                    </m:r>
                  </m:e>
                  <m:sub>
                    <m:r>
                      <w:rPr>
                        <w:rFonts w:ascii="Cambria Math" w:hAnsi="Cambria Math"/>
                      </w:rPr>
                      <m:t>ij</m:t>
                    </m:r>
                  </m:sub>
                  <m:sup>
                    <m:r>
                      <w:rPr>
                        <w:rFonts w:ascii="Cambria Math" w:hAnsi="Cambria Math"/>
                      </w:rPr>
                      <m:t>n</m:t>
                    </m:r>
                  </m:sup>
                </m:sSubSup>
                <m:r>
                  <w:rPr>
                    <w:rFonts w:ascii="Cambria Math" w:hAnsi="Cambria Math"/>
                  </w:rPr>
                  <m:t>=</m:t>
                </m:r>
                <m:sSubSup>
                  <m:sSubSupPr>
                    <m:ctrlPr>
                      <w:rPr>
                        <w:rFonts w:ascii="Cambria Math" w:hAnsi="Cambria Math"/>
                        <w:i/>
                      </w:rPr>
                    </m:ctrlPr>
                  </m:sSubSupPr>
                  <m:e>
                    <m:r>
                      <w:rPr>
                        <w:rFonts w:ascii="Cambria Math" w:hAnsi="Cambria Math"/>
                      </w:rPr>
                      <m:t>b</m:t>
                    </m:r>
                  </m:e>
                  <m:sub>
                    <m:r>
                      <w:rPr>
                        <w:rFonts w:ascii="Cambria Math" w:hAnsi="Cambria Math"/>
                      </w:rPr>
                      <m:t>i</m:t>
                    </m:r>
                  </m:sub>
                  <m:sup>
                    <m:r>
                      <w:rPr>
                        <w:rFonts w:ascii="Cambria Math" w:hAnsi="Cambria Math"/>
                      </w:rPr>
                      <m:t>n</m:t>
                    </m:r>
                  </m:sup>
                </m:sSubSup>
                <m:r>
                  <w:rPr>
                    <w:rFonts w:ascii="Cambria Math" w:hAnsi="Cambria Math"/>
                  </w:rPr>
                  <m:t>+</m:t>
                </m:r>
                <m:sSub>
                  <m:sSubPr>
                    <m:ctrlPr>
                      <w:rPr>
                        <w:rFonts w:ascii="Cambria Math" w:hAnsi="Cambria Math" w:cs="Arial"/>
                        <w:sz w:val="22"/>
                        <w:szCs w:val="22"/>
                      </w:rPr>
                    </m:ctrlPr>
                  </m:sSubPr>
                  <m:e>
                    <m:r>
                      <w:rPr>
                        <w:rFonts w:ascii="Cambria Math" w:hAnsi="Cambria Math" w:cs="Arial"/>
                        <w:sz w:val="22"/>
                        <w:szCs w:val="22"/>
                      </w:rPr>
                      <m:t>λ</m:t>
                    </m:r>
                  </m:e>
                  <m:sub>
                    <m:r>
                      <w:rPr>
                        <w:rFonts w:ascii="Cambria Math" w:hAnsi="Cambria Math" w:cs="Arial"/>
                        <w:sz w:val="22"/>
                        <w:szCs w:val="22"/>
                      </w:rPr>
                      <m:t>n</m:t>
                    </m:r>
                  </m:sub>
                </m:sSub>
                <m:func>
                  <m:funcPr>
                    <m:ctrlPr>
                      <w:rPr>
                        <w:rFonts w:ascii="Cambria Math" w:eastAsia="Times New Roman" w:hAnsi="Cambria Math"/>
                        <w:i/>
                        <w:color w:val="auto"/>
                        <w:sz w:val="24"/>
                        <w:szCs w:val="24"/>
                        <w:lang w:val="en-NZ" w:eastAsia="en-US"/>
                      </w:rPr>
                    </m:ctrlPr>
                  </m:funcPr>
                  <m:fName>
                    <m:r>
                      <m:rPr>
                        <m:sty m:val="p"/>
                      </m:rPr>
                      <w:rPr>
                        <w:rFonts w:ascii="Cambria Math" w:eastAsia="Times New Roman" w:hAnsi="Cambria Math"/>
                        <w:sz w:val="24"/>
                        <w:szCs w:val="24"/>
                        <w:lang w:eastAsia="en-US"/>
                      </w:rPr>
                      <m:t>ln</m:t>
                    </m:r>
                  </m:fName>
                  <m:e>
                    <m:d>
                      <m:dPr>
                        <m:begChr m:val="["/>
                        <m:endChr m:val="]"/>
                        <m:ctrlPr>
                          <w:rPr>
                            <w:rFonts w:ascii="Cambria Math" w:eastAsia="Times New Roman" w:hAnsi="Cambria Math"/>
                            <w:i/>
                            <w:color w:val="auto"/>
                            <w:sz w:val="24"/>
                            <w:szCs w:val="24"/>
                            <w:lang w:val="en-NZ" w:eastAsia="en-US"/>
                          </w:rPr>
                        </m:ctrlPr>
                      </m:dPr>
                      <m:e>
                        <m:r>
                          <w:rPr>
                            <w:rFonts w:ascii="Cambria Math" w:hAnsi="Cambria Math"/>
                          </w:rPr>
                          <m:t>exp</m:t>
                        </m:r>
                        <m:d>
                          <m:dPr>
                            <m:ctrlPr>
                              <w:rPr>
                                <w:rFonts w:ascii="Cambria Math" w:eastAsia="Times New Roman" w:hAnsi="Cambria Math"/>
                                <w:i/>
                                <w:color w:val="auto"/>
                                <w:sz w:val="24"/>
                                <w:szCs w:val="24"/>
                                <w:lang w:val="en-NZ" w:eastAsia="en-US"/>
                              </w:rPr>
                            </m:ctrlPr>
                          </m:dPr>
                          <m:e>
                            <m:sSubSup>
                              <m:sSubSupPr>
                                <m:ctrlPr>
                                  <w:rPr>
                                    <w:rFonts w:ascii="Cambria Math" w:eastAsia="Times New Roman" w:hAnsi="Cambria Math"/>
                                    <w:i/>
                                    <w:color w:val="auto"/>
                                    <w:sz w:val="24"/>
                                    <w:szCs w:val="24"/>
                                    <w:lang w:val="en-NZ" w:eastAsia="en-US"/>
                                  </w:rPr>
                                </m:ctrlPr>
                              </m:sSubSupPr>
                              <m:e>
                                <m:r>
                                  <w:rPr>
                                    <w:rFonts w:ascii="Cambria Math" w:hAnsi="Cambria Math"/>
                                  </w:rPr>
                                  <m:t>β</m:t>
                                </m:r>
                              </m:e>
                              <m:sub>
                                <m:r>
                                  <w:rPr>
                                    <w:rFonts w:ascii="Cambria Math" w:hAnsi="Cambria Math"/>
                                  </w:rPr>
                                  <m:t>road</m:t>
                                </m:r>
                              </m:sub>
                              <m:sup>
                                <m:r>
                                  <w:rPr>
                                    <w:rFonts w:ascii="Cambria Math" w:hAnsi="Cambria Math"/>
                                  </w:rPr>
                                  <m:t>n</m:t>
                                </m:r>
                              </m:sup>
                            </m:sSubSup>
                            <m:sSub>
                              <m:sSubPr>
                                <m:ctrlPr>
                                  <w:rPr>
                                    <w:rFonts w:ascii="Cambria Math" w:eastAsia="Times New Roman" w:hAnsi="Cambria Math"/>
                                    <w:i/>
                                    <w:color w:val="auto"/>
                                    <w:sz w:val="24"/>
                                    <w:szCs w:val="24"/>
                                    <w:lang w:val="en-NZ" w:eastAsia="en-US"/>
                                  </w:rPr>
                                </m:ctrlPr>
                              </m:sSubPr>
                              <m:e>
                                <m:r>
                                  <w:rPr>
                                    <w:rFonts w:ascii="Cambria Math" w:hAnsi="Cambria Math"/>
                                  </w:rPr>
                                  <m:t>d</m:t>
                                </m:r>
                              </m:e>
                              <m:sub>
                                <m:r>
                                  <w:rPr>
                                    <w:rFonts w:ascii="Cambria Math" w:hAnsi="Cambria Math"/>
                                  </w:rPr>
                                  <m:t>ij,road</m:t>
                                </m:r>
                              </m:sub>
                            </m:sSub>
                          </m:e>
                        </m:d>
                        <m:r>
                          <w:rPr>
                            <w:rFonts w:ascii="Cambria Math" w:hAnsi="Cambria Math"/>
                          </w:rPr>
                          <m:t>+exp</m:t>
                        </m:r>
                        <m:d>
                          <m:dPr>
                            <m:ctrlPr>
                              <w:rPr>
                                <w:rFonts w:ascii="Cambria Math" w:eastAsia="Times New Roman" w:hAnsi="Cambria Math"/>
                                <w:i/>
                                <w:color w:val="auto"/>
                                <w:sz w:val="24"/>
                                <w:szCs w:val="24"/>
                                <w:lang w:val="en-NZ" w:eastAsia="en-US"/>
                              </w:rPr>
                            </m:ctrlPr>
                          </m:dPr>
                          <m:e>
                            <m:sSubSup>
                              <m:sSubSupPr>
                                <m:ctrlPr>
                                  <w:rPr>
                                    <w:rFonts w:ascii="Cambria Math" w:eastAsia="Times New Roman" w:hAnsi="Cambria Math"/>
                                    <w:i/>
                                    <w:color w:val="auto"/>
                                    <w:sz w:val="24"/>
                                    <w:szCs w:val="24"/>
                                    <w:lang w:val="en-NZ" w:eastAsia="en-US"/>
                                  </w:rPr>
                                </m:ctrlPr>
                              </m:sSubSupPr>
                              <m:e>
                                <m:r>
                                  <w:rPr>
                                    <w:rFonts w:ascii="Cambria Math" w:hAnsi="Cambria Math"/>
                                  </w:rPr>
                                  <m:t>β</m:t>
                                </m:r>
                              </m:e>
                              <m:sub>
                                <m:r>
                                  <w:rPr>
                                    <w:rFonts w:ascii="Cambria Math" w:hAnsi="Cambria Math"/>
                                  </w:rPr>
                                  <m:t>0</m:t>
                                </m:r>
                              </m:sub>
                              <m:sup>
                                <m:r>
                                  <w:rPr>
                                    <w:rFonts w:ascii="Cambria Math" w:hAnsi="Cambria Math"/>
                                  </w:rPr>
                                  <m:t>n</m:t>
                                </m:r>
                              </m:sup>
                            </m:sSubSup>
                            <m:r>
                              <w:rPr>
                                <w:rFonts w:ascii="Cambria Math" w:eastAsia="Times New Roman" w:hAnsi="Cambria Math"/>
                                <w:color w:val="auto"/>
                                <w:sz w:val="24"/>
                                <w:szCs w:val="24"/>
                                <w:lang w:val="en-NZ" w:eastAsia="en-US"/>
                              </w:rPr>
                              <m:t>+</m:t>
                            </m:r>
                            <m:sSubSup>
                              <m:sSubSupPr>
                                <m:ctrlPr>
                                  <w:rPr>
                                    <w:rFonts w:ascii="Cambria Math" w:eastAsia="Times New Roman" w:hAnsi="Cambria Math"/>
                                    <w:i/>
                                    <w:color w:val="auto"/>
                                    <w:sz w:val="24"/>
                                    <w:szCs w:val="24"/>
                                    <w:lang w:val="en-NZ" w:eastAsia="en-US"/>
                                  </w:rPr>
                                </m:ctrlPr>
                              </m:sSubSupPr>
                              <m:e>
                                <m:r>
                                  <w:rPr>
                                    <w:rFonts w:ascii="Cambria Math" w:hAnsi="Cambria Math"/>
                                  </w:rPr>
                                  <m:t>β</m:t>
                                </m:r>
                              </m:e>
                              <m:sub>
                                <m:r>
                                  <w:rPr>
                                    <w:rFonts w:ascii="Cambria Math" w:hAnsi="Cambria Math"/>
                                  </w:rPr>
                                  <m:t>rail</m:t>
                                </m:r>
                              </m:sub>
                              <m:sup>
                                <m:r>
                                  <w:rPr>
                                    <w:rFonts w:ascii="Cambria Math" w:hAnsi="Cambria Math"/>
                                  </w:rPr>
                                  <m:t>n</m:t>
                                </m:r>
                              </m:sup>
                            </m:sSubSup>
                            <m:sSub>
                              <m:sSubPr>
                                <m:ctrlPr>
                                  <w:rPr>
                                    <w:rFonts w:ascii="Cambria Math" w:eastAsia="Times New Roman" w:hAnsi="Cambria Math"/>
                                    <w:i/>
                                    <w:color w:val="auto"/>
                                    <w:sz w:val="24"/>
                                    <w:szCs w:val="24"/>
                                    <w:lang w:val="en-NZ" w:eastAsia="en-US"/>
                                  </w:rPr>
                                </m:ctrlPr>
                              </m:sSubPr>
                              <m:e>
                                <m:r>
                                  <w:rPr>
                                    <w:rFonts w:ascii="Cambria Math" w:hAnsi="Cambria Math"/>
                                  </w:rPr>
                                  <m:t>d</m:t>
                                </m:r>
                              </m:e>
                              <m:sub>
                                <m:r>
                                  <w:rPr>
                                    <w:rFonts w:ascii="Cambria Math" w:hAnsi="Cambria Math"/>
                                  </w:rPr>
                                  <m:t>ij,rail</m:t>
                                </m:r>
                              </m:sub>
                            </m:sSub>
                          </m:e>
                        </m:d>
                      </m:e>
                    </m:d>
                  </m:e>
                </m:func>
                <m:r>
                  <w:rPr>
                    <w:rFonts w:ascii="Cambria Math" w:hAnsi="Cambria Math"/>
                  </w:rPr>
                  <m:t xml:space="preserve">      ∀i,j,n</m:t>
                </m:r>
              </m:oMath>
            </m:oMathPara>
          </w:p>
        </w:tc>
        <w:tc>
          <w:tcPr>
            <w:tcW w:w="709" w:type="dxa"/>
            <w:vAlign w:val="center"/>
          </w:tcPr>
          <w:p w14:paraId="09006614" w14:textId="77777777" w:rsidR="007F24F6" w:rsidRDefault="007F24F6" w:rsidP="00326D14">
            <w:pPr>
              <w:pStyle w:val="BodyText1"/>
              <w:ind w:left="0"/>
              <w:jc w:val="center"/>
            </w:pPr>
            <w:r>
              <w:t>(9)</w:t>
            </w:r>
          </w:p>
        </w:tc>
      </w:tr>
    </w:tbl>
    <w:p w14:paraId="38AB046F" w14:textId="77777777" w:rsidR="00D25DA6" w:rsidRDefault="00D25DA6" w:rsidP="00F17FEE">
      <w:pPr>
        <w:jc w:val="both"/>
        <w:outlineLvl w:val="0"/>
        <w:rPr>
          <w:rFonts w:cs="Arial"/>
          <w:szCs w:val="22"/>
        </w:rPr>
      </w:pPr>
    </w:p>
    <w:p w14:paraId="13D5D7E4" w14:textId="77777777" w:rsidR="00CF7821" w:rsidRPr="00F17FEE" w:rsidRDefault="00CF7821" w:rsidP="00F17FEE">
      <w:pPr>
        <w:jc w:val="both"/>
        <w:outlineLvl w:val="0"/>
        <w:rPr>
          <w:rFonts w:cs="Arial"/>
          <w:szCs w:val="22"/>
        </w:rPr>
      </w:pPr>
      <w:r w:rsidRPr="00F17FEE">
        <w:rPr>
          <w:rFonts w:cs="Arial"/>
          <w:szCs w:val="22"/>
        </w:rPr>
        <w:t xml:space="preserve">The parameters for these logit type models are estimated </w:t>
      </w:r>
      <w:r w:rsidRPr="005E2A76">
        <w:rPr>
          <w:rFonts w:cs="Arial"/>
          <w:i/>
          <w:szCs w:val="22"/>
        </w:rPr>
        <w:t>a priori</w:t>
      </w:r>
      <w:r w:rsidRPr="00F17FEE">
        <w:rPr>
          <w:rFonts w:cs="Arial"/>
          <w:szCs w:val="22"/>
        </w:rPr>
        <w:t xml:space="preserve"> upon trade observations from Commodity Flow Surveys.</w:t>
      </w:r>
    </w:p>
    <w:p w14:paraId="0DC7F6D6" w14:textId="77777777" w:rsidR="00CF7821" w:rsidRDefault="00CF7821" w:rsidP="00F17FEE">
      <w:pPr>
        <w:jc w:val="both"/>
        <w:outlineLvl w:val="0"/>
        <w:rPr>
          <w:rFonts w:cs="Arial"/>
          <w:szCs w:val="22"/>
        </w:rPr>
      </w:pPr>
      <w:r w:rsidRPr="00F17FEE">
        <w:rPr>
          <w:rFonts w:cs="Arial"/>
          <w:szCs w:val="22"/>
        </w:rPr>
        <w:t xml:space="preserve">The cost of input </w:t>
      </w:r>
      <m:oMath>
        <m:r>
          <w:rPr>
            <w:rFonts w:ascii="Cambria Math" w:hAnsi="Cambria Math" w:cs="Arial"/>
            <w:szCs w:val="22"/>
          </w:rPr>
          <m:t>n</m:t>
        </m:r>
      </m:oMath>
      <w:r w:rsidRPr="00F17FEE">
        <w:rPr>
          <w:rFonts w:cs="Arial"/>
          <w:szCs w:val="22"/>
        </w:rPr>
        <w:t xml:space="preserve"> in </w:t>
      </w:r>
      <w:proofErr w:type="gramStart"/>
      <w:r w:rsidRPr="00F17FEE">
        <w:rPr>
          <w:rFonts w:cs="Arial"/>
          <w:szCs w:val="22"/>
        </w:rPr>
        <w:t xml:space="preserve">region </w:t>
      </w:r>
      <w:proofErr w:type="gramEnd"/>
      <m:oMath>
        <m:r>
          <w:rPr>
            <w:rFonts w:ascii="Cambria Math" w:hAnsi="Cambria Math" w:cs="Arial"/>
            <w:szCs w:val="22"/>
          </w:rPr>
          <m:t>j</m:t>
        </m:r>
      </m:oMath>
      <w:r w:rsidR="004360C3">
        <w:rPr>
          <w:rFonts w:cs="Arial"/>
          <w:szCs w:val="22"/>
        </w:rPr>
        <w:t xml:space="preserve">, </w:t>
      </w:r>
      <m:oMath>
        <m:sSubSup>
          <m:sSubSupPr>
            <m:ctrlPr>
              <w:rPr>
                <w:rFonts w:ascii="Cambria Math" w:hAnsi="Cambria Math"/>
                <w:i/>
              </w:rPr>
            </m:ctrlPr>
          </m:sSubSupPr>
          <m:e>
            <m:r>
              <w:rPr>
                <w:rFonts w:ascii="Cambria Math" w:hAnsi="Cambria Math"/>
              </w:rPr>
              <m:t>c</m:t>
            </m:r>
          </m:e>
          <m:sub>
            <m:r>
              <w:rPr>
                <w:rFonts w:ascii="Cambria Math" w:hAnsi="Cambria Math"/>
              </w:rPr>
              <m:t>j</m:t>
            </m:r>
          </m:sub>
          <m:sup>
            <m:r>
              <w:rPr>
                <w:rFonts w:ascii="Cambria Math" w:hAnsi="Cambria Math"/>
              </w:rPr>
              <m:t>n</m:t>
            </m:r>
          </m:sup>
        </m:sSubSup>
      </m:oMath>
      <w:r w:rsidR="004360C3">
        <w:rPr>
          <w:rFonts w:cs="Arial"/>
        </w:rPr>
        <w:t>,</w:t>
      </w:r>
      <w:r w:rsidR="004360C3">
        <w:rPr>
          <w:rFonts w:cs="Arial"/>
          <w:szCs w:val="22"/>
        </w:rPr>
        <w:t xml:space="preserve"> </w:t>
      </w:r>
      <w:r w:rsidRPr="00F17FEE">
        <w:rPr>
          <w:rFonts w:cs="Arial"/>
          <w:szCs w:val="22"/>
        </w:rPr>
        <w:t>is calculated as a weighted average (across all origins) of purchase prices (</w:t>
      </w:r>
      <m:oMath>
        <m:sSubSup>
          <m:sSubSupPr>
            <m:ctrlPr>
              <w:rPr>
                <w:rFonts w:ascii="Cambria Math" w:hAnsi="Cambria Math" w:cs="Arial"/>
                <w:szCs w:val="22"/>
              </w:rPr>
            </m:ctrlPr>
          </m:sSubSupPr>
          <m:e>
            <m:r>
              <w:rPr>
                <w:rFonts w:ascii="Cambria Math" w:hAnsi="Cambria Math" w:cs="Arial"/>
                <w:szCs w:val="22"/>
              </w:rPr>
              <m:t>b</m:t>
            </m:r>
          </m:e>
          <m:sub>
            <m:r>
              <w:rPr>
                <w:rFonts w:ascii="Cambria Math" w:hAnsi="Cambria Math" w:cs="Arial"/>
                <w:szCs w:val="22"/>
              </w:rPr>
              <m:t>i</m:t>
            </m:r>
          </m:sub>
          <m:sup>
            <m:r>
              <w:rPr>
                <w:rFonts w:ascii="Cambria Math" w:hAnsi="Cambria Math" w:cs="Arial"/>
                <w:szCs w:val="22"/>
              </w:rPr>
              <m:t>n</m:t>
            </m:r>
          </m:sup>
        </m:sSubSup>
      </m:oMath>
      <w:r w:rsidRPr="00F17FEE">
        <w:rPr>
          <w:rFonts w:cs="Arial"/>
          <w:szCs w:val="22"/>
        </w:rPr>
        <w:t xml:space="preserve">) plus the transportation prices from region </w:t>
      </w:r>
      <m:oMath>
        <m:r>
          <w:rPr>
            <w:rFonts w:ascii="Cambria Math" w:hAnsi="Cambria Math" w:cs="Arial"/>
            <w:szCs w:val="22"/>
          </w:rPr>
          <m:t>i</m:t>
        </m:r>
      </m:oMath>
      <w:r w:rsidRPr="00F17FEE">
        <w:rPr>
          <w:rFonts w:cs="Arial"/>
          <w:szCs w:val="22"/>
        </w:rPr>
        <w:t xml:space="preserve"> to region </w:t>
      </w:r>
      <m:oMath>
        <m:r>
          <w:rPr>
            <w:rFonts w:ascii="Cambria Math" w:hAnsi="Cambria Math" w:cs="Arial"/>
            <w:szCs w:val="22"/>
          </w:rPr>
          <m:t>j</m:t>
        </m:r>
      </m:oMath>
      <w:r w:rsidR="008251D3">
        <w:rPr>
          <w:rFonts w:cs="Arial"/>
          <w:szCs w:val="22"/>
        </w:rPr>
        <w:t xml:space="preserve">; this corresponds to the </w:t>
      </w:r>
      <w:proofErr w:type="spellStart"/>
      <w:r w:rsidR="008251D3" w:rsidRPr="002F2150">
        <w:rPr>
          <w:rFonts w:cs="Arial"/>
          <w:i/>
          <w:szCs w:val="22"/>
        </w:rPr>
        <w:t>logsum</w:t>
      </w:r>
      <w:proofErr w:type="spellEnd"/>
      <w:r w:rsidR="008251D3">
        <w:rPr>
          <w:rFonts w:cs="Arial"/>
          <w:szCs w:val="22"/>
        </w:rPr>
        <w:t xml:space="preserve"> term from Equation (9)</w:t>
      </w:r>
      <w:r w:rsidRPr="00F17FEE">
        <w:rPr>
          <w:rFonts w:cs="Arial"/>
          <w:szCs w:val="22"/>
        </w:rPr>
        <w:t xml:space="preserve">.     </w:t>
      </w:r>
    </w:p>
    <w:p w14:paraId="4B551B46" w14:textId="77777777" w:rsidR="00A81FFE" w:rsidRPr="00F17FEE" w:rsidRDefault="00A81FFE" w:rsidP="00F17FEE">
      <w:pPr>
        <w:jc w:val="both"/>
        <w:outlineLvl w:val="0"/>
        <w:rPr>
          <w:rFonts w:cs="Arial"/>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2571"/>
      </w:tblGrid>
      <w:tr w:rsidR="00CF7821" w14:paraId="1BE97634" w14:textId="77777777" w:rsidTr="008251D3">
        <w:trPr>
          <w:jc w:val="center"/>
        </w:trPr>
        <w:tc>
          <w:tcPr>
            <w:tcW w:w="6804" w:type="dxa"/>
            <w:vAlign w:val="center"/>
          </w:tcPr>
          <w:p w14:paraId="1B043ABA" w14:textId="103C42FB" w:rsidR="00CF7821" w:rsidRPr="003F1826" w:rsidRDefault="00722C0F" w:rsidP="00A406D0">
            <w:pPr>
              <w:pStyle w:val="BodyText1"/>
              <w:ind w:left="0"/>
              <w:jc w:val="center"/>
            </w:pPr>
            <m:oMathPara>
              <m:oMath>
                <m:sSubSup>
                  <m:sSubSupPr>
                    <m:ctrlPr>
                      <w:rPr>
                        <w:rFonts w:ascii="Cambria Math" w:hAnsi="Cambria Math"/>
                        <w:i/>
                      </w:rPr>
                    </m:ctrlPr>
                  </m:sSubSupPr>
                  <m:e>
                    <m:r>
                      <w:rPr>
                        <w:rFonts w:ascii="Cambria Math" w:hAnsi="Cambria Math"/>
                      </w:rPr>
                      <m:t>c</m:t>
                    </m:r>
                  </m:e>
                  <m:sub>
                    <m:r>
                      <w:rPr>
                        <w:rFonts w:ascii="Cambria Math" w:hAnsi="Cambria Math"/>
                      </w:rPr>
                      <m:t>j</m:t>
                    </m:r>
                  </m:sub>
                  <m:sup>
                    <m:r>
                      <w:rPr>
                        <w:rFonts w:ascii="Cambria Math" w:hAnsi="Cambria Math"/>
                      </w:rPr>
                      <m:t>n</m:t>
                    </m:r>
                  </m:sup>
                </m:sSubSup>
                <m:r>
                  <w:rPr>
                    <w:rFonts w:ascii="Cambria Math" w:hAnsi="Cambria Math"/>
                  </w:rPr>
                  <m:t>=</m:t>
                </m:r>
                <m:f>
                  <m:fPr>
                    <m:ctrlPr>
                      <w:rPr>
                        <w:rFonts w:ascii="Cambria Math" w:hAnsi="Cambria Math"/>
                        <w:i/>
                      </w:rPr>
                    </m:ctrlPr>
                  </m:fPr>
                  <m:num>
                    <m:nary>
                      <m:naryPr>
                        <m:chr m:val="∑"/>
                        <m:limLoc m:val="undOvr"/>
                        <m:supHide m:val="1"/>
                        <m:ctrlPr>
                          <w:rPr>
                            <w:rFonts w:ascii="Cambria Math" w:hAnsi="Cambria Math"/>
                            <w:i/>
                          </w:rPr>
                        </m:ctrlPr>
                      </m:naryPr>
                      <m:sub>
                        <m:r>
                          <w:rPr>
                            <w:rFonts w:ascii="Cambria Math" w:hAnsi="Cambria Math"/>
                          </w:rPr>
                          <m:t>i</m:t>
                        </m:r>
                      </m:sub>
                      <m:sup/>
                      <m:e>
                        <m:sSubSup>
                          <m:sSubSupPr>
                            <m:ctrlPr>
                              <w:rPr>
                                <w:rFonts w:ascii="Cambria Math" w:hAnsi="Cambria Math"/>
                                <w:i/>
                              </w:rPr>
                            </m:ctrlPr>
                          </m:sSubSupPr>
                          <m:e>
                            <m:r>
                              <w:rPr>
                                <w:rFonts w:ascii="Cambria Math" w:hAnsi="Cambria Math"/>
                              </w:rPr>
                              <m:t>x</m:t>
                            </m:r>
                          </m:e>
                          <m:sub>
                            <m:r>
                              <w:rPr>
                                <w:rFonts w:ascii="Cambria Math" w:hAnsi="Cambria Math"/>
                              </w:rPr>
                              <m:t>ij</m:t>
                            </m:r>
                          </m:sub>
                          <m:sup>
                            <m:r>
                              <w:rPr>
                                <w:rFonts w:ascii="Cambria Math" w:hAnsi="Cambria Math"/>
                              </w:rPr>
                              <m:t>n</m:t>
                            </m:r>
                          </m:sup>
                        </m:sSubSup>
                      </m:e>
                    </m:nary>
                    <m:r>
                      <w:rPr>
                        <w:rFonts w:ascii="Cambria Math" w:hAnsi="Cambria Math"/>
                      </w:rPr>
                      <m:t>(</m:t>
                    </m:r>
                    <m:sSubSup>
                      <m:sSubSupPr>
                        <m:ctrlPr>
                          <w:rPr>
                            <w:rFonts w:ascii="Cambria Math" w:hAnsi="Cambria Math"/>
                            <w:i/>
                          </w:rPr>
                        </m:ctrlPr>
                      </m:sSubSupPr>
                      <m:e>
                        <m:r>
                          <w:rPr>
                            <w:rFonts w:ascii="Cambria Math" w:hAnsi="Cambria Math"/>
                          </w:rPr>
                          <m:t>b</m:t>
                        </m:r>
                      </m:e>
                      <m:sub>
                        <m:r>
                          <w:rPr>
                            <w:rFonts w:ascii="Cambria Math" w:hAnsi="Cambria Math"/>
                          </w:rPr>
                          <m:t>i</m:t>
                        </m:r>
                      </m:sub>
                      <m:sup>
                        <m:r>
                          <w:rPr>
                            <w:rFonts w:ascii="Cambria Math" w:hAnsi="Cambria Math"/>
                          </w:rPr>
                          <m:t>n</m:t>
                        </m:r>
                      </m:sup>
                    </m:sSubSup>
                    <m:r>
                      <w:rPr>
                        <w:rFonts w:ascii="Cambria Math" w:hAnsi="Cambria Math"/>
                      </w:rPr>
                      <m:t>+</m:t>
                    </m:r>
                    <m:func>
                      <m:funcPr>
                        <m:ctrlPr>
                          <w:rPr>
                            <w:rFonts w:ascii="Cambria Math" w:eastAsia="Times New Roman" w:hAnsi="Cambria Math"/>
                            <w:i/>
                            <w:color w:val="auto"/>
                            <w:sz w:val="24"/>
                            <w:szCs w:val="24"/>
                            <w:lang w:val="en-NZ" w:eastAsia="en-US"/>
                          </w:rPr>
                        </m:ctrlPr>
                      </m:funcPr>
                      <m:fName>
                        <m:r>
                          <m:rPr>
                            <m:sty m:val="p"/>
                          </m:rPr>
                          <w:rPr>
                            <w:rFonts w:ascii="Cambria Math" w:eastAsia="Times New Roman" w:hAnsi="Cambria Math"/>
                            <w:sz w:val="24"/>
                            <w:szCs w:val="24"/>
                            <w:lang w:eastAsia="en-US"/>
                          </w:rPr>
                          <m:t>ln</m:t>
                        </m:r>
                      </m:fName>
                      <m:e>
                        <m:d>
                          <m:dPr>
                            <m:begChr m:val="["/>
                            <m:endChr m:val="]"/>
                            <m:ctrlPr>
                              <w:rPr>
                                <w:rFonts w:ascii="Cambria Math" w:eastAsia="Times New Roman" w:hAnsi="Cambria Math"/>
                                <w:i/>
                                <w:color w:val="auto"/>
                                <w:sz w:val="24"/>
                                <w:szCs w:val="24"/>
                                <w:lang w:val="en-NZ" w:eastAsia="en-US"/>
                              </w:rPr>
                            </m:ctrlPr>
                          </m:dPr>
                          <m:e>
                            <m:r>
                              <w:rPr>
                                <w:rFonts w:ascii="Cambria Math" w:hAnsi="Cambria Math"/>
                              </w:rPr>
                              <m:t>exp</m:t>
                            </m:r>
                            <m:d>
                              <m:dPr>
                                <m:ctrlPr>
                                  <w:rPr>
                                    <w:rFonts w:ascii="Cambria Math" w:eastAsia="Times New Roman" w:hAnsi="Cambria Math"/>
                                    <w:i/>
                                    <w:color w:val="auto"/>
                                    <w:sz w:val="24"/>
                                    <w:szCs w:val="24"/>
                                    <w:lang w:val="en-NZ" w:eastAsia="en-US"/>
                                  </w:rPr>
                                </m:ctrlPr>
                              </m:dPr>
                              <m:e>
                                <m:sSubSup>
                                  <m:sSubSupPr>
                                    <m:ctrlPr>
                                      <w:rPr>
                                        <w:rFonts w:ascii="Cambria Math" w:eastAsia="Times New Roman" w:hAnsi="Cambria Math"/>
                                        <w:i/>
                                        <w:color w:val="auto"/>
                                        <w:sz w:val="24"/>
                                        <w:szCs w:val="24"/>
                                        <w:lang w:val="en-NZ" w:eastAsia="en-US"/>
                                      </w:rPr>
                                    </m:ctrlPr>
                                  </m:sSubSupPr>
                                  <m:e>
                                    <m:r>
                                      <w:rPr>
                                        <w:rFonts w:ascii="Cambria Math" w:hAnsi="Cambria Math"/>
                                      </w:rPr>
                                      <m:t>β</m:t>
                                    </m:r>
                                  </m:e>
                                  <m:sub>
                                    <m:r>
                                      <w:rPr>
                                        <w:rFonts w:ascii="Cambria Math" w:hAnsi="Cambria Math"/>
                                      </w:rPr>
                                      <m:t>road</m:t>
                                    </m:r>
                                  </m:sub>
                                  <m:sup>
                                    <m:r>
                                      <w:rPr>
                                        <w:rFonts w:ascii="Cambria Math" w:hAnsi="Cambria Math"/>
                                      </w:rPr>
                                      <m:t>n</m:t>
                                    </m:r>
                                  </m:sup>
                                </m:sSubSup>
                                <m:sSub>
                                  <m:sSubPr>
                                    <m:ctrlPr>
                                      <w:rPr>
                                        <w:rFonts w:ascii="Cambria Math" w:eastAsia="Times New Roman" w:hAnsi="Cambria Math"/>
                                        <w:i/>
                                        <w:color w:val="auto"/>
                                        <w:sz w:val="24"/>
                                        <w:szCs w:val="24"/>
                                        <w:lang w:val="en-NZ" w:eastAsia="en-US"/>
                                      </w:rPr>
                                    </m:ctrlPr>
                                  </m:sSubPr>
                                  <m:e>
                                    <m:r>
                                      <w:rPr>
                                        <w:rFonts w:ascii="Cambria Math" w:hAnsi="Cambria Math"/>
                                      </w:rPr>
                                      <m:t>d</m:t>
                                    </m:r>
                                  </m:e>
                                  <m:sub>
                                    <m:r>
                                      <w:rPr>
                                        <w:rFonts w:ascii="Cambria Math" w:hAnsi="Cambria Math"/>
                                      </w:rPr>
                                      <m:t>ij,road</m:t>
                                    </m:r>
                                  </m:sub>
                                </m:sSub>
                              </m:e>
                            </m:d>
                            <m:r>
                              <w:rPr>
                                <w:rFonts w:ascii="Cambria Math" w:hAnsi="Cambria Math"/>
                              </w:rPr>
                              <m:t>+exp</m:t>
                            </m:r>
                            <m:d>
                              <m:dPr>
                                <m:ctrlPr>
                                  <w:rPr>
                                    <w:rFonts w:ascii="Cambria Math" w:eastAsia="Times New Roman" w:hAnsi="Cambria Math"/>
                                    <w:i/>
                                    <w:color w:val="auto"/>
                                    <w:sz w:val="24"/>
                                    <w:szCs w:val="24"/>
                                    <w:lang w:val="en-NZ" w:eastAsia="en-US"/>
                                  </w:rPr>
                                </m:ctrlPr>
                              </m:dPr>
                              <m:e>
                                <m:sSubSup>
                                  <m:sSubSupPr>
                                    <m:ctrlPr>
                                      <w:rPr>
                                        <w:rFonts w:ascii="Cambria Math" w:eastAsia="Times New Roman" w:hAnsi="Cambria Math"/>
                                        <w:i/>
                                        <w:color w:val="auto"/>
                                        <w:sz w:val="24"/>
                                        <w:szCs w:val="24"/>
                                        <w:lang w:val="en-NZ" w:eastAsia="en-US"/>
                                      </w:rPr>
                                    </m:ctrlPr>
                                  </m:sSubSupPr>
                                  <m:e>
                                    <m:r>
                                      <w:rPr>
                                        <w:rFonts w:ascii="Cambria Math" w:hAnsi="Cambria Math"/>
                                      </w:rPr>
                                      <m:t>β</m:t>
                                    </m:r>
                                  </m:e>
                                  <m:sub>
                                    <m:r>
                                      <w:rPr>
                                        <w:rFonts w:ascii="Cambria Math" w:hAnsi="Cambria Math"/>
                                      </w:rPr>
                                      <m:t>0</m:t>
                                    </m:r>
                                  </m:sub>
                                  <m:sup>
                                    <m:r>
                                      <w:rPr>
                                        <w:rFonts w:ascii="Cambria Math" w:hAnsi="Cambria Math"/>
                                      </w:rPr>
                                      <m:t>n</m:t>
                                    </m:r>
                                  </m:sup>
                                </m:sSubSup>
                                <m:r>
                                  <w:rPr>
                                    <w:rFonts w:ascii="Cambria Math" w:hAnsi="Cambria Math"/>
                                  </w:rPr>
                                  <m:t>+</m:t>
                                </m:r>
                                <m:sSubSup>
                                  <m:sSubSupPr>
                                    <m:ctrlPr>
                                      <w:rPr>
                                        <w:rFonts w:ascii="Cambria Math" w:eastAsia="Times New Roman" w:hAnsi="Cambria Math"/>
                                        <w:i/>
                                        <w:color w:val="auto"/>
                                        <w:sz w:val="24"/>
                                        <w:szCs w:val="24"/>
                                        <w:lang w:val="en-NZ" w:eastAsia="en-US"/>
                                      </w:rPr>
                                    </m:ctrlPr>
                                  </m:sSubSupPr>
                                  <m:e>
                                    <m:r>
                                      <w:rPr>
                                        <w:rFonts w:ascii="Cambria Math" w:hAnsi="Cambria Math"/>
                                      </w:rPr>
                                      <m:t>β</m:t>
                                    </m:r>
                                  </m:e>
                                  <m:sub>
                                    <m:r>
                                      <w:rPr>
                                        <w:rFonts w:ascii="Cambria Math" w:hAnsi="Cambria Math"/>
                                      </w:rPr>
                                      <m:t>rail</m:t>
                                    </m:r>
                                  </m:sub>
                                  <m:sup>
                                    <m:r>
                                      <w:rPr>
                                        <w:rFonts w:ascii="Cambria Math" w:hAnsi="Cambria Math"/>
                                      </w:rPr>
                                      <m:t>n</m:t>
                                    </m:r>
                                  </m:sup>
                                </m:sSubSup>
                                <m:sSub>
                                  <m:sSubPr>
                                    <m:ctrlPr>
                                      <w:rPr>
                                        <w:rFonts w:ascii="Cambria Math" w:eastAsia="Times New Roman" w:hAnsi="Cambria Math"/>
                                        <w:i/>
                                        <w:color w:val="auto"/>
                                        <w:sz w:val="24"/>
                                        <w:szCs w:val="24"/>
                                        <w:lang w:val="en-NZ" w:eastAsia="en-US"/>
                                      </w:rPr>
                                    </m:ctrlPr>
                                  </m:sSubPr>
                                  <m:e>
                                    <m:r>
                                      <w:rPr>
                                        <w:rFonts w:ascii="Cambria Math" w:hAnsi="Cambria Math"/>
                                      </w:rPr>
                                      <m:t>d</m:t>
                                    </m:r>
                                  </m:e>
                                  <m:sub>
                                    <m:r>
                                      <w:rPr>
                                        <w:rFonts w:ascii="Cambria Math" w:hAnsi="Cambria Math"/>
                                      </w:rPr>
                                      <m:t>ij,rail</m:t>
                                    </m:r>
                                  </m:sub>
                                </m:sSub>
                              </m:e>
                            </m:d>
                          </m:e>
                        </m:d>
                      </m:e>
                    </m:func>
                    <m:r>
                      <w:rPr>
                        <w:rFonts w:ascii="Cambria Math" w:hAnsi="Cambria Math"/>
                      </w:rPr>
                      <m:t>)</m:t>
                    </m:r>
                  </m:num>
                  <m:den>
                    <m:nary>
                      <m:naryPr>
                        <m:chr m:val="∑"/>
                        <m:limLoc m:val="undOvr"/>
                        <m:supHide m:val="1"/>
                        <m:ctrlPr>
                          <w:rPr>
                            <w:rFonts w:ascii="Cambria Math" w:hAnsi="Cambria Math"/>
                            <w:i/>
                          </w:rPr>
                        </m:ctrlPr>
                      </m:naryPr>
                      <m:sub>
                        <m:r>
                          <w:rPr>
                            <w:rFonts w:ascii="Cambria Math" w:hAnsi="Cambria Math"/>
                          </w:rPr>
                          <m:t>i</m:t>
                        </m:r>
                      </m:sub>
                      <m:sup/>
                      <m:e>
                        <m:sSubSup>
                          <m:sSubSupPr>
                            <m:ctrlPr>
                              <w:rPr>
                                <w:rFonts w:ascii="Cambria Math" w:hAnsi="Cambria Math"/>
                                <w:i/>
                              </w:rPr>
                            </m:ctrlPr>
                          </m:sSubSupPr>
                          <m:e>
                            <m:r>
                              <w:rPr>
                                <w:rFonts w:ascii="Cambria Math" w:hAnsi="Cambria Math"/>
                              </w:rPr>
                              <m:t>x</m:t>
                            </m:r>
                          </m:e>
                          <m:sub>
                            <m:r>
                              <w:rPr>
                                <w:rFonts w:ascii="Cambria Math" w:hAnsi="Cambria Math"/>
                              </w:rPr>
                              <m:t>ij</m:t>
                            </m:r>
                          </m:sub>
                          <m:sup>
                            <m:r>
                              <w:rPr>
                                <w:rFonts w:ascii="Cambria Math" w:hAnsi="Cambria Math"/>
                              </w:rPr>
                              <m:t>n</m:t>
                            </m:r>
                          </m:sup>
                        </m:sSubSup>
                      </m:e>
                    </m:nary>
                  </m:den>
                </m:f>
                <m:r>
                  <w:rPr>
                    <w:rFonts w:ascii="Cambria Math" w:hAnsi="Cambria Math"/>
                  </w:rPr>
                  <m:t xml:space="preserve">      ∀j,n</m:t>
                </m:r>
              </m:oMath>
            </m:oMathPara>
          </w:p>
        </w:tc>
        <w:tc>
          <w:tcPr>
            <w:tcW w:w="2571" w:type="dxa"/>
            <w:vAlign w:val="center"/>
          </w:tcPr>
          <w:p w14:paraId="0C4DB370" w14:textId="77777777" w:rsidR="00CF7821" w:rsidRDefault="007F24F6" w:rsidP="00254BCB">
            <w:pPr>
              <w:pStyle w:val="BodyText1"/>
              <w:ind w:left="0"/>
              <w:jc w:val="center"/>
            </w:pPr>
            <w:r>
              <w:t>(10</w:t>
            </w:r>
            <w:r w:rsidR="00CF7821">
              <w:t>)</w:t>
            </w:r>
          </w:p>
        </w:tc>
      </w:tr>
    </w:tbl>
    <w:p w14:paraId="66686A4D" w14:textId="77777777" w:rsidR="00A81FFE" w:rsidRDefault="00A81FFE" w:rsidP="00F17FEE">
      <w:pPr>
        <w:jc w:val="both"/>
        <w:outlineLvl w:val="0"/>
        <w:rPr>
          <w:rFonts w:cs="Arial"/>
          <w:szCs w:val="22"/>
        </w:rPr>
      </w:pPr>
    </w:p>
    <w:p w14:paraId="4EC2FBC4" w14:textId="77777777" w:rsidR="00CF7821" w:rsidRDefault="00CF7821" w:rsidP="00F17FEE">
      <w:pPr>
        <w:jc w:val="both"/>
        <w:outlineLvl w:val="0"/>
        <w:rPr>
          <w:rFonts w:cs="Arial"/>
          <w:szCs w:val="22"/>
        </w:rPr>
      </w:pPr>
      <w:r w:rsidRPr="00F17FEE">
        <w:rPr>
          <w:rFonts w:cs="Arial"/>
          <w:szCs w:val="22"/>
        </w:rPr>
        <w:t xml:space="preserve">It is assumed that </w:t>
      </w:r>
      <w:r w:rsidR="00FD3ADD">
        <w:rPr>
          <w:rFonts w:cs="Arial"/>
          <w:szCs w:val="22"/>
        </w:rPr>
        <w:t xml:space="preserve">the selling price of commodity </w:t>
      </w:r>
      <m:oMath>
        <m:r>
          <w:rPr>
            <w:rFonts w:ascii="Cambria Math" w:hAnsi="Cambria Math" w:cs="Arial"/>
            <w:szCs w:val="22"/>
          </w:rPr>
          <m:t>n</m:t>
        </m:r>
      </m:oMath>
      <w:r w:rsidRPr="00F17FEE">
        <w:rPr>
          <w:rFonts w:cs="Arial"/>
          <w:szCs w:val="22"/>
        </w:rPr>
        <w:t xml:space="preserve"> in region </w:t>
      </w:r>
      <m:oMath>
        <m:r>
          <w:rPr>
            <w:rFonts w:ascii="Cambria Math" w:hAnsi="Cambria Math" w:cs="Arial"/>
            <w:szCs w:val="22"/>
          </w:rPr>
          <m:t>j</m:t>
        </m:r>
      </m:oMath>
      <w:r w:rsidRPr="00F17FEE">
        <w:rPr>
          <w:rFonts w:cs="Arial"/>
          <w:szCs w:val="22"/>
        </w:rPr>
        <w:t xml:space="preserve"> is equal to the production cost, which is calculated by:</w:t>
      </w:r>
    </w:p>
    <w:p w14:paraId="29416858" w14:textId="77777777" w:rsidR="00A81FFE" w:rsidRPr="00F17FEE" w:rsidRDefault="00A81FFE" w:rsidP="00F17FEE">
      <w:pPr>
        <w:jc w:val="both"/>
        <w:outlineLvl w:val="0"/>
        <w:rPr>
          <w:rFonts w:cs="Arial"/>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3118"/>
      </w:tblGrid>
      <w:tr w:rsidR="00CF7821" w14:paraId="48FA0A27" w14:textId="77777777" w:rsidTr="00254BCB">
        <w:trPr>
          <w:jc w:val="center"/>
        </w:trPr>
        <w:tc>
          <w:tcPr>
            <w:tcW w:w="3118" w:type="dxa"/>
            <w:vAlign w:val="center"/>
          </w:tcPr>
          <w:p w14:paraId="4D4CBF26" w14:textId="77777777" w:rsidR="00CF7821" w:rsidRPr="003F1826" w:rsidRDefault="00722C0F" w:rsidP="00254BCB">
            <w:pPr>
              <w:pStyle w:val="BodyText1"/>
              <w:ind w:left="0"/>
              <w:jc w:val="center"/>
            </w:pPr>
            <m:oMathPara>
              <m:oMathParaPr>
                <m:jc m:val="center"/>
              </m:oMathParaPr>
              <m:oMath>
                <m:sSubSup>
                  <m:sSubSupPr>
                    <m:ctrlPr>
                      <w:rPr>
                        <w:rFonts w:ascii="Cambria Math" w:hAnsi="Cambria Math"/>
                        <w:i/>
                      </w:rPr>
                    </m:ctrlPr>
                  </m:sSubSupPr>
                  <m:e>
                    <m:r>
                      <w:rPr>
                        <w:rFonts w:ascii="Cambria Math" w:hAnsi="Cambria Math"/>
                      </w:rPr>
                      <m:t>b</m:t>
                    </m:r>
                  </m:e>
                  <m:sub>
                    <m:r>
                      <w:rPr>
                        <w:rFonts w:ascii="Cambria Math" w:hAnsi="Cambria Math"/>
                      </w:rPr>
                      <m:t>j</m:t>
                    </m:r>
                  </m:sub>
                  <m:sup>
                    <m:r>
                      <w:rPr>
                        <w:rFonts w:ascii="Cambria Math" w:hAnsi="Cambria Math"/>
                      </w:rPr>
                      <m:t>n</m:t>
                    </m:r>
                  </m:sup>
                </m:sSubSup>
                <m:r>
                  <w:rPr>
                    <w:rFonts w:ascii="Cambria Math" w:hAnsi="Cambria Math"/>
                  </w:rPr>
                  <m:t>=</m:t>
                </m:r>
                <m:nary>
                  <m:naryPr>
                    <m:chr m:val="∑"/>
                    <m:limLoc m:val="undOvr"/>
                    <m:supHide m:val="1"/>
                    <m:ctrlPr>
                      <w:rPr>
                        <w:rFonts w:ascii="Cambria Math" w:hAnsi="Cambria Math"/>
                        <w:i/>
                      </w:rPr>
                    </m:ctrlPr>
                  </m:naryPr>
                  <m:sub>
                    <m:r>
                      <w:rPr>
                        <w:rFonts w:ascii="Cambria Math" w:hAnsi="Cambria Math"/>
                      </w:rPr>
                      <m:t>m</m:t>
                    </m:r>
                  </m:sub>
                  <m:sup/>
                  <m:e>
                    <m:sSubSup>
                      <m:sSubSupPr>
                        <m:ctrlPr>
                          <w:rPr>
                            <w:rFonts w:ascii="Cambria Math" w:hAnsi="Cambria Math"/>
                            <w:i/>
                          </w:rPr>
                        </m:ctrlPr>
                      </m:sSubSupPr>
                      <m:e>
                        <m:r>
                          <w:rPr>
                            <w:rFonts w:ascii="Cambria Math" w:hAnsi="Cambria Math"/>
                          </w:rPr>
                          <m:t>a</m:t>
                        </m:r>
                      </m:e>
                      <m:sub>
                        <m:r>
                          <w:rPr>
                            <w:rFonts w:ascii="Cambria Math" w:hAnsi="Cambria Math"/>
                          </w:rPr>
                          <m:t>j</m:t>
                        </m:r>
                      </m:sub>
                      <m:sup>
                        <m:r>
                          <w:rPr>
                            <w:rFonts w:ascii="Cambria Math" w:hAnsi="Cambria Math"/>
                          </w:rPr>
                          <m:t>mn</m:t>
                        </m:r>
                      </m:sup>
                    </m:sSubSup>
                    <m:sSubSup>
                      <m:sSubSupPr>
                        <m:ctrlPr>
                          <w:rPr>
                            <w:rFonts w:ascii="Cambria Math" w:hAnsi="Cambria Math"/>
                            <w:i/>
                          </w:rPr>
                        </m:ctrlPr>
                      </m:sSubSupPr>
                      <m:e>
                        <m:r>
                          <w:rPr>
                            <w:rFonts w:ascii="Cambria Math" w:hAnsi="Cambria Math"/>
                          </w:rPr>
                          <m:t>c</m:t>
                        </m:r>
                      </m:e>
                      <m:sub>
                        <m:r>
                          <w:rPr>
                            <w:rFonts w:ascii="Cambria Math" w:hAnsi="Cambria Math"/>
                          </w:rPr>
                          <m:t>j</m:t>
                        </m:r>
                      </m:sub>
                      <m:sup>
                        <m:r>
                          <w:rPr>
                            <w:rFonts w:ascii="Cambria Math" w:hAnsi="Cambria Math"/>
                          </w:rPr>
                          <m:t>n</m:t>
                        </m:r>
                      </m:sup>
                    </m:sSubSup>
                  </m:e>
                </m:nary>
                <m:r>
                  <w:rPr>
                    <w:rFonts w:ascii="Cambria Math" w:hAnsi="Cambria Math"/>
                  </w:rPr>
                  <m:t xml:space="preserve">        ∀j,n</m:t>
                </m:r>
              </m:oMath>
            </m:oMathPara>
          </w:p>
          <w:p w14:paraId="144E0414" w14:textId="77777777" w:rsidR="00CF7821" w:rsidRDefault="00CF7821" w:rsidP="00254BCB">
            <w:pPr>
              <w:pStyle w:val="BodyText1"/>
              <w:ind w:left="0"/>
              <w:jc w:val="center"/>
            </w:pPr>
          </w:p>
        </w:tc>
        <w:tc>
          <w:tcPr>
            <w:tcW w:w="3118" w:type="dxa"/>
            <w:vAlign w:val="center"/>
          </w:tcPr>
          <w:p w14:paraId="0FFF1CA1" w14:textId="77777777" w:rsidR="00CF7821" w:rsidRDefault="007F24F6" w:rsidP="00254BCB">
            <w:pPr>
              <w:pStyle w:val="BodyText1"/>
              <w:ind w:left="0"/>
              <w:jc w:val="center"/>
            </w:pPr>
            <w:r>
              <w:t>(11</w:t>
            </w:r>
            <w:r w:rsidR="00CF7821">
              <w:t>)</w:t>
            </w:r>
          </w:p>
        </w:tc>
      </w:tr>
    </w:tbl>
    <w:p w14:paraId="6027CF00" w14:textId="77777777" w:rsidR="00945B19" w:rsidRPr="00092759" w:rsidRDefault="00945B19" w:rsidP="00945B19">
      <w:pPr>
        <w:jc w:val="both"/>
        <w:outlineLvl w:val="0"/>
        <w:rPr>
          <w:rFonts w:cs="Arial"/>
          <w:b/>
          <w:szCs w:val="22"/>
        </w:rPr>
      </w:pPr>
      <w:r w:rsidRPr="00092759">
        <w:rPr>
          <w:rFonts w:cs="Arial"/>
          <w:b/>
          <w:szCs w:val="22"/>
        </w:rPr>
        <w:t>Algorithm</w:t>
      </w:r>
    </w:p>
    <w:p w14:paraId="723D1288" w14:textId="32E5E41D" w:rsidR="009F3ACF" w:rsidRDefault="00780D7B" w:rsidP="00AB6A60">
      <w:pPr>
        <w:jc w:val="both"/>
        <w:outlineLvl w:val="0"/>
        <w:rPr>
          <w:rFonts w:cs="Arial"/>
          <w:szCs w:val="22"/>
        </w:rPr>
      </w:pPr>
      <w:r>
        <w:rPr>
          <w:rFonts w:cs="Arial"/>
          <w:szCs w:val="22"/>
        </w:rPr>
        <w:t xml:space="preserve">The solution for prices and monetary flows between sectors and regions is obtained through an iterative fixed point algorithm; </w:t>
      </w:r>
      <w:r w:rsidR="002E1ED6">
        <w:rPr>
          <w:rFonts w:cs="Arial"/>
          <w:szCs w:val="22"/>
        </w:rPr>
        <w:fldChar w:fldCharType="begin"/>
      </w:r>
      <w:r w:rsidR="002E1ED6">
        <w:rPr>
          <w:rFonts w:cs="Arial"/>
          <w:szCs w:val="22"/>
        </w:rPr>
        <w:instrText xml:space="preserve"> ADDIN EN.CITE &lt;EndNote&gt;&lt;Cite AuthorYear="1"&gt;&lt;Author&gt;Zhao&lt;/Author&gt;&lt;Year&gt;2004&lt;/Year&gt;&lt;RecNum&gt;25&lt;/RecNum&gt;&lt;DisplayText&gt;Zhao and Kockelman (2004)&lt;/DisplayText&gt;&lt;record&gt;&lt;rec-number&gt;25&lt;/rec-number&gt;&lt;foreign-keys&gt;&lt;key app="EN" db-id="zesxtzdp6atewte95fc5dr2asp25rs2rstwt" timestamp="1512945675"&gt;25&lt;/key&gt;&lt;/foreign-keys&gt;&lt;ref-type name="Journal Article"&gt;17&lt;/ref-type&gt;&lt;contributors&gt;&lt;authors&gt;&lt;author&gt;Zhao, Yong&lt;/author&gt;&lt;author&gt;Kockelman, Kara M.&lt;/author&gt;&lt;/authors&gt;&lt;/contributors&gt;&lt;titles&gt;&lt;title&gt;The random-utility-based multiregional input-output model: Solution existence and uniqueness&lt;/title&gt;&lt;secondary-title&gt;Transportation Research Part B: Methodological&lt;/secondary-title&gt;&lt;/titles&gt;&lt;periodical&gt;&lt;full-title&gt;Transportation Research Part B: Methodological&lt;/full-title&gt;&lt;/periodical&gt;&lt;pages&gt;789-807&lt;/pages&gt;&lt;volume&gt;38&lt;/volume&gt;&lt;number&gt;9&lt;/number&gt;&lt;keywords&gt;&lt;keyword&gt;Integrated land use-transportation models&lt;/keyword&gt;&lt;keyword&gt;Random-utility-based multiregional input-output mo&lt;/keyword&gt;&lt;keyword&gt;Solution existence and uniqueness&lt;/keyword&gt;&lt;keyword&gt;Spatial input-output models&lt;/keyword&gt;&lt;/keywords&gt;&lt;dates&gt;&lt;year&gt;2004&lt;/year&gt;&lt;/dates&gt;&lt;isbn&gt;01912615 (ISSN)&lt;/isbn&gt;&lt;urls&gt;&lt;/urls&gt;&lt;electronic-resource-num&gt;10.1016/j.trb.2003.10.005&lt;/electronic-resource-num&gt;&lt;/record&gt;&lt;/Cite&gt;&lt;/EndNote&gt;</w:instrText>
      </w:r>
      <w:r w:rsidR="002E1ED6">
        <w:rPr>
          <w:rFonts w:cs="Arial"/>
          <w:szCs w:val="22"/>
        </w:rPr>
        <w:fldChar w:fldCharType="separate"/>
      </w:r>
      <w:r w:rsidR="002E1ED6">
        <w:rPr>
          <w:rFonts w:cs="Arial"/>
          <w:noProof/>
          <w:szCs w:val="22"/>
        </w:rPr>
        <w:t>Zhao and Kockelman (2004)</w:t>
      </w:r>
      <w:r w:rsidR="002E1ED6">
        <w:rPr>
          <w:rFonts w:cs="Arial"/>
          <w:szCs w:val="22"/>
        </w:rPr>
        <w:fldChar w:fldCharType="end"/>
      </w:r>
      <w:r w:rsidR="002E1ED6">
        <w:rPr>
          <w:rFonts w:cs="Arial"/>
          <w:szCs w:val="22"/>
        </w:rPr>
        <w:t xml:space="preserve"> </w:t>
      </w:r>
      <w:r w:rsidR="00E0128C">
        <w:rPr>
          <w:rFonts w:cs="Arial"/>
          <w:szCs w:val="22"/>
        </w:rPr>
        <w:t>d</w:t>
      </w:r>
      <w:r>
        <w:rPr>
          <w:rFonts w:cs="Arial"/>
          <w:szCs w:val="22"/>
        </w:rPr>
        <w:t>emonstrated that the algorithm converges</w:t>
      </w:r>
      <w:r w:rsidR="00C918D5">
        <w:rPr>
          <w:rFonts w:cs="Arial"/>
          <w:szCs w:val="22"/>
        </w:rPr>
        <w:t xml:space="preserve"> to a unique solution.</w:t>
      </w:r>
      <w:r>
        <w:rPr>
          <w:rFonts w:cs="Arial"/>
          <w:szCs w:val="22"/>
        </w:rPr>
        <w:t xml:space="preserve"> </w:t>
      </w:r>
      <w:r w:rsidR="00C918D5">
        <w:rPr>
          <w:rFonts w:cs="Arial"/>
          <w:szCs w:val="22"/>
        </w:rPr>
        <w:t xml:space="preserve">The final </w:t>
      </w:r>
      <w:proofErr w:type="gramStart"/>
      <w:r w:rsidR="00C918D5">
        <w:rPr>
          <w:rFonts w:cs="Arial"/>
          <w:szCs w:val="22"/>
        </w:rPr>
        <w:t xml:space="preserve">demands </w:t>
      </w:r>
      <w:proofErr w:type="gramEnd"/>
      <m:oMath>
        <m:sSubSup>
          <m:sSubSupPr>
            <m:ctrlPr>
              <w:rPr>
                <w:rFonts w:ascii="Cambria Math" w:hAnsi="Cambria Math" w:cs="Arial"/>
                <w:szCs w:val="22"/>
              </w:rPr>
            </m:ctrlPr>
          </m:sSubSupPr>
          <m:e>
            <m:r>
              <w:rPr>
                <w:rFonts w:ascii="Cambria Math" w:hAnsi="Cambria Math" w:cs="Arial"/>
                <w:szCs w:val="22"/>
              </w:rPr>
              <m:t>Y</m:t>
            </m:r>
          </m:e>
          <m:sub>
            <m:r>
              <w:rPr>
                <w:rFonts w:ascii="Cambria Math" w:hAnsi="Cambria Math" w:cs="Arial"/>
                <w:szCs w:val="22"/>
              </w:rPr>
              <m:t>j</m:t>
            </m:r>
          </m:sub>
          <m:sup>
            <m:r>
              <w:rPr>
                <w:rFonts w:ascii="Cambria Math" w:hAnsi="Cambria Math" w:cs="Arial"/>
                <w:szCs w:val="22"/>
              </w:rPr>
              <m:t>m</m:t>
            </m:r>
          </m:sup>
        </m:sSubSup>
      </m:oMath>
      <w:r w:rsidR="00C918D5">
        <w:rPr>
          <w:rFonts w:cs="Arial"/>
          <w:szCs w:val="22"/>
        </w:rPr>
        <w:t xml:space="preserve">, technical coefficients </w:t>
      </w:r>
      <m:oMath>
        <m:sSubSup>
          <m:sSubSupPr>
            <m:ctrlPr>
              <w:rPr>
                <w:rFonts w:ascii="Cambria Math" w:hAnsi="Cambria Math" w:cs="Arial"/>
                <w:szCs w:val="22"/>
              </w:rPr>
            </m:ctrlPr>
          </m:sSubSupPr>
          <m:e>
            <m:r>
              <w:rPr>
                <w:rFonts w:ascii="Cambria Math" w:hAnsi="Cambria Math" w:cs="Arial"/>
                <w:szCs w:val="22"/>
              </w:rPr>
              <m:t>a</m:t>
            </m:r>
          </m:e>
          <m:sub>
            <m:r>
              <w:rPr>
                <w:rFonts w:ascii="Cambria Math" w:hAnsi="Cambria Math" w:cs="Arial"/>
                <w:szCs w:val="22"/>
              </w:rPr>
              <m:t>i</m:t>
            </m:r>
          </m:sub>
          <m:sup>
            <m:r>
              <w:rPr>
                <w:rFonts w:ascii="Cambria Math" w:hAnsi="Cambria Math" w:cs="Arial"/>
                <w:szCs w:val="22"/>
              </w:rPr>
              <m:t>mn</m:t>
            </m:r>
          </m:sup>
        </m:sSubSup>
      </m:oMath>
      <w:r w:rsidR="00C918D5">
        <w:rPr>
          <w:rFonts w:cs="Arial"/>
          <w:szCs w:val="22"/>
        </w:rPr>
        <w:t>,</w:t>
      </w:r>
      <w:r w:rsidR="00D25DA6">
        <w:rPr>
          <w:rFonts w:cs="Arial"/>
          <w:szCs w:val="22"/>
        </w:rPr>
        <w:t xml:space="preserve"> and</w:t>
      </w:r>
      <w:r w:rsidR="00C918D5">
        <w:rPr>
          <w:rFonts w:cs="Arial"/>
          <w:szCs w:val="22"/>
        </w:rPr>
        <w:t xml:space="preserve"> transportation costs </w:t>
      </w:r>
      <m:oMath>
        <m:sSub>
          <m:sSubPr>
            <m:ctrlPr>
              <w:rPr>
                <w:rFonts w:ascii="Cambria Math" w:hAnsi="Cambria Math" w:cs="Arial"/>
                <w:szCs w:val="22"/>
              </w:rPr>
            </m:ctrlPr>
          </m:sSubPr>
          <m:e>
            <m:r>
              <w:rPr>
                <w:rFonts w:ascii="Cambria Math" w:hAnsi="Cambria Math" w:cs="Arial"/>
                <w:szCs w:val="22"/>
              </w:rPr>
              <m:t>d</m:t>
            </m:r>
          </m:e>
          <m:sub>
            <m:r>
              <w:rPr>
                <w:rFonts w:ascii="Cambria Math" w:hAnsi="Cambria Math" w:cs="Arial"/>
                <w:szCs w:val="22"/>
              </w:rPr>
              <m:t>ij</m:t>
            </m:r>
            <m:r>
              <m:rPr>
                <m:sty m:val="p"/>
              </m:rPr>
              <w:rPr>
                <w:rFonts w:ascii="Cambria Math" w:hAnsi="Cambria Math" w:cs="Arial"/>
                <w:szCs w:val="22"/>
              </w:rPr>
              <m:t>,</m:t>
            </m:r>
            <m:r>
              <w:rPr>
                <w:rFonts w:ascii="Cambria Math" w:hAnsi="Cambria Math" w:cs="Arial"/>
                <w:szCs w:val="22"/>
              </w:rPr>
              <m:t>t</m:t>
            </m:r>
          </m:sub>
        </m:sSub>
      </m:oMath>
      <w:r w:rsidR="004F04BA">
        <w:rPr>
          <w:rFonts w:cs="Arial"/>
          <w:szCs w:val="22"/>
        </w:rPr>
        <w:t>,</w:t>
      </w:r>
      <w:r w:rsidR="00D25DA6" w:rsidRPr="00D25DA6">
        <w:rPr>
          <w:rFonts w:cs="Arial"/>
          <w:szCs w:val="22"/>
        </w:rPr>
        <w:t xml:space="preserve"> are</w:t>
      </w:r>
      <w:r w:rsidR="00C918D5" w:rsidRPr="00D25DA6">
        <w:rPr>
          <w:rFonts w:cs="Arial"/>
          <w:szCs w:val="22"/>
        </w:rPr>
        <w:t xml:space="preserve"> </w:t>
      </w:r>
      <w:r w:rsidR="00D25DA6">
        <w:rPr>
          <w:rFonts w:cs="Arial"/>
          <w:szCs w:val="22"/>
        </w:rPr>
        <w:t>given exogenously.</w:t>
      </w:r>
      <w:r w:rsidR="00C918D5" w:rsidRPr="00D25DA6">
        <w:rPr>
          <w:rFonts w:cs="Arial"/>
          <w:szCs w:val="22"/>
        </w:rPr>
        <w:t xml:space="preserve"> </w:t>
      </w:r>
      <w:r w:rsidR="00D25DA6">
        <w:rPr>
          <w:rFonts w:cs="Arial"/>
          <w:szCs w:val="22"/>
        </w:rPr>
        <w:t>C</w:t>
      </w:r>
      <w:r w:rsidR="00C918D5" w:rsidRPr="00D25DA6">
        <w:rPr>
          <w:rFonts w:cs="Arial"/>
          <w:szCs w:val="22"/>
        </w:rPr>
        <w:t xml:space="preserve">hoice </w:t>
      </w:r>
      <w:proofErr w:type="gramStart"/>
      <w:r w:rsidR="00DD1298" w:rsidRPr="00D25DA6">
        <w:rPr>
          <w:rFonts w:cs="Arial"/>
          <w:szCs w:val="22"/>
        </w:rPr>
        <w:t>coefficients</w:t>
      </w:r>
      <w:r w:rsidR="00DD1298">
        <w:rPr>
          <w:rFonts w:cs="Arial"/>
          <w:szCs w:val="22"/>
        </w:rPr>
        <w:t xml:space="preserve"> </w:t>
      </w:r>
      <w:proofErr w:type="gramEnd"/>
      <m:oMath>
        <m:sSubSup>
          <m:sSubSupPr>
            <m:ctrlPr>
              <w:rPr>
                <w:rFonts w:ascii="Cambria Math" w:hAnsi="Cambria Math" w:cs="Arial"/>
                <w:szCs w:val="22"/>
              </w:rPr>
            </m:ctrlPr>
          </m:sSubSupPr>
          <m:e>
            <m:r>
              <w:rPr>
                <w:rFonts w:ascii="Cambria Math" w:hAnsi="Cambria Math" w:cs="Arial"/>
                <w:szCs w:val="22"/>
              </w:rPr>
              <m:t>β</m:t>
            </m:r>
          </m:e>
          <m:sub>
            <m:r>
              <w:rPr>
                <w:rFonts w:ascii="Cambria Math" w:hAnsi="Cambria Math" w:cs="Arial"/>
                <w:szCs w:val="22"/>
              </w:rPr>
              <m:t>t</m:t>
            </m:r>
          </m:sub>
          <m:sup>
            <m:r>
              <w:rPr>
                <w:rFonts w:ascii="Cambria Math" w:hAnsi="Cambria Math" w:cs="Arial"/>
                <w:szCs w:val="22"/>
              </w:rPr>
              <m:t>n</m:t>
            </m:r>
          </m:sup>
        </m:sSubSup>
      </m:oMath>
      <w:r w:rsidR="00C918D5" w:rsidRPr="00D25DA6">
        <w:rPr>
          <w:rFonts w:cs="Arial"/>
          <w:szCs w:val="22"/>
        </w:rPr>
        <w:t xml:space="preserve">, </w:t>
      </w:r>
      <w:r w:rsidR="00D25DA6">
        <w:rPr>
          <w:rFonts w:cs="Arial"/>
          <w:szCs w:val="22"/>
        </w:rPr>
        <w:t xml:space="preserve">and </w:t>
      </w:r>
      <w:r w:rsidR="00C918D5" w:rsidRPr="00D25DA6">
        <w:rPr>
          <w:rFonts w:cs="Arial"/>
          <w:szCs w:val="22"/>
        </w:rPr>
        <w:t xml:space="preserve">origin choice dispersion coefficients </w:t>
      </w:r>
      <m:oMath>
        <m:sSub>
          <m:sSubPr>
            <m:ctrlPr>
              <w:rPr>
                <w:rFonts w:ascii="Cambria Math" w:hAnsi="Cambria Math" w:cs="Arial"/>
                <w:szCs w:val="22"/>
              </w:rPr>
            </m:ctrlPr>
          </m:sSubPr>
          <m:e>
            <m:r>
              <w:rPr>
                <w:rFonts w:ascii="Cambria Math" w:hAnsi="Cambria Math" w:cs="Arial"/>
                <w:szCs w:val="22"/>
              </w:rPr>
              <m:t>λ</m:t>
            </m:r>
          </m:e>
          <m:sub>
            <m:r>
              <w:rPr>
                <w:rFonts w:ascii="Cambria Math" w:hAnsi="Cambria Math" w:cs="Arial"/>
                <w:szCs w:val="22"/>
              </w:rPr>
              <m:t>n</m:t>
            </m:r>
          </m:sub>
        </m:sSub>
      </m:oMath>
      <w:r w:rsidR="00D25DA6">
        <w:rPr>
          <w:rFonts w:cs="Arial"/>
          <w:szCs w:val="22"/>
        </w:rPr>
        <w:t xml:space="preserve"> are estimated </w:t>
      </w:r>
      <w:r w:rsidR="00D25DA6" w:rsidRPr="00EF527A">
        <w:rPr>
          <w:rFonts w:cs="Arial"/>
          <w:i/>
          <w:szCs w:val="22"/>
        </w:rPr>
        <w:t>a priori</w:t>
      </w:r>
      <w:r w:rsidR="00D25DA6">
        <w:rPr>
          <w:rFonts w:cs="Arial"/>
          <w:szCs w:val="22"/>
        </w:rPr>
        <w:t xml:space="preserve">. Before the iterative process begins, </w:t>
      </w:r>
      <w:proofErr w:type="gramStart"/>
      <w:r w:rsidR="00D25DA6">
        <w:rPr>
          <w:rFonts w:cs="Arial"/>
          <w:szCs w:val="22"/>
        </w:rPr>
        <w:t xml:space="preserve">all </w:t>
      </w:r>
      <w:proofErr w:type="gramEnd"/>
      <m:oMath>
        <m:sSubSup>
          <m:sSubSupPr>
            <m:ctrlPr>
              <w:rPr>
                <w:rFonts w:ascii="Cambria Math" w:hAnsi="Cambria Math" w:cs="Arial"/>
                <w:szCs w:val="22"/>
              </w:rPr>
            </m:ctrlPr>
          </m:sSubSupPr>
          <m:e>
            <m:r>
              <w:rPr>
                <w:rFonts w:ascii="Cambria Math" w:hAnsi="Cambria Math" w:cs="Arial"/>
                <w:szCs w:val="22"/>
              </w:rPr>
              <m:t>x</m:t>
            </m:r>
          </m:e>
          <m:sub>
            <m:r>
              <w:rPr>
                <w:rFonts w:ascii="Cambria Math" w:hAnsi="Cambria Math" w:cs="Arial"/>
                <w:szCs w:val="22"/>
              </w:rPr>
              <m:t>ij</m:t>
            </m:r>
          </m:sub>
          <m:sup>
            <m:r>
              <w:rPr>
                <w:rFonts w:ascii="Cambria Math" w:hAnsi="Cambria Math" w:cs="Arial"/>
                <w:szCs w:val="22"/>
              </w:rPr>
              <m:t>n</m:t>
            </m:r>
          </m:sup>
        </m:sSubSup>
      </m:oMath>
      <w:r w:rsidR="00D25DA6" w:rsidRPr="00D25DA6">
        <w:rPr>
          <w:rFonts w:cs="Arial"/>
          <w:szCs w:val="22"/>
        </w:rPr>
        <w:t xml:space="preserve">, </w:t>
      </w:r>
      <m:oMath>
        <m:sSubSup>
          <m:sSubSupPr>
            <m:ctrlPr>
              <w:rPr>
                <w:rFonts w:ascii="Cambria Math" w:hAnsi="Cambria Math" w:cs="Arial"/>
                <w:szCs w:val="22"/>
              </w:rPr>
            </m:ctrlPr>
          </m:sSubSupPr>
          <m:e>
            <m:r>
              <w:rPr>
                <w:rFonts w:ascii="Cambria Math" w:hAnsi="Cambria Math" w:cs="Arial"/>
                <w:szCs w:val="22"/>
              </w:rPr>
              <m:t>b</m:t>
            </m:r>
          </m:e>
          <m:sub>
            <m:r>
              <w:rPr>
                <w:rFonts w:ascii="Cambria Math" w:hAnsi="Cambria Math" w:cs="Arial"/>
                <w:szCs w:val="22"/>
              </w:rPr>
              <m:t>j</m:t>
            </m:r>
          </m:sub>
          <m:sup>
            <m:r>
              <w:rPr>
                <w:rFonts w:ascii="Cambria Math" w:hAnsi="Cambria Math" w:cs="Arial"/>
                <w:szCs w:val="22"/>
              </w:rPr>
              <m:t>n</m:t>
            </m:r>
          </m:sup>
        </m:sSubSup>
      </m:oMath>
      <w:r w:rsidR="00D25DA6" w:rsidRPr="00D25DA6">
        <w:rPr>
          <w:rFonts w:cs="Arial"/>
          <w:szCs w:val="22"/>
        </w:rPr>
        <w:t xml:space="preserve"> and </w:t>
      </w:r>
      <m:oMath>
        <m:sSubSup>
          <m:sSubSupPr>
            <m:ctrlPr>
              <w:rPr>
                <w:rFonts w:ascii="Cambria Math" w:hAnsi="Cambria Math" w:cs="Arial"/>
                <w:szCs w:val="22"/>
              </w:rPr>
            </m:ctrlPr>
          </m:sSubSupPr>
          <m:e>
            <m:r>
              <w:rPr>
                <w:rFonts w:ascii="Cambria Math" w:hAnsi="Cambria Math" w:cs="Arial"/>
                <w:szCs w:val="22"/>
              </w:rPr>
              <m:t>c</m:t>
            </m:r>
          </m:e>
          <m:sub>
            <m:r>
              <w:rPr>
                <w:rFonts w:ascii="Cambria Math" w:hAnsi="Cambria Math" w:cs="Arial"/>
                <w:szCs w:val="22"/>
              </w:rPr>
              <m:t>j</m:t>
            </m:r>
          </m:sub>
          <m:sup>
            <m:r>
              <w:rPr>
                <w:rFonts w:ascii="Cambria Math" w:hAnsi="Cambria Math" w:cs="Arial"/>
                <w:szCs w:val="22"/>
              </w:rPr>
              <m:t>n</m:t>
            </m:r>
          </m:sup>
        </m:sSubSup>
      </m:oMath>
      <w:r w:rsidR="00D25DA6" w:rsidRPr="00D25DA6">
        <w:rPr>
          <w:rFonts w:cs="Arial"/>
          <w:szCs w:val="22"/>
        </w:rPr>
        <w:t xml:space="preserve"> are set to zero</w:t>
      </w:r>
      <w:r w:rsidR="00D25DA6">
        <w:rPr>
          <w:rFonts w:cs="Arial"/>
          <w:szCs w:val="22"/>
        </w:rPr>
        <w:t xml:space="preserve">. The utilities are then calculated, given the </w:t>
      </w:r>
      <w:r w:rsidR="004F04BA">
        <w:rPr>
          <w:rFonts w:cs="Arial"/>
          <w:szCs w:val="22"/>
        </w:rPr>
        <w:t xml:space="preserve">transportation costs and </w:t>
      </w:r>
      <w:r w:rsidR="00D25DA6">
        <w:rPr>
          <w:rFonts w:cs="Arial"/>
          <w:szCs w:val="22"/>
        </w:rPr>
        <w:t>selling prices at</w:t>
      </w:r>
      <w:r w:rsidR="007008EC">
        <w:rPr>
          <w:rFonts w:cs="Arial"/>
          <w:szCs w:val="22"/>
        </w:rPr>
        <w:t xml:space="preserve"> the origins</w:t>
      </w:r>
      <w:r w:rsidR="00D25DA6">
        <w:rPr>
          <w:rFonts w:cs="Arial"/>
          <w:szCs w:val="22"/>
        </w:rPr>
        <w:t>. The total output from each sector in every region</w:t>
      </w:r>
      <w:proofErr w:type="gramStart"/>
      <w:r w:rsidR="004F04BA">
        <w:rPr>
          <w:rFonts w:cs="Arial"/>
          <w:szCs w:val="22"/>
        </w:rPr>
        <w:t xml:space="preserve">, </w:t>
      </w:r>
      <w:proofErr w:type="gramEnd"/>
      <m:oMath>
        <m:sSubSup>
          <m:sSubSupPr>
            <m:ctrlPr>
              <w:rPr>
                <w:rFonts w:ascii="Cambria Math" w:hAnsi="Cambria Math" w:cs="Arial"/>
                <w:szCs w:val="22"/>
              </w:rPr>
            </m:ctrlPr>
          </m:sSubSupPr>
          <m:e>
            <m:r>
              <w:rPr>
                <w:rFonts w:ascii="Cambria Math" w:hAnsi="Cambria Math" w:cs="Arial"/>
                <w:szCs w:val="22"/>
              </w:rPr>
              <m:t>X</m:t>
            </m:r>
          </m:e>
          <m:sub>
            <m:r>
              <w:rPr>
                <w:rFonts w:ascii="Cambria Math" w:hAnsi="Cambria Math" w:cs="Arial"/>
                <w:szCs w:val="22"/>
              </w:rPr>
              <m:t>i</m:t>
            </m:r>
          </m:sub>
          <m:sup>
            <m:r>
              <w:rPr>
                <w:rFonts w:ascii="Cambria Math" w:hAnsi="Cambria Math" w:cs="Arial"/>
                <w:szCs w:val="22"/>
              </w:rPr>
              <m:t>m</m:t>
            </m:r>
          </m:sup>
        </m:sSubSup>
      </m:oMath>
      <w:r w:rsidR="004F04BA" w:rsidRPr="004F04BA">
        <w:rPr>
          <w:rFonts w:cs="Arial"/>
          <w:szCs w:val="22"/>
        </w:rPr>
        <w:t>,</w:t>
      </w:r>
      <w:r w:rsidR="00D25DA6">
        <w:rPr>
          <w:rFonts w:cs="Arial"/>
          <w:szCs w:val="22"/>
        </w:rPr>
        <w:t xml:space="preserve"> is also updated at this stage. </w:t>
      </w:r>
    </w:p>
    <w:p w14:paraId="2BFCDBF3" w14:textId="77777777" w:rsidR="009F3ACF" w:rsidRDefault="009F3ACF" w:rsidP="00AB6A60">
      <w:pPr>
        <w:jc w:val="both"/>
        <w:outlineLvl w:val="0"/>
        <w:rPr>
          <w:rFonts w:cs="Arial"/>
          <w:szCs w:val="22"/>
        </w:rPr>
      </w:pPr>
    </w:p>
    <w:p w14:paraId="1E8ECC86" w14:textId="665E6213" w:rsidR="00CF7821" w:rsidRDefault="004F04BA" w:rsidP="00AB6A60">
      <w:pPr>
        <w:jc w:val="both"/>
        <w:outlineLvl w:val="0"/>
        <w:rPr>
          <w:rFonts w:cs="Arial"/>
          <w:szCs w:val="22"/>
        </w:rPr>
      </w:pPr>
      <w:r>
        <w:rPr>
          <w:rFonts w:cs="Arial"/>
          <w:szCs w:val="22"/>
        </w:rPr>
        <w:t xml:space="preserve">Then, total consumption </w:t>
      </w:r>
      <m:oMath>
        <m:sSubSup>
          <m:sSubSupPr>
            <m:ctrlPr>
              <w:rPr>
                <w:rFonts w:ascii="Cambria Math" w:hAnsi="Cambria Math" w:cs="Arial"/>
                <w:szCs w:val="22"/>
              </w:rPr>
            </m:ctrlPr>
          </m:sSubSupPr>
          <m:e>
            <m:r>
              <w:rPr>
                <w:rFonts w:ascii="Cambria Math" w:hAnsi="Cambria Math" w:cs="Arial"/>
                <w:szCs w:val="22"/>
              </w:rPr>
              <m:t>C</m:t>
            </m:r>
          </m:e>
          <m:sub>
            <m:r>
              <w:rPr>
                <w:rFonts w:ascii="Cambria Math" w:hAnsi="Cambria Math" w:cs="Arial"/>
                <w:szCs w:val="22"/>
              </w:rPr>
              <m:t>j</m:t>
            </m:r>
          </m:sub>
          <m:sup>
            <m:r>
              <w:rPr>
                <w:rFonts w:ascii="Cambria Math" w:hAnsi="Cambria Math" w:cs="Arial"/>
                <w:szCs w:val="22"/>
              </w:rPr>
              <m:t>m</m:t>
            </m:r>
          </m:sup>
        </m:sSubSup>
      </m:oMath>
      <w:r w:rsidRPr="004F04BA">
        <w:rPr>
          <w:rFonts w:cs="Arial"/>
          <w:szCs w:val="22"/>
        </w:rPr>
        <w:t xml:space="preserve"> of sector </w:t>
      </w:r>
      <m:oMath>
        <m:r>
          <w:rPr>
            <w:rFonts w:ascii="Cambria Math" w:hAnsi="Cambria Math" w:cs="Arial"/>
            <w:szCs w:val="22"/>
          </w:rPr>
          <m:t>m</m:t>
        </m:r>
      </m:oMath>
      <w:r w:rsidRPr="004F04BA">
        <w:rPr>
          <w:rFonts w:cs="Arial"/>
          <w:szCs w:val="22"/>
        </w:rPr>
        <w:t xml:space="preserve"> in each region is calculated as the sum of the sectors intermediate consumption and final demand</w:t>
      </w:r>
      <w:r>
        <w:rPr>
          <w:rFonts w:cs="Arial"/>
          <w:szCs w:val="22"/>
        </w:rPr>
        <w:t xml:space="preserve">. Trade flows </w:t>
      </w:r>
      <m:oMath>
        <m:sSubSup>
          <m:sSubSupPr>
            <m:ctrlPr>
              <w:rPr>
                <w:rFonts w:ascii="Cambria Math" w:hAnsi="Cambria Math"/>
                <w:i/>
              </w:rPr>
            </m:ctrlPr>
          </m:sSubSupPr>
          <m:e>
            <m:r>
              <w:rPr>
                <w:rFonts w:ascii="Cambria Math" w:hAnsi="Cambria Math"/>
              </w:rPr>
              <m:t>x</m:t>
            </m:r>
          </m:e>
          <m:sub>
            <m:r>
              <w:rPr>
                <w:rFonts w:ascii="Cambria Math" w:hAnsi="Cambria Math"/>
              </w:rPr>
              <m:t>ij</m:t>
            </m:r>
          </m:sub>
          <m:sup>
            <m:r>
              <w:rPr>
                <w:rFonts w:ascii="Cambria Math" w:hAnsi="Cambria Math"/>
              </w:rPr>
              <m:t>n</m:t>
            </m:r>
          </m:sup>
        </m:sSubSup>
      </m:oMath>
      <w:r>
        <w:rPr>
          <w:rFonts w:cs="Arial"/>
          <w:szCs w:val="22"/>
        </w:rPr>
        <w:t xml:space="preserve"> are then distributed considering utility variations. Acquisition costs </w:t>
      </w:r>
      <m:oMath>
        <m:sSubSup>
          <m:sSubSupPr>
            <m:ctrlPr>
              <w:rPr>
                <w:rFonts w:ascii="Cambria Math" w:hAnsi="Cambria Math" w:cs="Arial"/>
                <w:szCs w:val="22"/>
              </w:rPr>
            </m:ctrlPr>
          </m:sSubSupPr>
          <m:e>
            <m:r>
              <w:rPr>
                <w:rFonts w:ascii="Cambria Math" w:hAnsi="Cambria Math" w:cs="Arial"/>
                <w:szCs w:val="22"/>
              </w:rPr>
              <m:t>c</m:t>
            </m:r>
          </m:e>
          <m:sub>
            <m:r>
              <w:rPr>
                <w:rFonts w:ascii="Cambria Math" w:hAnsi="Cambria Math" w:cs="Arial"/>
                <w:szCs w:val="22"/>
              </w:rPr>
              <m:t>j</m:t>
            </m:r>
          </m:sub>
          <m:sup>
            <m:r>
              <w:rPr>
                <w:rFonts w:ascii="Cambria Math" w:hAnsi="Cambria Math" w:cs="Arial"/>
                <w:szCs w:val="22"/>
              </w:rPr>
              <m:t>n</m:t>
            </m:r>
          </m:sup>
        </m:sSubSup>
      </m:oMath>
      <w:r w:rsidRPr="004F04BA">
        <w:rPr>
          <w:rFonts w:cs="Arial"/>
          <w:szCs w:val="22"/>
        </w:rPr>
        <w:t xml:space="preserve"> are calculated and utilized to update new prices</w:t>
      </w:r>
      <w:r>
        <w:rPr>
          <w:rFonts w:cs="Arial"/>
          <w:szCs w:val="22"/>
        </w:rPr>
        <w:t xml:space="preserve"> </w:t>
      </w:r>
      <m:oMath>
        <m:sSubSup>
          <m:sSubSupPr>
            <m:ctrlPr>
              <w:rPr>
                <w:rFonts w:ascii="Cambria Math" w:hAnsi="Cambria Math"/>
                <w:i/>
              </w:rPr>
            </m:ctrlPr>
          </m:sSubSupPr>
          <m:e>
            <m:r>
              <w:rPr>
                <w:rFonts w:ascii="Cambria Math" w:hAnsi="Cambria Math"/>
              </w:rPr>
              <m:t>b</m:t>
            </m:r>
          </m:e>
          <m:sub>
            <m:r>
              <w:rPr>
                <w:rFonts w:ascii="Cambria Math" w:hAnsi="Cambria Math"/>
              </w:rPr>
              <m:t>j</m:t>
            </m:r>
          </m:sub>
          <m:sup>
            <m:r>
              <w:rPr>
                <w:rFonts w:ascii="Cambria Math" w:hAnsi="Cambria Math"/>
              </w:rPr>
              <m:t>n</m:t>
            </m:r>
          </m:sup>
        </m:sSubSup>
      </m:oMath>
      <w:r w:rsidRPr="004F04BA">
        <w:rPr>
          <w:rFonts w:cs="Arial"/>
          <w:szCs w:val="22"/>
        </w:rPr>
        <w:t xml:space="preserve"> for the next iteration.</w:t>
      </w:r>
      <w:r>
        <w:rPr>
          <w:rFonts w:cs="Arial"/>
          <w:szCs w:val="22"/>
        </w:rPr>
        <w:t xml:space="preserve"> The </w:t>
      </w:r>
      <w:r w:rsidR="00C630B0">
        <w:rPr>
          <w:rFonts w:cs="Arial"/>
          <w:szCs w:val="22"/>
        </w:rPr>
        <w:t xml:space="preserve">convergence criteria considers that the difference between calculated flows from the last two iterations is extremely small. </w:t>
      </w:r>
    </w:p>
    <w:p w14:paraId="674902F3" w14:textId="77777777" w:rsidR="00C630B0" w:rsidRDefault="00C630B0" w:rsidP="00AB6A60">
      <w:pPr>
        <w:jc w:val="both"/>
        <w:outlineLvl w:val="0"/>
        <w:rPr>
          <w:rFonts w:cs="Arial"/>
          <w:szCs w:val="22"/>
        </w:rPr>
      </w:pPr>
    </w:p>
    <w:p w14:paraId="77030F0C" w14:textId="77777777" w:rsidR="00DD1298" w:rsidRDefault="00DD1298" w:rsidP="00AB6A60">
      <w:pPr>
        <w:jc w:val="both"/>
        <w:outlineLvl w:val="0"/>
        <w:rPr>
          <w:rFonts w:cs="Arial"/>
          <w:b/>
          <w:sz w:val="28"/>
          <w:szCs w:val="28"/>
        </w:rPr>
      </w:pPr>
      <w:r>
        <w:rPr>
          <w:rFonts w:cs="Arial"/>
          <w:b/>
          <w:sz w:val="28"/>
          <w:szCs w:val="28"/>
        </w:rPr>
        <w:t>METHODOLOGY</w:t>
      </w:r>
    </w:p>
    <w:p w14:paraId="4B653958" w14:textId="77777777" w:rsidR="00092759" w:rsidRDefault="00FF2870" w:rsidP="00AB6A60">
      <w:pPr>
        <w:jc w:val="both"/>
        <w:outlineLvl w:val="0"/>
        <w:rPr>
          <w:rFonts w:cs="Arial"/>
          <w:szCs w:val="22"/>
        </w:rPr>
      </w:pPr>
      <w:r>
        <w:rPr>
          <w:rFonts w:cs="Arial"/>
          <w:szCs w:val="22"/>
        </w:rPr>
        <w:t xml:space="preserve">The model studied in this paper requires a substantial amount of data, which is actually a major limitation that was tackled at the expense of several assumptions. </w:t>
      </w:r>
      <w:r w:rsidR="00092759">
        <w:rPr>
          <w:rFonts w:cs="Arial"/>
          <w:szCs w:val="22"/>
        </w:rPr>
        <w:t xml:space="preserve">In this section, we describe the generation of geographic and economic data. We also provide the details behind the estimation of coefficients for the origin/mode nested logit model. </w:t>
      </w:r>
    </w:p>
    <w:p w14:paraId="0555B3B9" w14:textId="77777777" w:rsidR="000C10BB" w:rsidRDefault="000C10BB" w:rsidP="00092759">
      <w:pPr>
        <w:jc w:val="both"/>
        <w:outlineLvl w:val="0"/>
        <w:rPr>
          <w:rFonts w:cs="Arial"/>
          <w:b/>
          <w:szCs w:val="22"/>
        </w:rPr>
      </w:pPr>
    </w:p>
    <w:p w14:paraId="43DC7003" w14:textId="77777777" w:rsidR="00092759" w:rsidRPr="00092759" w:rsidRDefault="00092759" w:rsidP="00092759">
      <w:pPr>
        <w:jc w:val="both"/>
        <w:outlineLvl w:val="0"/>
        <w:rPr>
          <w:rFonts w:cs="Arial"/>
          <w:b/>
          <w:szCs w:val="22"/>
        </w:rPr>
      </w:pPr>
      <w:r>
        <w:rPr>
          <w:rFonts w:cs="Arial"/>
          <w:b/>
          <w:szCs w:val="22"/>
        </w:rPr>
        <w:t>Geographic Data</w:t>
      </w:r>
    </w:p>
    <w:p w14:paraId="7AC1F894" w14:textId="77777777" w:rsidR="007E6C08" w:rsidRPr="007E6C08" w:rsidRDefault="007E6C08" w:rsidP="007E6C08">
      <w:pPr>
        <w:jc w:val="both"/>
        <w:outlineLvl w:val="0"/>
        <w:rPr>
          <w:rFonts w:cs="Arial"/>
          <w:szCs w:val="22"/>
        </w:rPr>
      </w:pPr>
      <w:r w:rsidRPr="007E6C08">
        <w:rPr>
          <w:rFonts w:cs="Arial"/>
          <w:szCs w:val="22"/>
        </w:rPr>
        <w:t xml:space="preserve">Origin – Destination cost matrices were created using the </w:t>
      </w:r>
      <w:r>
        <w:rPr>
          <w:rFonts w:cs="Arial"/>
          <w:szCs w:val="22"/>
        </w:rPr>
        <w:t xml:space="preserve">shortest route </w:t>
      </w:r>
      <w:r w:rsidRPr="007E6C08">
        <w:rPr>
          <w:rFonts w:cs="Arial"/>
          <w:szCs w:val="22"/>
        </w:rPr>
        <w:t xml:space="preserve">road distance between each node as the cost parameter. The nodes represented each one of the </w:t>
      </w:r>
      <w:r w:rsidR="002055E7">
        <w:rPr>
          <w:rFonts w:cs="Arial"/>
          <w:szCs w:val="22"/>
        </w:rPr>
        <w:t xml:space="preserve">fourteen </w:t>
      </w:r>
      <w:r w:rsidRPr="007E6C08">
        <w:rPr>
          <w:rFonts w:cs="Arial"/>
          <w:szCs w:val="22"/>
        </w:rPr>
        <w:t>regions considered on the present case study, and it</w:t>
      </w:r>
      <w:r>
        <w:rPr>
          <w:rFonts w:cs="Arial"/>
          <w:szCs w:val="22"/>
        </w:rPr>
        <w:t>s</w:t>
      </w:r>
      <w:r w:rsidRPr="007E6C08">
        <w:rPr>
          <w:rFonts w:cs="Arial"/>
          <w:szCs w:val="22"/>
        </w:rPr>
        <w:t xml:space="preserve"> location </w:t>
      </w:r>
      <w:r>
        <w:rPr>
          <w:rFonts w:cs="Arial"/>
          <w:szCs w:val="22"/>
        </w:rPr>
        <w:t>corresponds to the</w:t>
      </w:r>
      <w:r w:rsidRPr="007E6C08">
        <w:rPr>
          <w:rFonts w:cs="Arial"/>
          <w:szCs w:val="22"/>
        </w:rPr>
        <w:t xml:space="preserve"> region centroid.</w:t>
      </w:r>
      <w:r w:rsidR="000C000B">
        <w:rPr>
          <w:rFonts w:cs="Arial"/>
          <w:szCs w:val="22"/>
        </w:rPr>
        <w:t xml:space="preserve"> Intraregional distances were assumed to be equal to the r</w:t>
      </w:r>
      <w:r w:rsidR="003C594F">
        <w:rPr>
          <w:rFonts w:cs="Arial"/>
          <w:szCs w:val="22"/>
        </w:rPr>
        <w:t>adii of a circle with an area equivalent to the actual region.</w:t>
      </w:r>
      <w:r w:rsidR="00395B1E">
        <w:rPr>
          <w:rFonts w:cs="Arial"/>
          <w:szCs w:val="22"/>
        </w:rPr>
        <w:t xml:space="preserve"> </w:t>
      </w:r>
    </w:p>
    <w:p w14:paraId="7E6A4FA1" w14:textId="77777777" w:rsidR="007E6C08" w:rsidRDefault="007E6C08" w:rsidP="007E6C08">
      <w:pPr>
        <w:jc w:val="both"/>
        <w:outlineLvl w:val="0"/>
        <w:rPr>
          <w:rFonts w:cs="Arial"/>
          <w:szCs w:val="22"/>
        </w:rPr>
      </w:pPr>
      <w:r w:rsidRPr="007E6C08">
        <w:rPr>
          <w:rFonts w:cs="Arial"/>
          <w:szCs w:val="22"/>
        </w:rPr>
        <w:t>The geographic information datasets</w:t>
      </w:r>
      <w:r w:rsidR="002055E7">
        <w:rPr>
          <w:rFonts w:cs="Arial"/>
          <w:szCs w:val="22"/>
        </w:rPr>
        <w:t xml:space="preserve"> for </w:t>
      </w:r>
      <w:r w:rsidR="002055E7" w:rsidRPr="007E6C08">
        <w:rPr>
          <w:rFonts w:cs="Arial"/>
          <w:szCs w:val="22"/>
        </w:rPr>
        <w:t>highway and railway layers</w:t>
      </w:r>
      <w:r w:rsidRPr="007E6C08">
        <w:rPr>
          <w:rFonts w:cs="Arial"/>
          <w:szCs w:val="22"/>
        </w:rPr>
        <w:t xml:space="preserve"> were obtained from the koordinates1 web site</w:t>
      </w:r>
      <w:r w:rsidR="002E1ED6">
        <w:rPr>
          <w:rFonts w:cs="Arial"/>
          <w:szCs w:val="22"/>
        </w:rPr>
        <w:t xml:space="preserve"> </w:t>
      </w:r>
      <w:r w:rsidR="002E1ED6">
        <w:rPr>
          <w:rFonts w:cs="Arial"/>
          <w:szCs w:val="22"/>
        </w:rPr>
        <w:fldChar w:fldCharType="begin"/>
      </w:r>
      <w:r w:rsidR="00A114F8">
        <w:rPr>
          <w:rFonts w:cs="Arial"/>
          <w:szCs w:val="22"/>
        </w:rPr>
        <w:instrText xml:space="preserve"> ADDIN EN.CITE &lt;EndNote&gt;&lt;Cite&gt;&lt;Author&gt;koordinates&lt;/Author&gt;&lt;Year&gt;2015&lt;/Year&gt;&lt;RecNum&gt;12&lt;/RecNum&gt;&lt;DisplayText&gt;(koordinates, 2015b, koordinates, 2015a)&lt;/DisplayText&gt;&lt;record&gt;&lt;rec-number&gt;12&lt;/rec-number&gt;&lt;foreign-keys&gt;&lt;key app="EN" db-id="zesxtzdp6atewte95fc5dr2asp25rs2rstwt" timestamp="1512945675"&gt;12&lt;/key&gt;&lt;/foreign-keys&gt;&lt;ref-type name="Web Page"&gt;12&lt;/ref-type&gt;&lt;contributors&gt;&lt;authors&gt;&lt;author&gt;koordinates,&lt;/author&gt;&lt;/authors&gt;&lt;/contributors&gt;&lt;titles&gt;&lt;title&gt;NZ Road Centrelines (Topo 1:50K)&lt;/title&gt;&lt;/titles&gt;&lt;number&gt;1/11/2017&lt;/number&gt;&lt;dates&gt;&lt;year&gt;2015&lt;/year&gt;&lt;/dates&gt;&lt;urls&gt;&lt;related-urls&gt;&lt;url&gt;https://koordinates.com&lt;/url&gt;&lt;/related-urls&gt;&lt;/urls&gt;&lt;/record&gt;&lt;/Cite&gt;&lt;Cite&gt;&lt;Author&gt;koordinates&lt;/Author&gt;&lt;Year&gt;2015&lt;/Year&gt;&lt;RecNum&gt;13&lt;/RecNum&gt;&lt;record&gt;&lt;rec-number&gt;13&lt;/rec-number&gt;&lt;foreign-keys&gt;&lt;key app="EN" db-id="zesxtzdp6atewte95fc5dr2asp25rs2rstwt" timestamp="1512945675"&gt;13&lt;/key&gt;&lt;/foreign-keys&gt;&lt;ref-type name="Web Page"&gt;12&lt;/ref-type&gt;&lt;contributors&gt;&lt;authors&gt;&lt;author&gt;koordinates,&lt;/author&gt;&lt;/authors&gt;&lt;/contributors&gt;&lt;titles&gt;&lt;title&gt;NZ Railway Centrelines (Topo 1:50K)&lt;/title&gt;&lt;/titles&gt;&lt;number&gt;1/11/2017&lt;/number&gt;&lt;dates&gt;&lt;year&gt;2015&lt;/year&gt;&lt;/dates&gt;&lt;urls&gt;&lt;related-urls&gt;&lt;url&gt;https://koordinates.com&lt;/url&gt;&lt;/related-urls&gt;&lt;/urls&gt;&lt;/record&gt;&lt;/Cite&gt;&lt;/EndNote&gt;</w:instrText>
      </w:r>
      <w:r w:rsidR="002E1ED6">
        <w:rPr>
          <w:rFonts w:cs="Arial"/>
          <w:szCs w:val="22"/>
        </w:rPr>
        <w:fldChar w:fldCharType="separate"/>
      </w:r>
      <w:r w:rsidR="002E1ED6">
        <w:rPr>
          <w:rFonts w:cs="Arial"/>
          <w:noProof/>
          <w:szCs w:val="22"/>
        </w:rPr>
        <w:t>(koordinates, 2015b, koordinates, 2015a)</w:t>
      </w:r>
      <w:r w:rsidR="002E1ED6">
        <w:rPr>
          <w:rFonts w:cs="Arial"/>
          <w:szCs w:val="22"/>
        </w:rPr>
        <w:fldChar w:fldCharType="end"/>
      </w:r>
      <w:r w:rsidR="002055E7">
        <w:rPr>
          <w:rFonts w:cs="Arial"/>
          <w:szCs w:val="22"/>
        </w:rPr>
        <w:t>;</w:t>
      </w:r>
      <w:r w:rsidRPr="007E6C08">
        <w:rPr>
          <w:rFonts w:cs="Arial"/>
          <w:szCs w:val="22"/>
        </w:rPr>
        <w:t xml:space="preserve"> </w:t>
      </w:r>
      <w:r w:rsidR="002055E7">
        <w:rPr>
          <w:rFonts w:cs="Arial"/>
          <w:szCs w:val="22"/>
        </w:rPr>
        <w:t xml:space="preserve">the regions demarcation layer was obtained from the </w:t>
      </w:r>
      <w:r w:rsidRPr="007E6C08">
        <w:rPr>
          <w:rFonts w:cs="Arial"/>
          <w:szCs w:val="22"/>
        </w:rPr>
        <w:t xml:space="preserve"> Stats NZ</w:t>
      </w:r>
      <w:r w:rsidR="0006334A">
        <w:rPr>
          <w:rFonts w:cs="Arial"/>
          <w:szCs w:val="22"/>
        </w:rPr>
        <w:t xml:space="preserve"> website </w:t>
      </w:r>
      <w:r w:rsidR="002E1ED6">
        <w:rPr>
          <w:rFonts w:cs="Arial"/>
          <w:szCs w:val="22"/>
        </w:rPr>
        <w:fldChar w:fldCharType="begin"/>
      </w:r>
      <w:r w:rsidR="00A114F8">
        <w:rPr>
          <w:rFonts w:cs="Arial"/>
          <w:szCs w:val="22"/>
        </w:rPr>
        <w:instrText xml:space="preserve"> ADDIN EN.CITE &lt;EndNote&gt;&lt;Cite&gt;&lt;Author&gt;Stats&lt;/Author&gt;&lt;Year&gt;2013&lt;/Year&gt;&lt;RecNum&gt;23&lt;/RecNum&gt;&lt;DisplayText&gt;(Stats N. Z., 2013)&lt;/DisplayText&gt;&lt;record&gt;&lt;rec-number&gt;23&lt;/rec-number&gt;&lt;foreign-keys&gt;&lt;key app="EN" db-id="zesxtzdp6atewte95fc5dr2asp25rs2rstwt" timestamp="1512945675"&gt;23&lt;/key&gt;&lt;/foreign-keys&gt;&lt;ref-type name="Web Page"&gt;12&lt;/ref-type&gt;&lt;contributors&gt;&lt;authors&gt;&lt;author&gt;Stats N. Z.,&lt;/author&gt;&lt;/authors&gt;&lt;/contributors&gt;&lt;titles&gt;&lt;title&gt;Regional Council 2013&lt;/title&gt;&lt;/titles&gt;&lt;number&gt;10/11/2017&lt;/number&gt;&lt;dates&gt;&lt;year&gt;2013&lt;/year&gt;&lt;/dates&gt;&lt;urls&gt;&lt;related-urls&gt;&lt;url&gt;https://datafinder.stats.govt.nz&lt;/url&gt;&lt;/related-urls&gt;&lt;/urls&gt;&lt;/record&gt;&lt;/Cite&gt;&lt;/EndNote&gt;</w:instrText>
      </w:r>
      <w:r w:rsidR="002E1ED6">
        <w:rPr>
          <w:rFonts w:cs="Arial"/>
          <w:szCs w:val="22"/>
        </w:rPr>
        <w:fldChar w:fldCharType="separate"/>
      </w:r>
      <w:r w:rsidR="003C0462">
        <w:rPr>
          <w:rFonts w:cs="Arial"/>
          <w:noProof/>
          <w:szCs w:val="22"/>
        </w:rPr>
        <w:t>(Stats N. Z., 2013)</w:t>
      </w:r>
      <w:r w:rsidR="002E1ED6">
        <w:rPr>
          <w:rFonts w:cs="Arial"/>
          <w:szCs w:val="22"/>
        </w:rPr>
        <w:fldChar w:fldCharType="end"/>
      </w:r>
      <w:r w:rsidR="002E1ED6">
        <w:rPr>
          <w:rFonts w:cs="Arial"/>
          <w:szCs w:val="22"/>
        </w:rPr>
        <w:t xml:space="preserve"> </w:t>
      </w:r>
      <w:r w:rsidR="0006334A">
        <w:rPr>
          <w:rFonts w:cs="Arial"/>
          <w:szCs w:val="22"/>
        </w:rPr>
        <w:fldChar w:fldCharType="begin" w:fldLock="1"/>
      </w:r>
      <w:r w:rsidR="0006334A">
        <w:rPr>
          <w:rFonts w:cs="Arial"/>
          <w:szCs w:val="22"/>
        </w:rPr>
        <w:instrText>ADDIN CSL_CITATION { "citationItems" : [ { "id" : "ITEM-1", "itemData" : { "URL" : "https://datafinder.stats.govt.nz", "accessed" : { "date-parts" : [ [ "2017", "11", "8" ] ] }, "author" : [ { "dropping-particle" : "", "family" : "Stats NZ", "given" : "", "non-dropping-particle" : "", "parse-names" : false, "suffix" : "" } ], "id" : "ITEM-1", "issued" : { "date-parts" : [ [ "2013" ] ] }, "title" : "Regional Council 2013", "type" : "webpage" }, "uris" : [ "http://www.mendeley.com/documents/?uuid=2a59efa7-785f-4fa3-9524-c42575a8c886" ] } ], "mendeley" : { "formattedCitation" : "(Stats NZ, 2013)", "plainTextFormattedCitation" : "(Stats NZ, 2013)", "previouslyFormattedCitation" : "(Stats NZ, 2013)" }, "properties" : {  }, "schema" : "https://github.com/citation-style-language/schema/raw/master/csl-citation.json" }</w:instrText>
      </w:r>
      <w:r w:rsidR="0006334A">
        <w:rPr>
          <w:rFonts w:cs="Arial"/>
          <w:szCs w:val="22"/>
        </w:rPr>
        <w:fldChar w:fldCharType="separate"/>
      </w:r>
      <w:r w:rsidR="0006334A" w:rsidRPr="0006334A">
        <w:rPr>
          <w:rFonts w:cs="Arial"/>
          <w:noProof/>
          <w:szCs w:val="22"/>
        </w:rPr>
        <w:t>(Stats NZ, 2013)</w:t>
      </w:r>
      <w:r w:rsidR="0006334A">
        <w:rPr>
          <w:rFonts w:cs="Arial"/>
          <w:szCs w:val="22"/>
        </w:rPr>
        <w:fldChar w:fldCharType="end"/>
      </w:r>
      <w:r w:rsidRPr="007E6C08">
        <w:rPr>
          <w:rFonts w:cs="Arial"/>
          <w:szCs w:val="22"/>
        </w:rPr>
        <w:t>.</w:t>
      </w:r>
    </w:p>
    <w:p w14:paraId="4F7DDC15" w14:textId="77777777" w:rsidR="009F3ACF" w:rsidRPr="007E6C08" w:rsidRDefault="009F3ACF" w:rsidP="007E6C08">
      <w:pPr>
        <w:jc w:val="both"/>
        <w:outlineLvl w:val="0"/>
        <w:rPr>
          <w:rFonts w:cs="Arial"/>
          <w:szCs w:val="22"/>
        </w:rPr>
      </w:pPr>
    </w:p>
    <w:p w14:paraId="2A70F091" w14:textId="2DDCB027" w:rsidR="007E6C08" w:rsidRDefault="007E6C08" w:rsidP="007E6C08">
      <w:pPr>
        <w:jc w:val="both"/>
        <w:outlineLvl w:val="0"/>
        <w:rPr>
          <w:rFonts w:cs="Arial"/>
          <w:szCs w:val="22"/>
        </w:rPr>
      </w:pPr>
      <w:r w:rsidRPr="007E6C08">
        <w:rPr>
          <w:rFonts w:cs="Arial"/>
          <w:szCs w:val="22"/>
        </w:rPr>
        <w:t xml:space="preserve">The acquisition of the matrices was made with the “OD Cost Matrix” tool from the Network Analyst extension of the ArcMap Software. Networks for the aforementioned cases were created, with a prior process of topology inspection and correction for the arcs datasets. Furthermore, it’s </w:t>
      </w:r>
      <w:r w:rsidR="003C594F">
        <w:rPr>
          <w:rFonts w:cs="Arial"/>
          <w:szCs w:val="22"/>
        </w:rPr>
        <w:t>worth noting</w:t>
      </w:r>
      <w:r w:rsidRPr="007E6C08">
        <w:rPr>
          <w:rFonts w:cs="Arial"/>
          <w:szCs w:val="22"/>
        </w:rPr>
        <w:t xml:space="preserve"> that some arcs were incorporated to both networks to represent the maritime connection between the North and South Islands.</w:t>
      </w:r>
      <w:r w:rsidR="0006334A">
        <w:rPr>
          <w:rFonts w:cs="Arial"/>
          <w:szCs w:val="22"/>
        </w:rPr>
        <w:t xml:space="preserve"> </w:t>
      </w:r>
      <w:r w:rsidR="00326D14">
        <w:rPr>
          <w:rFonts w:cs="Arial"/>
          <w:szCs w:val="22"/>
        </w:rPr>
        <w:fldChar w:fldCharType="begin"/>
      </w:r>
      <w:r w:rsidR="00326D14">
        <w:rPr>
          <w:rFonts w:cs="Arial"/>
          <w:szCs w:val="22"/>
        </w:rPr>
        <w:instrText xml:space="preserve"> REF _Ref500510398 \h </w:instrText>
      </w:r>
      <w:r w:rsidR="00326D14">
        <w:rPr>
          <w:rFonts w:cs="Arial"/>
          <w:szCs w:val="22"/>
        </w:rPr>
      </w:r>
      <w:r w:rsidR="00326D14">
        <w:rPr>
          <w:rFonts w:cs="Arial"/>
          <w:szCs w:val="22"/>
        </w:rPr>
        <w:fldChar w:fldCharType="separate"/>
      </w:r>
      <w:r w:rsidR="007008EC">
        <w:t xml:space="preserve">Figure </w:t>
      </w:r>
      <w:r w:rsidR="007008EC">
        <w:rPr>
          <w:noProof/>
        </w:rPr>
        <w:t>1</w:t>
      </w:r>
      <w:r w:rsidR="00326D14">
        <w:rPr>
          <w:rFonts w:cs="Arial"/>
          <w:szCs w:val="22"/>
        </w:rPr>
        <w:fldChar w:fldCharType="end"/>
      </w:r>
      <w:r w:rsidR="00326D14">
        <w:rPr>
          <w:rFonts w:cs="Arial"/>
          <w:szCs w:val="22"/>
        </w:rPr>
        <w:t xml:space="preserve"> shows t</w:t>
      </w:r>
      <w:r w:rsidR="0006334A">
        <w:rPr>
          <w:rFonts w:cs="Arial"/>
          <w:szCs w:val="22"/>
        </w:rPr>
        <w:t>he representation for</w:t>
      </w:r>
      <w:r w:rsidR="00326D14">
        <w:rPr>
          <w:rFonts w:cs="Arial"/>
          <w:szCs w:val="22"/>
        </w:rPr>
        <w:t xml:space="preserve"> regional boundaries and transportation </w:t>
      </w:r>
      <w:r w:rsidR="0006334A">
        <w:rPr>
          <w:rFonts w:cs="Arial"/>
          <w:szCs w:val="22"/>
        </w:rPr>
        <w:t>networks.</w:t>
      </w:r>
    </w:p>
    <w:p w14:paraId="49C9A379" w14:textId="77777777" w:rsidR="0006334A" w:rsidRDefault="0006334A" w:rsidP="007E6C08">
      <w:pPr>
        <w:jc w:val="both"/>
        <w:outlineLvl w:val="0"/>
        <w:rPr>
          <w:rFonts w:cs="Arial"/>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2"/>
        <w:gridCol w:w="4857"/>
      </w:tblGrid>
      <w:tr w:rsidR="0006334A" w14:paraId="37097157" w14:textId="77777777" w:rsidTr="000C10BB">
        <w:tc>
          <w:tcPr>
            <w:tcW w:w="4814" w:type="dxa"/>
          </w:tcPr>
          <w:p w14:paraId="579126A8" w14:textId="77777777" w:rsidR="0006334A" w:rsidRDefault="0006334A" w:rsidP="00DD1298">
            <w:pPr>
              <w:jc w:val="center"/>
              <w:outlineLvl w:val="0"/>
              <w:rPr>
                <w:rFonts w:cs="Arial"/>
                <w:szCs w:val="22"/>
              </w:rPr>
            </w:pPr>
            <w:r>
              <w:rPr>
                <w:noProof/>
                <w:lang w:eastAsia="en-NZ"/>
              </w:rPr>
              <w:lastRenderedPageBreak/>
              <w:drawing>
                <wp:inline distT="0" distB="0" distL="0" distR="0" wp14:anchorId="52B52293" wp14:editId="09FC3B8B">
                  <wp:extent cx="2942375" cy="3459480"/>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965941" cy="3487188"/>
                          </a:xfrm>
                          <a:prstGeom prst="rect">
                            <a:avLst/>
                          </a:prstGeom>
                        </pic:spPr>
                      </pic:pic>
                    </a:graphicData>
                  </a:graphic>
                </wp:inline>
              </w:drawing>
            </w:r>
          </w:p>
          <w:p w14:paraId="7684E2BB" w14:textId="77777777" w:rsidR="0006334A" w:rsidRPr="00395B1E" w:rsidRDefault="0006334A" w:rsidP="00DD1298">
            <w:pPr>
              <w:jc w:val="center"/>
              <w:outlineLvl w:val="0"/>
              <w:rPr>
                <w:rFonts w:cs="Arial"/>
                <w:i/>
                <w:sz w:val="16"/>
                <w:szCs w:val="16"/>
              </w:rPr>
            </w:pPr>
            <w:r w:rsidRPr="00395B1E">
              <w:rPr>
                <w:rFonts w:cs="Arial"/>
                <w:i/>
                <w:sz w:val="16"/>
                <w:szCs w:val="16"/>
              </w:rPr>
              <w:t>New Zealand Road Network</w:t>
            </w:r>
          </w:p>
        </w:tc>
        <w:tc>
          <w:tcPr>
            <w:tcW w:w="4815" w:type="dxa"/>
          </w:tcPr>
          <w:p w14:paraId="62FB08C2" w14:textId="77777777" w:rsidR="0006334A" w:rsidRDefault="0006334A" w:rsidP="00DD1298">
            <w:pPr>
              <w:jc w:val="center"/>
              <w:outlineLvl w:val="0"/>
              <w:rPr>
                <w:rFonts w:cs="Arial"/>
                <w:szCs w:val="22"/>
              </w:rPr>
            </w:pPr>
            <w:r>
              <w:rPr>
                <w:noProof/>
                <w:lang w:eastAsia="en-NZ"/>
              </w:rPr>
              <w:drawing>
                <wp:inline distT="0" distB="0" distL="0" distR="0" wp14:anchorId="2C850AAE" wp14:editId="06F77E1F">
                  <wp:extent cx="2986114" cy="3459480"/>
                  <wp:effectExtent l="0" t="0" r="508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009921" cy="3487061"/>
                          </a:xfrm>
                          <a:prstGeom prst="rect">
                            <a:avLst/>
                          </a:prstGeom>
                        </pic:spPr>
                      </pic:pic>
                    </a:graphicData>
                  </a:graphic>
                </wp:inline>
              </w:drawing>
            </w:r>
          </w:p>
          <w:p w14:paraId="538BD8CF" w14:textId="77777777" w:rsidR="0006334A" w:rsidRDefault="0006334A" w:rsidP="00DD1298">
            <w:pPr>
              <w:jc w:val="center"/>
              <w:outlineLvl w:val="0"/>
              <w:rPr>
                <w:rFonts w:cs="Arial"/>
                <w:szCs w:val="22"/>
              </w:rPr>
            </w:pPr>
            <w:r w:rsidRPr="00395B1E">
              <w:rPr>
                <w:rFonts w:cs="Arial"/>
                <w:i/>
                <w:sz w:val="16"/>
                <w:szCs w:val="16"/>
              </w:rPr>
              <w:t>New Zealand Railway Network</w:t>
            </w:r>
          </w:p>
        </w:tc>
      </w:tr>
    </w:tbl>
    <w:p w14:paraId="004DDEEA" w14:textId="77777777" w:rsidR="00395B1E" w:rsidRDefault="00395B1E" w:rsidP="00395B1E">
      <w:pPr>
        <w:pStyle w:val="Caption"/>
      </w:pPr>
    </w:p>
    <w:p w14:paraId="466D7559" w14:textId="77777777" w:rsidR="00C630B0" w:rsidRDefault="00395B1E" w:rsidP="00395B1E">
      <w:pPr>
        <w:pStyle w:val="Caption"/>
        <w:rPr>
          <w:rFonts w:cs="Arial"/>
          <w:sz w:val="22"/>
          <w:szCs w:val="22"/>
        </w:rPr>
      </w:pPr>
      <w:bookmarkStart w:id="1" w:name="_Ref500510398"/>
      <w:r>
        <w:t xml:space="preserve">Figure </w:t>
      </w:r>
      <w:r w:rsidR="00722C0F">
        <w:fldChar w:fldCharType="begin"/>
      </w:r>
      <w:r w:rsidR="00722C0F">
        <w:instrText xml:space="preserve"> SEQ Figure \* ARABIC </w:instrText>
      </w:r>
      <w:r w:rsidR="00722C0F">
        <w:fldChar w:fldCharType="separate"/>
      </w:r>
      <w:r w:rsidR="007008EC">
        <w:rPr>
          <w:noProof/>
        </w:rPr>
        <w:t>1</w:t>
      </w:r>
      <w:r w:rsidR="00722C0F">
        <w:rPr>
          <w:noProof/>
        </w:rPr>
        <w:fldChar w:fldCharType="end"/>
      </w:r>
      <w:bookmarkEnd w:id="1"/>
      <w:r>
        <w:t xml:space="preserve"> Representation of New Zealand Regions along with Road and Railway Networks</w:t>
      </w:r>
    </w:p>
    <w:p w14:paraId="703BB5F7" w14:textId="77777777" w:rsidR="00F11C9C" w:rsidRDefault="00406247" w:rsidP="00AB6A60">
      <w:pPr>
        <w:jc w:val="both"/>
        <w:outlineLvl w:val="0"/>
        <w:rPr>
          <w:rFonts w:cs="Arial"/>
          <w:b/>
          <w:szCs w:val="22"/>
        </w:rPr>
      </w:pPr>
      <w:r>
        <w:rPr>
          <w:rFonts w:cs="Arial"/>
          <w:b/>
          <w:szCs w:val="22"/>
        </w:rPr>
        <w:t>Technical Coefficients</w:t>
      </w:r>
    </w:p>
    <w:p w14:paraId="3DC0BCC4" w14:textId="77777777" w:rsidR="009F3ACF" w:rsidRDefault="00A114F8" w:rsidP="00AB6A60">
      <w:pPr>
        <w:jc w:val="both"/>
        <w:outlineLvl w:val="0"/>
        <w:rPr>
          <w:rFonts w:cs="Arial"/>
          <w:szCs w:val="22"/>
        </w:rPr>
      </w:pPr>
      <w:r>
        <w:rPr>
          <w:rFonts w:cs="Arial"/>
          <w:szCs w:val="22"/>
        </w:rPr>
        <w:fldChar w:fldCharType="begin"/>
      </w:r>
      <w:r>
        <w:rPr>
          <w:rFonts w:cs="Arial"/>
          <w:szCs w:val="22"/>
        </w:rPr>
        <w:instrText xml:space="preserve"> ADDIN EN.CITE &lt;EndNote&gt;&lt;Cite AuthorYear="1"&gt;&lt;Author&gt;Lang&lt;/Author&gt;&lt;Year&gt;2016&lt;/Year&gt;&lt;RecNum&gt;15&lt;/RecNum&gt;&lt;DisplayText&gt;Lang (2016)&lt;/DisplayText&gt;&lt;record&gt;&lt;rec-number&gt;15&lt;/rec-number&gt;&lt;foreign-keys&gt;&lt;key app="EN" db-id="zesxtzdp6atewte95fc5dr2asp25rs2rstwt" timestamp="1512945675"&gt;15&lt;/key&gt;&lt;/foreign-keys&gt;&lt;ref-type name="Thesis"&gt;32&lt;/ref-type&gt;&lt;contributors&gt;&lt;authors&gt;&lt;author&gt;Lang, Aline Eloyse&lt;/author&gt;&lt;/authors&gt;&lt;/contributors&gt;&lt;titles&gt;&lt;title&gt;Assessment of Fuel Constraint Impacts on Freight Transport in New Zealand&lt;/title&gt;&lt;/titles&gt;&lt;dates&gt;&lt;year&gt;2016&lt;/year&gt;&lt;/dates&gt;&lt;urls&gt;&lt;/urls&gt;&lt;/record&gt;&lt;/Cite&gt;&lt;/EndNote&gt;</w:instrText>
      </w:r>
      <w:r>
        <w:rPr>
          <w:rFonts w:cs="Arial"/>
          <w:szCs w:val="22"/>
        </w:rPr>
        <w:fldChar w:fldCharType="separate"/>
      </w:r>
      <w:r>
        <w:rPr>
          <w:rFonts w:cs="Arial"/>
          <w:noProof/>
          <w:szCs w:val="22"/>
        </w:rPr>
        <w:t>Lang (2016)</w:t>
      </w:r>
      <w:r>
        <w:rPr>
          <w:rFonts w:cs="Arial"/>
          <w:szCs w:val="22"/>
        </w:rPr>
        <w:fldChar w:fldCharType="end"/>
      </w:r>
      <w:r>
        <w:rPr>
          <w:rFonts w:cs="Arial"/>
          <w:szCs w:val="22"/>
        </w:rPr>
        <w:t xml:space="preserve"> </w:t>
      </w:r>
      <w:r w:rsidR="00554FC9">
        <w:rPr>
          <w:rFonts w:cs="Arial"/>
          <w:szCs w:val="22"/>
        </w:rPr>
        <w:t xml:space="preserve">proposed a methodology to assess </w:t>
      </w:r>
      <w:r w:rsidR="00554FC9" w:rsidRPr="00554FC9">
        <w:rPr>
          <w:rFonts w:cs="Arial"/>
          <w:szCs w:val="22"/>
        </w:rPr>
        <w:t>fuels shortages through explicit modifications of the coefficients of input output models and through a monetary constraint analysis that was based on fuel price fluctuations</w:t>
      </w:r>
      <w:r w:rsidR="00554FC9">
        <w:rPr>
          <w:rFonts w:cs="Arial"/>
          <w:szCs w:val="22"/>
        </w:rPr>
        <w:t xml:space="preserve">; the methodology contemplated the application of the RAS technique to update the national input output table for New Zealand. Once the updated table was obtained, it was further used to </w:t>
      </w:r>
      <w:r w:rsidR="00DF5C0E">
        <w:rPr>
          <w:rFonts w:cs="Arial"/>
          <w:szCs w:val="22"/>
        </w:rPr>
        <w:t>generate regional input output tables through a non-survey method known as Location Quotients (LQ). A LQ refers to the proportion of a region’s output that is contributed by a specific sector; the practicality of the method resides on the possibility to employ economic activity indicators such as employment, instead of total output</w:t>
      </w:r>
      <w:r>
        <w:rPr>
          <w:rFonts w:cs="Arial"/>
          <w:szCs w:val="22"/>
        </w:rPr>
        <w:t xml:space="preserve"> </w:t>
      </w:r>
      <w:r>
        <w:rPr>
          <w:rFonts w:cs="Arial"/>
          <w:szCs w:val="22"/>
        </w:rPr>
        <w:fldChar w:fldCharType="begin"/>
      </w:r>
      <w:r>
        <w:rPr>
          <w:rFonts w:cs="Arial"/>
          <w:szCs w:val="22"/>
        </w:rPr>
        <w:instrText xml:space="preserve"> ADDIN EN.CITE &lt;EndNote&gt;&lt;Cite&gt;&lt;Author&gt;Miller&lt;/Author&gt;&lt;Year&gt;2009&lt;/Year&gt;&lt;RecNum&gt;19&lt;/RecNum&gt;&lt;DisplayText&gt;(Miller and Blair, 2009)&lt;/DisplayText&gt;&lt;record&gt;&lt;rec-number&gt;19&lt;/rec-number&gt;&lt;foreign-keys&gt;&lt;key app="EN" db-id="zesxtzdp6atewte95fc5dr2asp25rs2rstwt" timestamp="1512945675"&gt;19&lt;/key&gt;&lt;/foreign-keys&gt;&lt;ref-type name="Book"&gt;6&lt;/ref-type&gt;&lt;contributors&gt;&lt;authors&gt;&lt;author&gt;Miller, Ronald E.&lt;/author&gt;&lt;author&gt;Blair, Peter D.&lt;/author&gt;&lt;/authors&gt;&lt;/contributors&gt;&lt;titles&gt;&lt;title&gt;Input - Output Analysis: Foundations and Extensions&lt;/title&gt;&lt;/titles&gt;&lt;pages&gt;784-784&lt;/pages&gt;&lt;dates&gt;&lt;year&gt;2009&lt;/year&gt;&lt;/dates&gt;&lt;isbn&gt;9780521517133&lt;/isbn&gt;&lt;urls&gt;&lt;/urls&gt;&lt;electronic-resource-num&gt;10.1017/CBO9780511626982&lt;/electronic-resource-num&gt;&lt;/record&gt;&lt;/Cite&gt;&lt;/EndNote&gt;</w:instrText>
      </w:r>
      <w:r>
        <w:rPr>
          <w:rFonts w:cs="Arial"/>
          <w:szCs w:val="22"/>
        </w:rPr>
        <w:fldChar w:fldCharType="separate"/>
      </w:r>
      <w:r>
        <w:rPr>
          <w:rFonts w:cs="Arial"/>
          <w:noProof/>
          <w:szCs w:val="22"/>
        </w:rPr>
        <w:t>(Miller and Blair, 2009)</w:t>
      </w:r>
      <w:r>
        <w:rPr>
          <w:rFonts w:cs="Arial"/>
          <w:szCs w:val="22"/>
        </w:rPr>
        <w:fldChar w:fldCharType="end"/>
      </w:r>
      <w:r w:rsidR="00DF5C0E">
        <w:rPr>
          <w:rFonts w:cs="Arial"/>
          <w:szCs w:val="22"/>
        </w:rPr>
        <w:t>.</w:t>
      </w:r>
      <w:r w:rsidR="00554FC9">
        <w:rPr>
          <w:rFonts w:cs="Arial"/>
          <w:szCs w:val="22"/>
        </w:rPr>
        <w:t xml:space="preserve"> </w:t>
      </w:r>
    </w:p>
    <w:p w14:paraId="261684BF" w14:textId="77777777" w:rsidR="009F3ACF" w:rsidRDefault="009F3ACF" w:rsidP="00AB6A60">
      <w:pPr>
        <w:jc w:val="both"/>
        <w:outlineLvl w:val="0"/>
        <w:rPr>
          <w:rFonts w:cs="Arial"/>
          <w:szCs w:val="22"/>
        </w:rPr>
      </w:pPr>
    </w:p>
    <w:p w14:paraId="48EF492F" w14:textId="77777777" w:rsidR="00326D14" w:rsidRDefault="00DF5C0E" w:rsidP="00AB6A60">
      <w:pPr>
        <w:jc w:val="both"/>
        <w:outlineLvl w:val="0"/>
        <w:rPr>
          <w:rFonts w:cs="Arial"/>
          <w:szCs w:val="22"/>
        </w:rPr>
      </w:pPr>
      <w:r>
        <w:rPr>
          <w:rFonts w:cs="Arial"/>
          <w:szCs w:val="22"/>
        </w:rPr>
        <w:t>Sixteen regional tables generated from Lang’s work were inputs to the model described in this paper</w:t>
      </w:r>
      <w:r w:rsidR="007E6774">
        <w:rPr>
          <w:rFonts w:cs="Arial"/>
          <w:szCs w:val="22"/>
        </w:rPr>
        <w:t xml:space="preserve">; the </w:t>
      </w:r>
      <w:r w:rsidR="00CA7FF0">
        <w:rPr>
          <w:rFonts w:cs="Arial"/>
          <w:szCs w:val="22"/>
        </w:rPr>
        <w:t>total New Zealand economy</w:t>
      </w:r>
      <w:r w:rsidR="007E6774">
        <w:rPr>
          <w:rFonts w:cs="Arial"/>
          <w:szCs w:val="22"/>
        </w:rPr>
        <w:t xml:space="preserve"> was aggregated into </w:t>
      </w:r>
      <w:r w:rsidR="00182E7A">
        <w:rPr>
          <w:rFonts w:cs="Arial"/>
          <w:szCs w:val="22"/>
        </w:rPr>
        <w:t>fifty one</w:t>
      </w:r>
      <w:r w:rsidR="007E6774">
        <w:rPr>
          <w:rFonts w:cs="Arial"/>
          <w:szCs w:val="22"/>
        </w:rPr>
        <w:t xml:space="preserve"> sectors</w:t>
      </w:r>
      <w:r>
        <w:rPr>
          <w:rFonts w:cs="Arial"/>
          <w:szCs w:val="22"/>
        </w:rPr>
        <w:t>.</w:t>
      </w:r>
      <w:r w:rsidR="007E6774">
        <w:rPr>
          <w:rFonts w:cs="Arial"/>
          <w:szCs w:val="22"/>
        </w:rPr>
        <w:t xml:space="preserve"> In this paper, we carried out </w:t>
      </w:r>
      <w:r w:rsidR="00DC6E4C">
        <w:rPr>
          <w:rFonts w:cs="Arial"/>
          <w:szCs w:val="22"/>
        </w:rPr>
        <w:t>a further</w:t>
      </w:r>
      <w:r w:rsidR="007E6774">
        <w:rPr>
          <w:rFonts w:cs="Arial"/>
          <w:szCs w:val="22"/>
        </w:rPr>
        <w:t xml:space="preserve"> aggregation procedure</w:t>
      </w:r>
      <w:r w:rsidR="00DC6E4C">
        <w:rPr>
          <w:rFonts w:cs="Arial"/>
          <w:szCs w:val="22"/>
        </w:rPr>
        <w:t>. Th</w:t>
      </w:r>
      <w:r w:rsidR="00326D14">
        <w:rPr>
          <w:rFonts w:cs="Arial"/>
          <w:szCs w:val="22"/>
        </w:rPr>
        <w:t>is</w:t>
      </w:r>
      <w:r w:rsidR="00DC6E4C">
        <w:rPr>
          <w:rFonts w:cs="Arial"/>
          <w:szCs w:val="22"/>
        </w:rPr>
        <w:t xml:space="preserve"> step was required given that the other source of information for this model is based on the National Freight Demand Study for New Zealand, which only considers </w:t>
      </w:r>
      <w:r w:rsidR="00182E7A">
        <w:rPr>
          <w:rFonts w:cs="Arial"/>
          <w:szCs w:val="22"/>
        </w:rPr>
        <w:t xml:space="preserve">twenty </w:t>
      </w:r>
      <w:r w:rsidR="00474C2D">
        <w:rPr>
          <w:rFonts w:cs="Arial"/>
          <w:szCs w:val="22"/>
        </w:rPr>
        <w:t>nine sectors that are further aggregated into twenty three</w:t>
      </w:r>
      <w:r w:rsidR="00326D14">
        <w:rPr>
          <w:rFonts w:cs="Arial"/>
          <w:szCs w:val="22"/>
        </w:rPr>
        <w:t>. The final demand from every sector in every region was also obtained from these tables, it was estimated to be the sum of public and private consumption and total exports.</w:t>
      </w:r>
    </w:p>
    <w:p w14:paraId="1ED779F3" w14:textId="77777777" w:rsidR="00326D14" w:rsidRDefault="00326D14" w:rsidP="00AB6A60">
      <w:pPr>
        <w:jc w:val="both"/>
        <w:outlineLvl w:val="0"/>
        <w:rPr>
          <w:rFonts w:cs="Arial"/>
          <w:szCs w:val="22"/>
        </w:rPr>
      </w:pPr>
    </w:p>
    <w:p w14:paraId="4B6E2C01" w14:textId="77777777" w:rsidR="00182E7A" w:rsidRDefault="00182E7A" w:rsidP="00182E7A">
      <w:pPr>
        <w:jc w:val="both"/>
        <w:outlineLvl w:val="0"/>
        <w:rPr>
          <w:rFonts w:cs="Arial"/>
          <w:b/>
          <w:szCs w:val="22"/>
        </w:rPr>
      </w:pPr>
      <w:r>
        <w:rPr>
          <w:rFonts w:cs="Arial"/>
          <w:b/>
          <w:szCs w:val="22"/>
        </w:rPr>
        <w:t>Parameter estimation for Nested Logit Model</w:t>
      </w:r>
    </w:p>
    <w:p w14:paraId="5C9AFC33" w14:textId="2EC70C87" w:rsidR="009F3ACF" w:rsidRDefault="00182E7A" w:rsidP="00182E7A">
      <w:pPr>
        <w:jc w:val="both"/>
        <w:outlineLvl w:val="0"/>
        <w:rPr>
          <w:rFonts w:cs="Arial"/>
          <w:szCs w:val="22"/>
        </w:rPr>
      </w:pPr>
      <w:r>
        <w:rPr>
          <w:rFonts w:cs="Arial"/>
          <w:szCs w:val="22"/>
        </w:rPr>
        <w:t xml:space="preserve">The RUBMRIO formulation </w:t>
      </w:r>
      <w:r w:rsidR="00B92208">
        <w:rPr>
          <w:rFonts w:cs="Arial"/>
          <w:szCs w:val="22"/>
        </w:rPr>
        <w:t>addressed</w:t>
      </w:r>
      <w:r>
        <w:rPr>
          <w:rFonts w:cs="Arial"/>
          <w:szCs w:val="22"/>
        </w:rPr>
        <w:t xml:space="preserve"> in this paper considers</w:t>
      </w:r>
      <w:r w:rsidR="00BB1213">
        <w:rPr>
          <w:rFonts w:cs="Arial"/>
          <w:szCs w:val="22"/>
        </w:rPr>
        <w:t xml:space="preserve"> modelling freight flows, where the choices or decisions made are defined by both the origin of the flow and the mode used to reach a particular destination. Buyer’s decisions or choices follow a random cost minimization, so they will tend to obtain inputs from the regions that offer the cheapest prices. As it can be seen from Equation (10), prices depend on transportation costs, which in this case are based on distance. Dispersion parameters </w:t>
      </w:r>
      <w:r w:rsidR="006865F7">
        <w:rPr>
          <w:rFonts w:cs="Arial"/>
          <w:szCs w:val="22"/>
        </w:rPr>
        <w:t>(</w:t>
      </w:r>
      <m:oMath>
        <m:sSub>
          <m:sSubPr>
            <m:ctrlPr>
              <w:rPr>
                <w:rFonts w:ascii="Cambria Math" w:hAnsi="Cambria Math" w:cs="Arial"/>
                <w:szCs w:val="22"/>
              </w:rPr>
            </m:ctrlPr>
          </m:sSubPr>
          <m:e>
            <m:r>
              <w:rPr>
                <w:rFonts w:ascii="Cambria Math" w:hAnsi="Cambria Math" w:cs="Arial"/>
                <w:szCs w:val="22"/>
              </w:rPr>
              <m:t>λ</m:t>
            </m:r>
          </m:e>
          <m:sub>
            <m:r>
              <w:rPr>
                <w:rFonts w:ascii="Cambria Math" w:hAnsi="Cambria Math" w:cs="Arial"/>
                <w:szCs w:val="22"/>
              </w:rPr>
              <m:t>n</m:t>
            </m:r>
          </m:sub>
        </m:sSub>
      </m:oMath>
      <w:r w:rsidR="006D13A1">
        <w:rPr>
          <w:rFonts w:cs="Arial"/>
          <w:szCs w:val="22"/>
        </w:rPr>
        <w:t>’s</w:t>
      </w:r>
      <w:r w:rsidR="006865F7">
        <w:rPr>
          <w:rFonts w:cs="Arial"/>
          <w:szCs w:val="22"/>
        </w:rPr>
        <w:t>)</w:t>
      </w:r>
      <w:r w:rsidR="00BB1213">
        <w:rPr>
          <w:rFonts w:cs="Arial"/>
          <w:szCs w:val="22"/>
        </w:rPr>
        <w:t xml:space="preserve"> reflect how some commodities are more sensible to distance than others</w:t>
      </w:r>
      <w:r w:rsidR="006865F7">
        <w:rPr>
          <w:rFonts w:cs="Arial"/>
          <w:szCs w:val="22"/>
        </w:rPr>
        <w:t>. Mode choice parameters (</w:t>
      </w:r>
      <m:oMath>
        <m:r>
          <w:rPr>
            <w:rFonts w:ascii="Cambria Math" w:hAnsi="Cambria Math"/>
          </w:rPr>
          <m:t>β</m:t>
        </m:r>
      </m:oMath>
      <w:r w:rsidR="006D13A1">
        <w:rPr>
          <w:rFonts w:cs="Arial"/>
        </w:rPr>
        <w:t>’s</w:t>
      </w:r>
      <w:r w:rsidR="006865F7">
        <w:rPr>
          <w:rFonts w:cs="Arial"/>
        </w:rPr>
        <w:t xml:space="preserve">) </w:t>
      </w:r>
      <w:r w:rsidR="006865F7">
        <w:rPr>
          <w:rFonts w:cs="Arial"/>
          <w:szCs w:val="22"/>
        </w:rPr>
        <w:t>are associated to the lower level of the nest and they are specific to transportation modes (rail and road) and to commodities as well. Coastal shipping was not considered in our model since</w:t>
      </w:r>
      <w:r w:rsidR="006D13A1">
        <w:rPr>
          <w:rFonts w:cs="Arial"/>
          <w:szCs w:val="22"/>
        </w:rPr>
        <w:t xml:space="preserve"> it has </w:t>
      </w:r>
      <w:r w:rsidR="00063AA6">
        <w:rPr>
          <w:rFonts w:cs="Arial"/>
          <w:szCs w:val="22"/>
        </w:rPr>
        <w:t xml:space="preserve">a </w:t>
      </w:r>
      <w:r w:rsidR="006D13A1">
        <w:rPr>
          <w:rFonts w:cs="Arial"/>
          <w:szCs w:val="22"/>
        </w:rPr>
        <w:t xml:space="preserve">very small </w:t>
      </w:r>
      <w:r w:rsidR="006865F7">
        <w:rPr>
          <w:rFonts w:cs="Arial"/>
          <w:szCs w:val="22"/>
        </w:rPr>
        <w:t>share</w:t>
      </w:r>
      <w:r w:rsidR="006D13A1">
        <w:rPr>
          <w:rFonts w:cs="Arial"/>
          <w:szCs w:val="22"/>
        </w:rPr>
        <w:t xml:space="preserve"> nationwide,</w:t>
      </w:r>
      <w:r w:rsidR="006865F7">
        <w:rPr>
          <w:rFonts w:cs="Arial"/>
          <w:szCs w:val="22"/>
        </w:rPr>
        <w:t xml:space="preserve"> approximately 2% </w:t>
      </w:r>
      <w:r w:rsidR="002E1ED6">
        <w:rPr>
          <w:rFonts w:cs="Arial"/>
          <w:szCs w:val="22"/>
        </w:rPr>
        <w:fldChar w:fldCharType="begin"/>
      </w:r>
      <w:r w:rsidR="003C0462">
        <w:rPr>
          <w:rFonts w:cs="Arial"/>
          <w:szCs w:val="22"/>
        </w:rPr>
        <w:instrText xml:space="preserve"> ADDIN EN.CITE &lt;EndNote&gt;&lt;Cite&gt;&lt;Author&gt;Deloitte&lt;/Author&gt;&lt;Year&gt;2014&lt;/Year&gt;&lt;RecNum&gt;7&lt;/RecNum&gt;&lt;DisplayText&gt;(Deloitte et al., 2014)&lt;/DisplayText&gt;&lt;record&gt;&lt;rec-number&gt;7&lt;/rec-number&gt;&lt;foreign-keys&gt;&lt;key app="EN" db-id="zesxtzdp6atewte95fc5dr2asp25rs2rstwt" timestamp="1512945675"&gt;7&lt;/key&gt;&lt;/foreign-keys&gt;&lt;ref-type name="Report"&gt;27&lt;/ref-type&gt;&lt;contributors&gt;&lt;authors&gt;&lt;author&gt;Deloitte,&lt;/author&gt;&lt;author&gt;Richard Paling Consulting,&lt;/author&gt;&lt;author&gt;Murray King,&lt;/author&gt;&lt;author&gt;Francis Small Consulting,&lt;/author&gt;&lt;author&gt;Cooper Associates,&lt;/author&gt;&lt;/authors&gt;&lt;/contributors&gt;&lt;titles&gt;&lt;title&gt;National Freight Demand Study&lt;/title&gt;&lt;/titles&gt;&lt;dates&gt;&lt;year&gt;2014&lt;/year&gt;&lt;/dates&gt;&lt;publisher&gt;Ministry of Transport&lt;/publisher&gt;&lt;isbn&gt;9780478072600&lt;/isbn&gt;&lt;urls&gt;&lt;related-urls&gt;&lt;url&gt;www.transport.govt.nz/research/nationalfreightdemandstudy/&lt;/url&gt;&lt;/related-urls&gt;&lt;/urls&gt;&lt;/record&gt;&lt;/Cite&gt;&lt;/EndNote&gt;</w:instrText>
      </w:r>
      <w:r w:rsidR="002E1ED6">
        <w:rPr>
          <w:rFonts w:cs="Arial"/>
          <w:szCs w:val="22"/>
        </w:rPr>
        <w:fldChar w:fldCharType="separate"/>
      </w:r>
      <w:r w:rsidR="002E1ED6">
        <w:rPr>
          <w:rFonts w:cs="Arial"/>
          <w:noProof/>
          <w:szCs w:val="22"/>
        </w:rPr>
        <w:t>(Deloitte et al., 2014)</w:t>
      </w:r>
      <w:r w:rsidR="002E1ED6">
        <w:rPr>
          <w:rFonts w:cs="Arial"/>
          <w:szCs w:val="22"/>
        </w:rPr>
        <w:fldChar w:fldCharType="end"/>
      </w:r>
      <w:r w:rsidR="006D13A1">
        <w:rPr>
          <w:rFonts w:cs="Arial"/>
          <w:szCs w:val="22"/>
        </w:rPr>
        <w:t>.</w:t>
      </w:r>
      <w:r w:rsidR="00063AA6">
        <w:rPr>
          <w:rFonts w:cs="Arial"/>
          <w:szCs w:val="22"/>
        </w:rPr>
        <w:t xml:space="preserve"> </w:t>
      </w:r>
    </w:p>
    <w:p w14:paraId="40CA2890" w14:textId="77777777" w:rsidR="009F3ACF" w:rsidRDefault="009F3ACF" w:rsidP="00182E7A">
      <w:pPr>
        <w:jc w:val="both"/>
        <w:outlineLvl w:val="0"/>
        <w:rPr>
          <w:rFonts w:cs="Arial"/>
          <w:szCs w:val="22"/>
        </w:rPr>
      </w:pPr>
    </w:p>
    <w:p w14:paraId="6B1239D1" w14:textId="77777777" w:rsidR="00B97A54" w:rsidRDefault="00B97A54" w:rsidP="00182E7A">
      <w:pPr>
        <w:jc w:val="both"/>
        <w:outlineLvl w:val="0"/>
        <w:rPr>
          <w:rFonts w:cs="Arial"/>
          <w:szCs w:val="22"/>
        </w:rPr>
      </w:pPr>
    </w:p>
    <w:p w14:paraId="2682F5B4" w14:textId="7F60F604" w:rsidR="0000051C" w:rsidRDefault="00063AA6" w:rsidP="00182E7A">
      <w:pPr>
        <w:jc w:val="both"/>
        <w:outlineLvl w:val="0"/>
        <w:rPr>
          <w:rFonts w:cs="Arial"/>
          <w:szCs w:val="22"/>
        </w:rPr>
      </w:pPr>
      <w:r>
        <w:rPr>
          <w:rFonts w:cs="Arial"/>
          <w:szCs w:val="22"/>
        </w:rPr>
        <w:lastRenderedPageBreak/>
        <w:t>The nested logit model is appropriate in this particular model, since it is based on the assumption that some choices share common attributes in their random terms, so that, the random term of nested choices can be decomposed into a portion specific to each alternative and a portion associated to a specific set of alternatives</w:t>
      </w:r>
      <w:r w:rsidR="003C0462">
        <w:rPr>
          <w:rFonts w:cs="Arial"/>
          <w:szCs w:val="22"/>
        </w:rPr>
        <w:t xml:space="preserve"> </w:t>
      </w:r>
      <w:r w:rsidR="003C0462">
        <w:rPr>
          <w:rFonts w:cs="Arial"/>
          <w:szCs w:val="22"/>
        </w:rPr>
        <w:fldChar w:fldCharType="begin"/>
      </w:r>
      <w:r w:rsidR="003C0462">
        <w:rPr>
          <w:rFonts w:cs="Arial"/>
          <w:szCs w:val="22"/>
        </w:rPr>
        <w:instrText xml:space="preserve"> ADDIN EN.CITE &lt;EndNote&gt;&lt;Cite&gt;&lt;Author&gt;Koppelman&lt;/Author&gt;&lt;Year&gt;2006&lt;/Year&gt;&lt;RecNum&gt;14&lt;/RecNum&gt;&lt;DisplayText&gt;(Koppelman and Bhat, 2006)&lt;/DisplayText&gt;&lt;record&gt;&lt;rec-number&gt;14&lt;/rec-number&gt;&lt;foreign-keys&gt;&lt;key app="EN" db-id="zesxtzdp6atewte95fc5dr2asp25rs2rstwt" timestamp="1512945675"&gt;14&lt;/key&gt;&lt;/foreign-keys&gt;&lt;ref-type name="Journal Article"&gt;17&lt;/ref-type&gt;&lt;contributors&gt;&lt;authors&gt;&lt;author&gt;Koppelman, Frank S.&lt;/author&gt;&lt;author&gt;Bhat, Chandra&lt;/author&gt;&lt;/authors&gt;&lt;/contributors&gt;&lt;titles&gt;&lt;title&gt;A self instructing course in mode choice modeling: multinomial and nested logit models&lt;/title&gt;&lt;secondary-title&gt;US Department of Transportation, Federal Transit Administration&lt;/secondary-title&gt;&lt;/titles&gt;&lt;periodical&gt;&lt;full-title&gt;US Department of Transportation, Federal Transit Administration&lt;/full-title&gt;&lt;/periodical&gt;&lt;pages&gt;31-31&lt;/pages&gt;&lt;dates&gt;&lt;year&gt;2006&lt;/year&gt;&lt;/dates&gt;&lt;isbn&gt;0969-6997&lt;/isbn&gt;&lt;urls&gt;&lt;/urls&gt;&lt;electronic-resource-num&gt;10.1002/stem.294&lt;/electronic-resource-num&gt;&lt;/record&gt;&lt;/Cite&gt;&lt;/EndNote&gt;</w:instrText>
      </w:r>
      <w:r w:rsidR="003C0462">
        <w:rPr>
          <w:rFonts w:cs="Arial"/>
          <w:szCs w:val="22"/>
        </w:rPr>
        <w:fldChar w:fldCharType="separate"/>
      </w:r>
      <w:r w:rsidR="003C0462">
        <w:rPr>
          <w:rFonts w:cs="Arial"/>
          <w:noProof/>
          <w:szCs w:val="22"/>
        </w:rPr>
        <w:t>(Koppelman and Bhat, 2006)</w:t>
      </w:r>
      <w:r w:rsidR="003C0462">
        <w:rPr>
          <w:rFonts w:cs="Arial"/>
          <w:szCs w:val="22"/>
        </w:rPr>
        <w:fldChar w:fldCharType="end"/>
      </w:r>
      <w:r>
        <w:rPr>
          <w:rFonts w:cs="Arial"/>
          <w:szCs w:val="22"/>
        </w:rPr>
        <w:t xml:space="preserve">. The datasets used to estimate origin </w:t>
      </w:r>
      <w:r w:rsidR="00474C2D">
        <w:rPr>
          <w:rFonts w:cs="Arial"/>
          <w:szCs w:val="22"/>
        </w:rPr>
        <w:t xml:space="preserve">and </w:t>
      </w:r>
      <w:r>
        <w:rPr>
          <w:rFonts w:cs="Arial"/>
          <w:szCs w:val="22"/>
        </w:rPr>
        <w:t xml:space="preserve">mode choices for freight flows were derived from the </w:t>
      </w:r>
      <w:r w:rsidR="00474C2D">
        <w:rPr>
          <w:rFonts w:cs="Arial"/>
          <w:szCs w:val="22"/>
        </w:rPr>
        <w:t xml:space="preserve">2014 </w:t>
      </w:r>
      <w:r>
        <w:rPr>
          <w:rFonts w:cs="Arial"/>
          <w:szCs w:val="22"/>
        </w:rPr>
        <w:t>National Freight Demand</w:t>
      </w:r>
      <w:r w:rsidR="00474C2D">
        <w:rPr>
          <w:rFonts w:cs="Arial"/>
          <w:szCs w:val="22"/>
        </w:rPr>
        <w:t xml:space="preserve"> (NFD)</w:t>
      </w:r>
      <w:r>
        <w:rPr>
          <w:rFonts w:cs="Arial"/>
          <w:szCs w:val="22"/>
        </w:rPr>
        <w:t xml:space="preserve"> Study </w:t>
      </w:r>
      <w:r w:rsidR="00474C2D">
        <w:rPr>
          <w:rFonts w:cs="Arial"/>
          <w:szCs w:val="22"/>
        </w:rPr>
        <w:t>that was published by the Ministry of Transport. The NFD study provides trade flows b</w:t>
      </w:r>
      <w:r w:rsidR="00184A92">
        <w:rPr>
          <w:rFonts w:cs="Arial"/>
          <w:szCs w:val="22"/>
        </w:rPr>
        <w:t>etween regions for each typ</w:t>
      </w:r>
      <w:r w:rsidR="00B92208">
        <w:rPr>
          <w:rFonts w:cs="Arial"/>
          <w:szCs w:val="22"/>
        </w:rPr>
        <w:t xml:space="preserve">e of </w:t>
      </w:r>
      <w:r w:rsidR="00474C2D">
        <w:rPr>
          <w:rFonts w:cs="Arial"/>
          <w:szCs w:val="22"/>
        </w:rPr>
        <w:t>commodity. The study also contemplates fourteen regions for New Zealand; the Tasman, Nelson and Marlborough regions are aggregated into one (TMN)</w:t>
      </w:r>
      <w:r w:rsidR="0000051C">
        <w:rPr>
          <w:rFonts w:cs="Arial"/>
          <w:szCs w:val="22"/>
        </w:rPr>
        <w:t xml:space="preserve"> </w:t>
      </w:r>
      <w:r w:rsidR="0000051C">
        <w:rPr>
          <w:rFonts w:cs="Arial"/>
          <w:szCs w:val="22"/>
        </w:rPr>
        <w:fldChar w:fldCharType="begin" w:fldLock="1"/>
      </w:r>
      <w:r w:rsidR="0000051C">
        <w:rPr>
          <w:rFonts w:cs="Arial"/>
          <w:szCs w:val="22"/>
        </w:rPr>
        <w:instrText>ADDIN CSL_CITATION { "citationItems" : [ { "id" : "ITEM-1", "itemData" : { "ISBN" : "9780478072600", "author" : [ { "dropping-particle" : "", "family" : "Deloitte", "given" : "", "non-dropping-particle" : "", "parse-names" : false, "suffix" : "" }, { "dropping-particle" : "", "family" : "Richard Paling Consulting", "given" : "", "non-dropping-particle" : "", "parse-names" : false, "suffix" : "" }, { "dropping-particle" : "", "family" : "Murray King &amp; Francis Small Consulting", "given" : "", "non-dropping-particle" : "", "parse-names" : false, "suffix" : "" }, { "dropping-particle" : "", "family" : "Cooper Associates", "given" : "", "non-dropping-particle" : "", "parse-names" : false, "suffix" : "" } ], "id" : "ITEM-1", "issued" : { "date-parts" : [ [ "2014" ] ] }, "publisher" : "Ministry of Transport", "title" : "National Freight Demand Study", "type" : "report" }, "uris" : [ "http://www.mendeley.com/documents/?uuid=94a0addf-4a4c-45fe-b591-d09a37a6e79e" ] } ], "mendeley" : { "formattedCitation" : "(Deloitte &lt;i&gt;et al.&lt;/i&gt;, 2014)", "plainTextFormattedCitation" : "(Deloitte et al., 2014)", "previouslyFormattedCitation" : "(Deloitte &lt;i&gt;et al.&lt;/i&gt;, 2014)" }, "properties" : {  }, "schema" : "https://github.com/citation-style-language/schema/raw/master/csl-citation.json" }</w:instrText>
      </w:r>
      <w:r w:rsidR="0000051C">
        <w:rPr>
          <w:rFonts w:cs="Arial"/>
          <w:szCs w:val="22"/>
        </w:rPr>
        <w:fldChar w:fldCharType="separate"/>
      </w:r>
      <w:r w:rsidR="0000051C" w:rsidRPr="0000051C">
        <w:rPr>
          <w:rFonts w:cs="Arial"/>
          <w:noProof/>
          <w:szCs w:val="22"/>
        </w:rPr>
        <w:t xml:space="preserve">(Deloitte </w:t>
      </w:r>
      <w:r w:rsidR="0000051C" w:rsidRPr="0000051C">
        <w:rPr>
          <w:rFonts w:cs="Arial"/>
          <w:i/>
          <w:noProof/>
          <w:szCs w:val="22"/>
        </w:rPr>
        <w:t>et al.</w:t>
      </w:r>
      <w:r w:rsidR="0000051C" w:rsidRPr="0000051C">
        <w:rPr>
          <w:rFonts w:cs="Arial"/>
          <w:noProof/>
          <w:szCs w:val="22"/>
        </w:rPr>
        <w:t>, 2014)</w:t>
      </w:r>
      <w:r w:rsidR="0000051C">
        <w:rPr>
          <w:rFonts w:cs="Arial"/>
          <w:szCs w:val="22"/>
        </w:rPr>
        <w:fldChar w:fldCharType="end"/>
      </w:r>
      <w:r w:rsidR="00474C2D">
        <w:rPr>
          <w:rFonts w:cs="Arial"/>
          <w:szCs w:val="22"/>
        </w:rPr>
        <w:t>.</w:t>
      </w:r>
      <w:r w:rsidR="0000051C">
        <w:rPr>
          <w:rFonts w:cs="Arial"/>
          <w:szCs w:val="22"/>
        </w:rPr>
        <w:t xml:space="preserve"> </w:t>
      </w:r>
    </w:p>
    <w:p w14:paraId="0918C89F" w14:textId="77777777" w:rsidR="0000051C" w:rsidRDefault="0000051C" w:rsidP="00182E7A">
      <w:pPr>
        <w:jc w:val="both"/>
        <w:outlineLvl w:val="0"/>
        <w:rPr>
          <w:rFonts w:cs="Arial"/>
          <w:szCs w:val="22"/>
        </w:rPr>
      </w:pPr>
      <w:r>
        <w:rPr>
          <w:rFonts w:cs="Arial"/>
          <w:szCs w:val="22"/>
        </w:rPr>
        <w:t xml:space="preserve">In the lower level of the nested model, mode choices were estimated for each sector. The explanatory variables are the network distances associated to each mode. Unfortunately, the NFD study only provides mode choice observations for total freight movements, so mode choice parameters that were estimated upon these observations were assumed to apply for all commodity types. The conditional probability of choosing </w:t>
      </w:r>
      <w:proofErr w:type="gramStart"/>
      <w:r>
        <w:rPr>
          <w:rFonts w:cs="Arial"/>
          <w:szCs w:val="22"/>
        </w:rPr>
        <w:t xml:space="preserve">mode </w:t>
      </w:r>
      <w:proofErr w:type="gramEnd"/>
      <m:oMath>
        <m:r>
          <w:rPr>
            <w:rFonts w:ascii="Cambria Math" w:hAnsi="Cambria Math" w:cs="Arial"/>
            <w:szCs w:val="22"/>
          </w:rPr>
          <m:t>n</m:t>
        </m:r>
      </m:oMath>
      <w:r>
        <w:rPr>
          <w:rFonts w:cs="Arial"/>
          <w:szCs w:val="22"/>
        </w:rPr>
        <w:t xml:space="preserve">, for a given </w:t>
      </w:r>
      <m:oMath>
        <m:r>
          <w:rPr>
            <w:rFonts w:ascii="Cambria Math" w:hAnsi="Cambria Math" w:cs="Arial"/>
            <w:szCs w:val="22"/>
          </w:rPr>
          <m:t>ij</m:t>
        </m:r>
      </m:oMath>
      <w:r>
        <w:rPr>
          <w:rFonts w:cs="Arial"/>
          <w:szCs w:val="22"/>
        </w:rPr>
        <w:t xml:space="preserve"> pair is</w:t>
      </w:r>
      <w:r w:rsidR="000577C4">
        <w:rPr>
          <w:rFonts w:cs="Arial"/>
          <w:szCs w:val="22"/>
        </w:rPr>
        <w:t xml:space="preserve"> </w:t>
      </w:r>
      <w:proofErr w:type="spellStart"/>
      <w:r w:rsidR="000577C4">
        <w:rPr>
          <w:rFonts w:cs="Arial"/>
          <w:szCs w:val="22"/>
        </w:rPr>
        <w:t>given</w:t>
      </w:r>
      <w:proofErr w:type="spellEnd"/>
      <w:r w:rsidR="000577C4">
        <w:rPr>
          <w:rFonts w:cs="Arial"/>
          <w:szCs w:val="22"/>
        </w:rPr>
        <w:t xml:space="preserve"> by</w:t>
      </w:r>
      <w:r>
        <w:rPr>
          <w:rFonts w:cs="Arial"/>
          <w:szCs w:val="22"/>
        </w:rPr>
        <w:t>:</w:t>
      </w:r>
    </w:p>
    <w:p w14:paraId="16D52127" w14:textId="77777777" w:rsidR="000577C4" w:rsidRDefault="000577C4" w:rsidP="00182E7A">
      <w:pPr>
        <w:jc w:val="both"/>
        <w:outlineLvl w:val="0"/>
        <w:rPr>
          <w:rFonts w:cs="Arial"/>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0"/>
        <w:gridCol w:w="709"/>
      </w:tblGrid>
      <w:tr w:rsidR="000577C4" w14:paraId="347AE9AC" w14:textId="77777777" w:rsidTr="009F5B23">
        <w:trPr>
          <w:jc w:val="center"/>
        </w:trPr>
        <w:tc>
          <w:tcPr>
            <w:tcW w:w="3750" w:type="dxa"/>
            <w:vAlign w:val="center"/>
          </w:tcPr>
          <w:p w14:paraId="0965A126" w14:textId="77777777" w:rsidR="000577C4" w:rsidRPr="003F1826" w:rsidRDefault="00722C0F" w:rsidP="000577C4">
            <w:pPr>
              <w:jc w:val="center"/>
              <w:outlineLvl w:val="0"/>
            </w:pPr>
            <m:oMathPara>
              <m:oMath>
                <m:sSubSup>
                  <m:sSubSupPr>
                    <m:ctrlPr>
                      <w:rPr>
                        <w:rFonts w:ascii="Cambria Math" w:hAnsi="Cambria Math" w:cs="Arial"/>
                        <w:i/>
                        <w:szCs w:val="22"/>
                      </w:rPr>
                    </m:ctrlPr>
                  </m:sSubSupPr>
                  <m:e>
                    <m:r>
                      <w:rPr>
                        <w:rFonts w:ascii="Cambria Math" w:hAnsi="Cambria Math" w:cs="Arial"/>
                        <w:szCs w:val="22"/>
                      </w:rPr>
                      <m:t>P</m:t>
                    </m:r>
                  </m:e>
                  <m:sub>
                    <m:d>
                      <m:dPr>
                        <m:begChr m:val=""/>
                        <m:endChr m:val="|"/>
                        <m:ctrlPr>
                          <w:rPr>
                            <w:rFonts w:ascii="Cambria Math" w:hAnsi="Cambria Math" w:cs="Arial"/>
                            <w:i/>
                            <w:szCs w:val="22"/>
                          </w:rPr>
                        </m:ctrlPr>
                      </m:dPr>
                      <m:e>
                        <m:r>
                          <w:rPr>
                            <w:rFonts w:ascii="Cambria Math" w:hAnsi="Cambria Math" w:cs="Arial"/>
                            <w:szCs w:val="22"/>
                          </w:rPr>
                          <m:t>t</m:t>
                        </m:r>
                      </m:e>
                    </m:d>
                    <m:r>
                      <w:rPr>
                        <w:rFonts w:ascii="Cambria Math" w:hAnsi="Cambria Math" w:cs="Arial"/>
                        <w:szCs w:val="22"/>
                      </w:rPr>
                      <m:t>ij</m:t>
                    </m:r>
                  </m:sub>
                  <m:sup>
                    <m:r>
                      <w:rPr>
                        <w:rFonts w:ascii="Cambria Math" w:hAnsi="Cambria Math" w:cs="Arial"/>
                        <w:szCs w:val="22"/>
                      </w:rPr>
                      <m:t>m</m:t>
                    </m:r>
                  </m:sup>
                </m:sSubSup>
                <m:r>
                  <w:rPr>
                    <w:rFonts w:ascii="Cambria Math" w:hAnsi="Cambria Math" w:cs="Arial"/>
                    <w:szCs w:val="22"/>
                  </w:rPr>
                  <m:t>=</m:t>
                </m:r>
                <m:f>
                  <m:fPr>
                    <m:ctrlPr>
                      <w:rPr>
                        <w:rFonts w:ascii="Cambria Math" w:hAnsi="Cambria Math" w:cs="Arial"/>
                        <w:i/>
                        <w:szCs w:val="22"/>
                      </w:rPr>
                    </m:ctrlPr>
                  </m:fPr>
                  <m:num>
                    <m:r>
                      <w:rPr>
                        <w:rFonts w:ascii="Cambria Math" w:hAnsi="Cambria Math" w:cs="Arial"/>
                        <w:szCs w:val="22"/>
                      </w:rPr>
                      <m:t>exp</m:t>
                    </m:r>
                    <m:d>
                      <m:dPr>
                        <m:ctrlPr>
                          <w:rPr>
                            <w:rFonts w:ascii="Cambria Math" w:hAnsi="Cambria Math" w:cs="Arial"/>
                            <w:i/>
                            <w:szCs w:val="22"/>
                          </w:rPr>
                        </m:ctrlPr>
                      </m:dPr>
                      <m:e>
                        <m:sSubSup>
                          <m:sSubSupPr>
                            <m:ctrlPr>
                              <w:rPr>
                                <w:rFonts w:ascii="Cambria Math" w:hAnsi="Cambria Math" w:cs="Arial"/>
                                <w:i/>
                                <w:szCs w:val="22"/>
                              </w:rPr>
                            </m:ctrlPr>
                          </m:sSubSupPr>
                          <m:e>
                            <m:r>
                              <w:rPr>
                                <w:rFonts w:ascii="Cambria Math" w:hAnsi="Cambria Math" w:cs="Arial"/>
                                <w:szCs w:val="22"/>
                              </w:rPr>
                              <m:t>V</m:t>
                            </m:r>
                          </m:e>
                          <m:sub>
                            <m:r>
                              <w:rPr>
                                <w:rFonts w:ascii="Cambria Math" w:hAnsi="Cambria Math" w:cs="Arial"/>
                                <w:szCs w:val="22"/>
                              </w:rPr>
                              <m:t>ij,t</m:t>
                            </m:r>
                          </m:sub>
                          <m:sup>
                            <m:r>
                              <w:rPr>
                                <w:rFonts w:ascii="Cambria Math" w:hAnsi="Cambria Math" w:cs="Arial"/>
                                <w:szCs w:val="22"/>
                              </w:rPr>
                              <m:t>m</m:t>
                            </m:r>
                          </m:sup>
                        </m:sSubSup>
                      </m:e>
                    </m:d>
                  </m:num>
                  <m:den>
                    <m:nary>
                      <m:naryPr>
                        <m:chr m:val="∑"/>
                        <m:limLoc m:val="undOvr"/>
                        <m:supHide m:val="1"/>
                        <m:ctrlPr>
                          <w:rPr>
                            <w:rFonts w:ascii="Cambria Math" w:hAnsi="Cambria Math" w:cs="Arial"/>
                            <w:i/>
                            <w:szCs w:val="22"/>
                          </w:rPr>
                        </m:ctrlPr>
                      </m:naryPr>
                      <m:sub>
                        <m:r>
                          <w:rPr>
                            <w:rFonts w:ascii="Cambria Math" w:hAnsi="Cambria Math" w:cs="Arial"/>
                            <w:szCs w:val="22"/>
                          </w:rPr>
                          <m:t>s</m:t>
                        </m:r>
                      </m:sub>
                      <m:sup/>
                      <m:e>
                        <m:r>
                          <m:rPr>
                            <m:sty m:val="p"/>
                          </m:rPr>
                          <w:rPr>
                            <w:rFonts w:ascii="Cambria Math" w:hAnsi="Cambria Math" w:cs="Arial"/>
                            <w:szCs w:val="22"/>
                          </w:rPr>
                          <m:t>exp⁡</m:t>
                        </m:r>
                        <m:d>
                          <m:dPr>
                            <m:ctrlPr>
                              <w:rPr>
                                <w:rFonts w:ascii="Cambria Math" w:hAnsi="Cambria Math" w:cs="Arial"/>
                                <w:i/>
                                <w:szCs w:val="22"/>
                              </w:rPr>
                            </m:ctrlPr>
                          </m:dPr>
                          <m:e>
                            <m:sSubSup>
                              <m:sSubSupPr>
                                <m:ctrlPr>
                                  <w:rPr>
                                    <w:rFonts w:ascii="Cambria Math" w:hAnsi="Cambria Math" w:cs="Arial"/>
                                    <w:i/>
                                    <w:szCs w:val="22"/>
                                  </w:rPr>
                                </m:ctrlPr>
                              </m:sSubSupPr>
                              <m:e>
                                <m:r>
                                  <w:rPr>
                                    <w:rFonts w:ascii="Cambria Math" w:hAnsi="Cambria Math" w:cs="Arial"/>
                                    <w:szCs w:val="22"/>
                                  </w:rPr>
                                  <m:t>V</m:t>
                                </m:r>
                              </m:e>
                              <m:sub>
                                <m:r>
                                  <w:rPr>
                                    <w:rFonts w:ascii="Cambria Math" w:hAnsi="Cambria Math" w:cs="Arial"/>
                                    <w:szCs w:val="22"/>
                                  </w:rPr>
                                  <m:t>ij,s</m:t>
                                </m:r>
                              </m:sub>
                              <m:sup>
                                <m:r>
                                  <w:rPr>
                                    <w:rFonts w:ascii="Cambria Math" w:hAnsi="Cambria Math" w:cs="Arial"/>
                                    <w:szCs w:val="22"/>
                                  </w:rPr>
                                  <m:t>m</m:t>
                                </m:r>
                              </m:sup>
                            </m:sSubSup>
                          </m:e>
                        </m:d>
                      </m:e>
                    </m:nary>
                  </m:den>
                </m:f>
              </m:oMath>
            </m:oMathPara>
          </w:p>
        </w:tc>
        <w:tc>
          <w:tcPr>
            <w:tcW w:w="709" w:type="dxa"/>
            <w:vAlign w:val="center"/>
          </w:tcPr>
          <w:p w14:paraId="1AE3E954" w14:textId="77777777" w:rsidR="000577C4" w:rsidRDefault="000577C4" w:rsidP="000577C4">
            <w:pPr>
              <w:pStyle w:val="BodyText1"/>
              <w:ind w:left="0"/>
              <w:jc w:val="center"/>
            </w:pPr>
            <w:r>
              <w:t>(12)</w:t>
            </w:r>
          </w:p>
        </w:tc>
      </w:tr>
    </w:tbl>
    <w:p w14:paraId="6A634120" w14:textId="77777777" w:rsidR="000577C4" w:rsidRDefault="000577C4" w:rsidP="00182E7A">
      <w:pPr>
        <w:jc w:val="both"/>
        <w:outlineLvl w:val="0"/>
        <w:rPr>
          <w:rFonts w:cs="Arial"/>
          <w:szCs w:val="22"/>
        </w:rPr>
      </w:pPr>
    </w:p>
    <w:p w14:paraId="7CC65A10" w14:textId="77777777" w:rsidR="000577C4" w:rsidRDefault="000577C4" w:rsidP="00182E7A">
      <w:pPr>
        <w:jc w:val="both"/>
        <w:outlineLvl w:val="0"/>
        <w:rPr>
          <w:rFonts w:cs="Arial"/>
          <w:szCs w:val="22"/>
        </w:rPr>
      </w:pPr>
      <w:r>
        <w:rPr>
          <w:rFonts w:cs="Arial"/>
          <w:szCs w:val="22"/>
        </w:rPr>
        <w:t xml:space="preserve">Where the systematic utility </w:t>
      </w:r>
      <m:oMath>
        <m:sSubSup>
          <m:sSubSupPr>
            <m:ctrlPr>
              <w:rPr>
                <w:rFonts w:ascii="Cambria Math" w:hAnsi="Cambria Math" w:cs="Arial"/>
                <w:i/>
                <w:szCs w:val="22"/>
              </w:rPr>
            </m:ctrlPr>
          </m:sSubSupPr>
          <m:e>
            <m:r>
              <w:rPr>
                <w:rFonts w:ascii="Cambria Math" w:hAnsi="Cambria Math" w:cs="Arial"/>
                <w:szCs w:val="22"/>
              </w:rPr>
              <m:t>V</m:t>
            </m:r>
          </m:e>
          <m:sub>
            <m:r>
              <w:rPr>
                <w:rFonts w:ascii="Cambria Math" w:hAnsi="Cambria Math" w:cs="Arial"/>
                <w:szCs w:val="22"/>
              </w:rPr>
              <m:t>ij,t</m:t>
            </m:r>
          </m:sub>
          <m:sup>
            <m:r>
              <w:rPr>
                <w:rFonts w:ascii="Cambria Math" w:hAnsi="Cambria Math" w:cs="Arial"/>
                <w:szCs w:val="22"/>
              </w:rPr>
              <m:t>m</m:t>
            </m:r>
          </m:sup>
        </m:sSubSup>
      </m:oMath>
      <w:r>
        <w:rPr>
          <w:rFonts w:cs="Arial"/>
          <w:szCs w:val="22"/>
        </w:rPr>
        <w:t xml:space="preserve"> is:</w:t>
      </w:r>
    </w:p>
    <w:p w14:paraId="607A182A" w14:textId="77777777" w:rsidR="000577C4" w:rsidRDefault="000577C4" w:rsidP="00182E7A">
      <w:pPr>
        <w:jc w:val="both"/>
        <w:outlineLvl w:val="0"/>
        <w:rPr>
          <w:rFonts w:cs="Arial"/>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0"/>
        <w:gridCol w:w="709"/>
      </w:tblGrid>
      <w:tr w:rsidR="000577C4" w14:paraId="0B7DDDFA" w14:textId="77777777" w:rsidTr="009F5B23">
        <w:trPr>
          <w:jc w:val="center"/>
        </w:trPr>
        <w:tc>
          <w:tcPr>
            <w:tcW w:w="3750" w:type="dxa"/>
            <w:vAlign w:val="center"/>
          </w:tcPr>
          <w:p w14:paraId="46FDE2F1" w14:textId="77777777" w:rsidR="000577C4" w:rsidRPr="003F1826" w:rsidRDefault="00722C0F" w:rsidP="000577C4">
            <w:pPr>
              <w:jc w:val="center"/>
              <w:outlineLvl w:val="0"/>
            </w:pPr>
            <m:oMathPara>
              <m:oMath>
                <m:sSubSup>
                  <m:sSubSupPr>
                    <m:ctrlPr>
                      <w:rPr>
                        <w:rFonts w:ascii="Cambria Math" w:hAnsi="Cambria Math" w:cs="Arial"/>
                        <w:i/>
                        <w:szCs w:val="22"/>
                      </w:rPr>
                    </m:ctrlPr>
                  </m:sSubSupPr>
                  <m:e>
                    <m:r>
                      <w:rPr>
                        <w:rFonts w:ascii="Cambria Math" w:hAnsi="Cambria Math" w:cs="Arial"/>
                        <w:szCs w:val="22"/>
                      </w:rPr>
                      <m:t>V</m:t>
                    </m:r>
                  </m:e>
                  <m:sub>
                    <m:r>
                      <w:rPr>
                        <w:rFonts w:ascii="Cambria Math" w:hAnsi="Cambria Math" w:cs="Arial"/>
                        <w:szCs w:val="22"/>
                      </w:rPr>
                      <m:t>ij,t</m:t>
                    </m:r>
                  </m:sub>
                  <m:sup>
                    <m:r>
                      <w:rPr>
                        <w:rFonts w:ascii="Cambria Math" w:hAnsi="Cambria Math" w:cs="Arial"/>
                        <w:szCs w:val="22"/>
                      </w:rPr>
                      <m:t>m</m:t>
                    </m:r>
                  </m:sup>
                </m:sSubSup>
                <m:r>
                  <w:rPr>
                    <w:rFonts w:ascii="Cambria Math" w:hAnsi="Cambria Math" w:cs="Arial"/>
                    <w:szCs w:val="22"/>
                  </w:rPr>
                  <m:t>=</m:t>
                </m:r>
                <m:sSub>
                  <m:sSubPr>
                    <m:ctrlPr>
                      <w:rPr>
                        <w:rFonts w:ascii="Cambria Math" w:hAnsi="Cambria Math" w:cs="Arial"/>
                        <w:i/>
                        <w:szCs w:val="22"/>
                      </w:rPr>
                    </m:ctrlPr>
                  </m:sSubPr>
                  <m:e>
                    <m:r>
                      <w:rPr>
                        <w:rFonts w:ascii="Cambria Math" w:hAnsi="Cambria Math" w:cs="Arial"/>
                        <w:szCs w:val="22"/>
                      </w:rPr>
                      <m:t>β</m:t>
                    </m:r>
                  </m:e>
                  <m:sub>
                    <m:r>
                      <w:rPr>
                        <w:rFonts w:ascii="Cambria Math" w:hAnsi="Cambria Math" w:cs="Arial"/>
                        <w:szCs w:val="22"/>
                      </w:rPr>
                      <m:t>0,t</m:t>
                    </m:r>
                  </m:sub>
                </m:sSub>
                <m:r>
                  <w:rPr>
                    <w:rFonts w:ascii="Cambria Math" w:hAnsi="Cambria Math" w:cs="Arial"/>
                    <w:szCs w:val="22"/>
                  </w:rPr>
                  <m:t>+</m:t>
                </m:r>
                <m:sSub>
                  <m:sSubPr>
                    <m:ctrlPr>
                      <w:rPr>
                        <w:rFonts w:ascii="Cambria Math" w:hAnsi="Cambria Math" w:cs="Arial"/>
                        <w:i/>
                        <w:szCs w:val="22"/>
                      </w:rPr>
                    </m:ctrlPr>
                  </m:sSubPr>
                  <m:e>
                    <m:r>
                      <w:rPr>
                        <w:rFonts w:ascii="Cambria Math" w:hAnsi="Cambria Math" w:cs="Arial"/>
                        <w:szCs w:val="22"/>
                      </w:rPr>
                      <m:t>β</m:t>
                    </m:r>
                  </m:e>
                  <m:sub>
                    <m:r>
                      <w:rPr>
                        <w:rFonts w:ascii="Cambria Math" w:hAnsi="Cambria Math" w:cs="Arial"/>
                        <w:szCs w:val="22"/>
                      </w:rPr>
                      <m:t>t</m:t>
                    </m:r>
                  </m:sub>
                </m:sSub>
                <m:sSub>
                  <m:sSubPr>
                    <m:ctrlPr>
                      <w:rPr>
                        <w:rFonts w:ascii="Cambria Math" w:hAnsi="Cambria Math" w:cs="Arial"/>
                        <w:i/>
                        <w:szCs w:val="22"/>
                      </w:rPr>
                    </m:ctrlPr>
                  </m:sSubPr>
                  <m:e>
                    <m:r>
                      <w:rPr>
                        <w:rFonts w:ascii="Cambria Math" w:hAnsi="Cambria Math" w:cs="Arial"/>
                        <w:szCs w:val="22"/>
                      </w:rPr>
                      <m:t>d</m:t>
                    </m:r>
                  </m:e>
                  <m:sub>
                    <m:r>
                      <w:rPr>
                        <w:rFonts w:ascii="Cambria Math" w:hAnsi="Cambria Math" w:cs="Arial"/>
                        <w:szCs w:val="22"/>
                      </w:rPr>
                      <m:t>ij,t</m:t>
                    </m:r>
                  </m:sub>
                </m:sSub>
              </m:oMath>
            </m:oMathPara>
          </w:p>
        </w:tc>
        <w:tc>
          <w:tcPr>
            <w:tcW w:w="709" w:type="dxa"/>
            <w:vAlign w:val="center"/>
          </w:tcPr>
          <w:p w14:paraId="14F80FAB" w14:textId="77777777" w:rsidR="000577C4" w:rsidRDefault="000577C4" w:rsidP="00B9573F">
            <w:pPr>
              <w:pStyle w:val="BodyText1"/>
              <w:ind w:left="0"/>
              <w:jc w:val="center"/>
            </w:pPr>
            <w:r>
              <w:t>(13)</w:t>
            </w:r>
          </w:p>
        </w:tc>
      </w:tr>
    </w:tbl>
    <w:p w14:paraId="76B984E7" w14:textId="77777777" w:rsidR="000577C4" w:rsidRDefault="000577C4" w:rsidP="00182E7A">
      <w:pPr>
        <w:jc w:val="both"/>
        <w:outlineLvl w:val="0"/>
        <w:rPr>
          <w:rFonts w:cs="Arial"/>
          <w:szCs w:val="22"/>
        </w:rPr>
      </w:pPr>
    </w:p>
    <w:p w14:paraId="462C7DE4" w14:textId="77777777" w:rsidR="0000051C" w:rsidRDefault="00082CA5" w:rsidP="00182E7A">
      <w:pPr>
        <w:jc w:val="both"/>
        <w:outlineLvl w:val="0"/>
        <w:rPr>
          <w:rFonts w:cs="Arial"/>
          <w:szCs w:val="22"/>
        </w:rPr>
      </w:pPr>
      <w:r>
        <w:rPr>
          <w:rFonts w:cs="Arial"/>
          <w:szCs w:val="22"/>
        </w:rPr>
        <w:t xml:space="preserve">The Alternative Specific Constant (ASC) for </w:t>
      </w:r>
      <w:r w:rsidR="00D22917">
        <w:rPr>
          <w:rFonts w:cs="Arial"/>
          <w:szCs w:val="22"/>
        </w:rPr>
        <w:t>road</w:t>
      </w:r>
      <w:r>
        <w:rPr>
          <w:rFonts w:cs="Arial"/>
          <w:szCs w:val="22"/>
        </w:rPr>
        <w:t xml:space="preserve"> (</w:t>
      </w:r>
      <m:oMath>
        <m:sSub>
          <m:sSubPr>
            <m:ctrlPr>
              <w:rPr>
                <w:rFonts w:ascii="Cambria Math" w:hAnsi="Cambria Math" w:cs="Arial"/>
                <w:i/>
                <w:szCs w:val="22"/>
              </w:rPr>
            </m:ctrlPr>
          </m:sSubPr>
          <m:e>
            <m:r>
              <w:rPr>
                <w:rFonts w:ascii="Cambria Math" w:hAnsi="Cambria Math" w:cs="Arial"/>
                <w:szCs w:val="22"/>
              </w:rPr>
              <m:t>β</m:t>
            </m:r>
          </m:e>
          <m:sub>
            <m:r>
              <w:rPr>
                <w:rFonts w:ascii="Cambria Math" w:hAnsi="Cambria Math" w:cs="Arial"/>
                <w:szCs w:val="22"/>
              </w:rPr>
              <m:t>0</m:t>
            </m:r>
          </m:sub>
        </m:sSub>
      </m:oMath>
      <w:r>
        <w:rPr>
          <w:rFonts w:cs="Arial"/>
          <w:szCs w:val="22"/>
        </w:rPr>
        <w:t xml:space="preserve">) was set to zero, in order to permit statistical identification of other parameters. </w:t>
      </w:r>
      <w:r w:rsidR="00B60EBB">
        <w:rPr>
          <w:rFonts w:cs="Arial"/>
          <w:szCs w:val="22"/>
        </w:rPr>
        <w:t xml:space="preserve">The parameters for mode choice were estimated using </w:t>
      </w:r>
      <w:r w:rsidR="00B60EBB">
        <w:rPr>
          <w:rFonts w:cs="Arial"/>
          <w:i/>
          <w:szCs w:val="22"/>
        </w:rPr>
        <w:t xml:space="preserve">larch, </w:t>
      </w:r>
      <w:r w:rsidR="00B60EBB">
        <w:rPr>
          <w:rFonts w:cs="Arial"/>
          <w:szCs w:val="22"/>
        </w:rPr>
        <w:t>which is</w:t>
      </w:r>
      <w:r w:rsidR="00B60EBB">
        <w:rPr>
          <w:rFonts w:cs="Arial"/>
          <w:i/>
          <w:szCs w:val="22"/>
        </w:rPr>
        <w:t xml:space="preserve"> </w:t>
      </w:r>
      <w:r w:rsidR="00B60EBB">
        <w:rPr>
          <w:rFonts w:cs="Arial"/>
          <w:szCs w:val="22"/>
        </w:rPr>
        <w:t xml:space="preserve">an open source python library for estimation of logit-based discrete choice models. The estimates and statistics obtained </w:t>
      </w:r>
      <w:r w:rsidR="009E74D1">
        <w:rPr>
          <w:rFonts w:cs="Arial"/>
          <w:szCs w:val="22"/>
        </w:rPr>
        <w:t xml:space="preserve">for mode choice </w:t>
      </w:r>
      <w:r w:rsidR="00B60EBB">
        <w:rPr>
          <w:rFonts w:cs="Arial"/>
          <w:szCs w:val="22"/>
        </w:rPr>
        <w:t xml:space="preserve">are shown in </w:t>
      </w:r>
      <w:r w:rsidR="00E823DA">
        <w:rPr>
          <w:rFonts w:cs="Arial"/>
          <w:szCs w:val="22"/>
        </w:rPr>
        <w:fldChar w:fldCharType="begin"/>
      </w:r>
      <w:r w:rsidR="00E823DA">
        <w:rPr>
          <w:rFonts w:cs="Arial"/>
          <w:szCs w:val="22"/>
        </w:rPr>
        <w:instrText xml:space="preserve"> REF _Ref500519792 \h </w:instrText>
      </w:r>
      <w:r w:rsidR="00E823DA">
        <w:rPr>
          <w:rFonts w:cs="Arial"/>
          <w:szCs w:val="22"/>
        </w:rPr>
      </w:r>
      <w:r w:rsidR="00E823DA">
        <w:rPr>
          <w:rFonts w:cs="Arial"/>
          <w:szCs w:val="22"/>
        </w:rPr>
        <w:fldChar w:fldCharType="separate"/>
      </w:r>
      <w:r w:rsidR="007008EC">
        <w:t xml:space="preserve">Table </w:t>
      </w:r>
      <w:r w:rsidR="007008EC">
        <w:rPr>
          <w:noProof/>
        </w:rPr>
        <w:t>1</w:t>
      </w:r>
      <w:r w:rsidR="00E823DA">
        <w:rPr>
          <w:rFonts w:cs="Arial"/>
          <w:szCs w:val="22"/>
        </w:rPr>
        <w:fldChar w:fldCharType="end"/>
      </w:r>
      <w:r w:rsidR="00E823DA">
        <w:rPr>
          <w:rFonts w:cs="Arial"/>
          <w:szCs w:val="22"/>
        </w:rPr>
        <w:t>.</w:t>
      </w:r>
    </w:p>
    <w:p w14:paraId="28945B9B" w14:textId="77777777" w:rsidR="00B60EBB" w:rsidRDefault="00B60EBB" w:rsidP="00182E7A">
      <w:pPr>
        <w:jc w:val="both"/>
        <w:outlineLvl w:val="0"/>
        <w:rPr>
          <w:rFonts w:cs="Arial"/>
          <w:szCs w:val="22"/>
        </w:rPr>
      </w:pPr>
    </w:p>
    <w:tbl>
      <w:tblPr>
        <w:tblStyle w:val="TableList3"/>
        <w:tblW w:w="0" w:type="auto"/>
        <w:jc w:val="center"/>
        <w:tblLook w:val="04A0" w:firstRow="1" w:lastRow="0" w:firstColumn="1" w:lastColumn="0" w:noHBand="0" w:noVBand="1"/>
      </w:tblPr>
      <w:tblGrid>
        <w:gridCol w:w="1925"/>
        <w:gridCol w:w="1926"/>
        <w:gridCol w:w="1926"/>
        <w:gridCol w:w="1926"/>
      </w:tblGrid>
      <w:tr w:rsidR="00D22917" w14:paraId="33BC19DE" w14:textId="77777777" w:rsidTr="00E823DA">
        <w:trPr>
          <w:cnfStyle w:val="100000000000" w:firstRow="1" w:lastRow="0" w:firstColumn="0" w:lastColumn="0" w:oddVBand="0" w:evenVBand="0" w:oddHBand="0" w:evenHBand="0" w:firstRowFirstColumn="0" w:firstRowLastColumn="0" w:lastRowFirstColumn="0" w:lastRowLastColumn="0"/>
          <w:jc w:val="center"/>
        </w:trPr>
        <w:tc>
          <w:tcPr>
            <w:tcW w:w="1925" w:type="dxa"/>
          </w:tcPr>
          <w:p w14:paraId="5E8B2159" w14:textId="77777777" w:rsidR="00D22917" w:rsidRPr="008F273F" w:rsidRDefault="00D22917" w:rsidP="00182E7A">
            <w:pPr>
              <w:jc w:val="both"/>
              <w:outlineLvl w:val="0"/>
              <w:rPr>
                <w:rFonts w:cs="Arial"/>
                <w:color w:val="auto"/>
                <w:sz w:val="20"/>
                <w:szCs w:val="22"/>
              </w:rPr>
            </w:pPr>
            <w:r w:rsidRPr="008F273F">
              <w:rPr>
                <w:rFonts w:cs="Arial"/>
                <w:color w:val="auto"/>
                <w:sz w:val="20"/>
                <w:szCs w:val="22"/>
              </w:rPr>
              <w:t>Parameter</w:t>
            </w:r>
          </w:p>
        </w:tc>
        <w:tc>
          <w:tcPr>
            <w:tcW w:w="1926" w:type="dxa"/>
          </w:tcPr>
          <w:p w14:paraId="1A8B3D95" w14:textId="77777777" w:rsidR="00D22917" w:rsidRPr="008F273F" w:rsidRDefault="00D22917" w:rsidP="00182E7A">
            <w:pPr>
              <w:jc w:val="both"/>
              <w:outlineLvl w:val="0"/>
              <w:rPr>
                <w:rFonts w:cs="Arial"/>
                <w:color w:val="auto"/>
                <w:sz w:val="20"/>
                <w:szCs w:val="22"/>
              </w:rPr>
            </w:pPr>
            <w:r w:rsidRPr="008F273F">
              <w:rPr>
                <w:rFonts w:cs="Arial"/>
                <w:color w:val="auto"/>
                <w:sz w:val="20"/>
                <w:szCs w:val="22"/>
              </w:rPr>
              <w:t>Value</w:t>
            </w:r>
          </w:p>
        </w:tc>
        <w:tc>
          <w:tcPr>
            <w:tcW w:w="1926" w:type="dxa"/>
          </w:tcPr>
          <w:p w14:paraId="6AC64655" w14:textId="77777777" w:rsidR="00D22917" w:rsidRPr="008F273F" w:rsidRDefault="00D22917" w:rsidP="00182E7A">
            <w:pPr>
              <w:jc w:val="both"/>
              <w:outlineLvl w:val="0"/>
              <w:rPr>
                <w:rFonts w:cs="Arial"/>
                <w:color w:val="auto"/>
                <w:sz w:val="20"/>
                <w:szCs w:val="22"/>
              </w:rPr>
            </w:pPr>
            <w:r w:rsidRPr="008F273F">
              <w:rPr>
                <w:rFonts w:cs="Arial"/>
                <w:color w:val="auto"/>
                <w:sz w:val="20"/>
                <w:szCs w:val="22"/>
              </w:rPr>
              <w:t>Standard Error</w:t>
            </w:r>
          </w:p>
        </w:tc>
        <w:tc>
          <w:tcPr>
            <w:tcW w:w="1926" w:type="dxa"/>
          </w:tcPr>
          <w:p w14:paraId="5385167A" w14:textId="77777777" w:rsidR="00D22917" w:rsidRPr="008F273F" w:rsidRDefault="00D22917" w:rsidP="00182E7A">
            <w:pPr>
              <w:jc w:val="both"/>
              <w:outlineLvl w:val="0"/>
              <w:rPr>
                <w:rFonts w:cs="Arial"/>
                <w:color w:val="auto"/>
                <w:sz w:val="20"/>
                <w:szCs w:val="22"/>
              </w:rPr>
            </w:pPr>
            <w:r w:rsidRPr="008F273F">
              <w:rPr>
                <w:rFonts w:cs="Arial"/>
                <w:color w:val="auto"/>
                <w:sz w:val="20"/>
                <w:szCs w:val="22"/>
              </w:rPr>
              <w:t>t-statistic</w:t>
            </w:r>
          </w:p>
        </w:tc>
      </w:tr>
      <w:tr w:rsidR="00D22917" w14:paraId="6D73E2D1" w14:textId="77777777" w:rsidTr="00E823DA">
        <w:trPr>
          <w:jc w:val="center"/>
        </w:trPr>
        <w:tc>
          <w:tcPr>
            <w:tcW w:w="1925" w:type="dxa"/>
          </w:tcPr>
          <w:p w14:paraId="5239216E" w14:textId="77777777" w:rsidR="00D22917" w:rsidRPr="008F273F" w:rsidRDefault="00722C0F" w:rsidP="00182E7A">
            <w:pPr>
              <w:jc w:val="both"/>
              <w:outlineLvl w:val="0"/>
              <w:rPr>
                <w:rFonts w:cs="Arial"/>
                <w:sz w:val="20"/>
                <w:szCs w:val="22"/>
              </w:rPr>
            </w:pPr>
            <m:oMathPara>
              <m:oMath>
                <m:sSub>
                  <m:sSubPr>
                    <m:ctrlPr>
                      <w:rPr>
                        <w:rFonts w:ascii="Cambria Math" w:hAnsi="Cambria Math" w:cs="Arial"/>
                        <w:i/>
                        <w:sz w:val="20"/>
                        <w:szCs w:val="22"/>
                      </w:rPr>
                    </m:ctrlPr>
                  </m:sSubPr>
                  <m:e>
                    <m:r>
                      <w:rPr>
                        <w:rFonts w:ascii="Cambria Math" w:hAnsi="Cambria Math" w:cs="Arial"/>
                        <w:sz w:val="20"/>
                        <w:szCs w:val="22"/>
                      </w:rPr>
                      <m:t>β</m:t>
                    </m:r>
                  </m:e>
                  <m:sub>
                    <m:r>
                      <w:rPr>
                        <w:rFonts w:ascii="Cambria Math" w:hAnsi="Cambria Math" w:cs="Arial"/>
                        <w:sz w:val="20"/>
                        <w:szCs w:val="22"/>
                      </w:rPr>
                      <m:t>0,rail</m:t>
                    </m:r>
                  </m:sub>
                </m:sSub>
              </m:oMath>
            </m:oMathPara>
          </w:p>
        </w:tc>
        <w:tc>
          <w:tcPr>
            <w:tcW w:w="1926" w:type="dxa"/>
          </w:tcPr>
          <w:p w14:paraId="74C4533F" w14:textId="77777777" w:rsidR="00D22917" w:rsidRPr="008F273F" w:rsidRDefault="00D22917" w:rsidP="00182E7A">
            <w:pPr>
              <w:jc w:val="both"/>
              <w:outlineLvl w:val="0"/>
              <w:rPr>
                <w:rFonts w:cs="Arial"/>
                <w:sz w:val="20"/>
                <w:szCs w:val="22"/>
              </w:rPr>
            </w:pPr>
            <w:r w:rsidRPr="008F273F">
              <w:rPr>
                <w:rFonts w:cs="Arial"/>
                <w:sz w:val="20"/>
                <w:szCs w:val="22"/>
              </w:rPr>
              <w:t>-3.32</w:t>
            </w:r>
          </w:p>
        </w:tc>
        <w:tc>
          <w:tcPr>
            <w:tcW w:w="1926" w:type="dxa"/>
          </w:tcPr>
          <w:p w14:paraId="2ABA935F" w14:textId="77777777" w:rsidR="00D22917" w:rsidRPr="008F273F" w:rsidRDefault="00D22917" w:rsidP="00182E7A">
            <w:pPr>
              <w:jc w:val="both"/>
              <w:outlineLvl w:val="0"/>
              <w:rPr>
                <w:rFonts w:cs="Arial"/>
                <w:sz w:val="20"/>
                <w:szCs w:val="22"/>
              </w:rPr>
            </w:pPr>
            <w:r w:rsidRPr="008F273F">
              <w:rPr>
                <w:rFonts w:cs="Arial"/>
                <w:sz w:val="20"/>
                <w:szCs w:val="22"/>
              </w:rPr>
              <w:t>0.154</w:t>
            </w:r>
          </w:p>
        </w:tc>
        <w:tc>
          <w:tcPr>
            <w:tcW w:w="1926" w:type="dxa"/>
          </w:tcPr>
          <w:p w14:paraId="52B4642D" w14:textId="77777777" w:rsidR="00D22917" w:rsidRPr="008F273F" w:rsidRDefault="00D22917" w:rsidP="00182E7A">
            <w:pPr>
              <w:jc w:val="both"/>
              <w:outlineLvl w:val="0"/>
              <w:rPr>
                <w:rFonts w:cs="Arial"/>
                <w:sz w:val="20"/>
                <w:szCs w:val="22"/>
              </w:rPr>
            </w:pPr>
            <w:r w:rsidRPr="008F273F">
              <w:rPr>
                <w:rFonts w:cs="Arial"/>
                <w:sz w:val="20"/>
                <w:szCs w:val="22"/>
              </w:rPr>
              <w:t>-21.5</w:t>
            </w:r>
          </w:p>
        </w:tc>
      </w:tr>
      <w:tr w:rsidR="00D22917" w14:paraId="351E8257" w14:textId="77777777" w:rsidTr="00E823DA">
        <w:trPr>
          <w:jc w:val="center"/>
        </w:trPr>
        <w:tc>
          <w:tcPr>
            <w:tcW w:w="1925" w:type="dxa"/>
          </w:tcPr>
          <w:p w14:paraId="11D16F47" w14:textId="77777777" w:rsidR="00D22917" w:rsidRPr="008F273F" w:rsidRDefault="00722C0F" w:rsidP="00182E7A">
            <w:pPr>
              <w:jc w:val="both"/>
              <w:outlineLvl w:val="0"/>
              <w:rPr>
                <w:rFonts w:cs="Arial"/>
                <w:sz w:val="20"/>
                <w:szCs w:val="22"/>
              </w:rPr>
            </w:pPr>
            <m:oMathPara>
              <m:oMath>
                <m:sSub>
                  <m:sSubPr>
                    <m:ctrlPr>
                      <w:rPr>
                        <w:rFonts w:ascii="Cambria Math" w:hAnsi="Cambria Math" w:cs="Arial"/>
                        <w:i/>
                        <w:sz w:val="20"/>
                        <w:szCs w:val="22"/>
                      </w:rPr>
                    </m:ctrlPr>
                  </m:sSubPr>
                  <m:e>
                    <m:r>
                      <w:rPr>
                        <w:rFonts w:ascii="Cambria Math" w:hAnsi="Cambria Math" w:cs="Arial"/>
                        <w:sz w:val="20"/>
                        <w:szCs w:val="22"/>
                      </w:rPr>
                      <m:t>β</m:t>
                    </m:r>
                  </m:e>
                  <m:sub>
                    <m:r>
                      <w:rPr>
                        <w:rFonts w:ascii="Cambria Math" w:hAnsi="Cambria Math" w:cs="Arial"/>
                        <w:sz w:val="20"/>
                        <w:szCs w:val="22"/>
                      </w:rPr>
                      <m:t>rail</m:t>
                    </m:r>
                  </m:sub>
                </m:sSub>
              </m:oMath>
            </m:oMathPara>
          </w:p>
        </w:tc>
        <w:tc>
          <w:tcPr>
            <w:tcW w:w="1926" w:type="dxa"/>
          </w:tcPr>
          <w:p w14:paraId="2AA6BA4E" w14:textId="77777777" w:rsidR="00D22917" w:rsidRPr="008F273F" w:rsidRDefault="00D22917" w:rsidP="00182E7A">
            <w:pPr>
              <w:jc w:val="both"/>
              <w:outlineLvl w:val="0"/>
              <w:rPr>
                <w:rFonts w:cs="Arial"/>
                <w:sz w:val="20"/>
                <w:szCs w:val="22"/>
              </w:rPr>
            </w:pPr>
            <w:r w:rsidRPr="008F273F">
              <w:rPr>
                <w:rFonts w:cs="Arial"/>
                <w:sz w:val="20"/>
                <w:szCs w:val="22"/>
              </w:rPr>
              <w:t>0.000957</w:t>
            </w:r>
          </w:p>
        </w:tc>
        <w:tc>
          <w:tcPr>
            <w:tcW w:w="1926" w:type="dxa"/>
          </w:tcPr>
          <w:p w14:paraId="59460F10" w14:textId="77777777" w:rsidR="00D22917" w:rsidRPr="008F273F" w:rsidRDefault="00D22917" w:rsidP="00182E7A">
            <w:pPr>
              <w:jc w:val="both"/>
              <w:outlineLvl w:val="0"/>
              <w:rPr>
                <w:rFonts w:cs="Arial"/>
                <w:sz w:val="20"/>
                <w:szCs w:val="22"/>
              </w:rPr>
            </w:pPr>
            <w:r w:rsidRPr="008F273F">
              <w:rPr>
                <w:rFonts w:cs="Arial"/>
                <w:sz w:val="20"/>
                <w:szCs w:val="22"/>
              </w:rPr>
              <w:t>0.00156</w:t>
            </w:r>
          </w:p>
        </w:tc>
        <w:tc>
          <w:tcPr>
            <w:tcW w:w="1926" w:type="dxa"/>
          </w:tcPr>
          <w:p w14:paraId="6FBCB2A6" w14:textId="77777777" w:rsidR="00D22917" w:rsidRPr="008F273F" w:rsidRDefault="00D22917" w:rsidP="00182E7A">
            <w:pPr>
              <w:jc w:val="both"/>
              <w:outlineLvl w:val="0"/>
              <w:rPr>
                <w:rFonts w:cs="Arial"/>
                <w:sz w:val="20"/>
                <w:szCs w:val="22"/>
              </w:rPr>
            </w:pPr>
            <w:r w:rsidRPr="008F273F">
              <w:rPr>
                <w:rFonts w:cs="Arial"/>
                <w:sz w:val="20"/>
                <w:szCs w:val="22"/>
              </w:rPr>
              <w:t>0.613</w:t>
            </w:r>
          </w:p>
        </w:tc>
      </w:tr>
      <w:tr w:rsidR="00D22917" w14:paraId="34F9AD39" w14:textId="77777777" w:rsidTr="00E823DA">
        <w:trPr>
          <w:jc w:val="center"/>
        </w:trPr>
        <w:tc>
          <w:tcPr>
            <w:tcW w:w="1925" w:type="dxa"/>
          </w:tcPr>
          <w:p w14:paraId="6E7B1D24" w14:textId="77777777" w:rsidR="00D22917" w:rsidRPr="008F273F" w:rsidRDefault="00722C0F" w:rsidP="00182E7A">
            <w:pPr>
              <w:jc w:val="both"/>
              <w:outlineLvl w:val="0"/>
              <w:rPr>
                <w:rFonts w:cs="Arial"/>
                <w:sz w:val="20"/>
                <w:szCs w:val="22"/>
              </w:rPr>
            </w:pPr>
            <m:oMathPara>
              <m:oMath>
                <m:sSub>
                  <m:sSubPr>
                    <m:ctrlPr>
                      <w:rPr>
                        <w:rFonts w:ascii="Cambria Math" w:hAnsi="Cambria Math" w:cs="Arial"/>
                        <w:i/>
                        <w:sz w:val="20"/>
                        <w:szCs w:val="22"/>
                      </w:rPr>
                    </m:ctrlPr>
                  </m:sSubPr>
                  <m:e>
                    <m:r>
                      <w:rPr>
                        <w:rFonts w:ascii="Cambria Math" w:hAnsi="Cambria Math" w:cs="Arial"/>
                        <w:sz w:val="20"/>
                        <w:szCs w:val="22"/>
                      </w:rPr>
                      <m:t>β</m:t>
                    </m:r>
                  </m:e>
                  <m:sub>
                    <m:r>
                      <w:rPr>
                        <w:rFonts w:ascii="Cambria Math" w:hAnsi="Cambria Math" w:cs="Arial"/>
                        <w:sz w:val="20"/>
                        <w:szCs w:val="22"/>
                      </w:rPr>
                      <m:t>truck</m:t>
                    </m:r>
                  </m:sub>
                </m:sSub>
              </m:oMath>
            </m:oMathPara>
          </w:p>
        </w:tc>
        <w:tc>
          <w:tcPr>
            <w:tcW w:w="1926" w:type="dxa"/>
          </w:tcPr>
          <w:p w14:paraId="0419F09B" w14:textId="77777777" w:rsidR="00D22917" w:rsidRPr="008F273F" w:rsidRDefault="00D22917" w:rsidP="00182E7A">
            <w:pPr>
              <w:jc w:val="both"/>
              <w:outlineLvl w:val="0"/>
              <w:rPr>
                <w:rFonts w:cs="Arial"/>
                <w:sz w:val="20"/>
                <w:szCs w:val="22"/>
              </w:rPr>
            </w:pPr>
            <w:r w:rsidRPr="008F273F">
              <w:rPr>
                <w:rFonts w:cs="Arial"/>
                <w:sz w:val="20"/>
                <w:szCs w:val="22"/>
              </w:rPr>
              <w:t>-0.00102</w:t>
            </w:r>
          </w:p>
        </w:tc>
        <w:tc>
          <w:tcPr>
            <w:tcW w:w="1926" w:type="dxa"/>
          </w:tcPr>
          <w:p w14:paraId="72302DF7" w14:textId="77777777" w:rsidR="00D22917" w:rsidRPr="008F273F" w:rsidRDefault="00D22917" w:rsidP="00182E7A">
            <w:pPr>
              <w:jc w:val="both"/>
              <w:outlineLvl w:val="0"/>
              <w:rPr>
                <w:rFonts w:cs="Arial"/>
                <w:sz w:val="20"/>
                <w:szCs w:val="22"/>
              </w:rPr>
            </w:pPr>
            <w:r w:rsidRPr="008F273F">
              <w:rPr>
                <w:rFonts w:cs="Arial"/>
                <w:sz w:val="20"/>
                <w:szCs w:val="22"/>
              </w:rPr>
              <w:t>0.00162</w:t>
            </w:r>
          </w:p>
        </w:tc>
        <w:tc>
          <w:tcPr>
            <w:tcW w:w="1926" w:type="dxa"/>
          </w:tcPr>
          <w:p w14:paraId="3D605DC2" w14:textId="77777777" w:rsidR="00D22917" w:rsidRPr="008F273F" w:rsidRDefault="00D22917" w:rsidP="00182E7A">
            <w:pPr>
              <w:jc w:val="both"/>
              <w:outlineLvl w:val="0"/>
              <w:rPr>
                <w:rFonts w:cs="Arial"/>
                <w:sz w:val="20"/>
                <w:szCs w:val="22"/>
              </w:rPr>
            </w:pPr>
            <w:r w:rsidRPr="008F273F">
              <w:rPr>
                <w:rFonts w:cs="Arial"/>
                <w:sz w:val="20"/>
                <w:szCs w:val="22"/>
              </w:rPr>
              <w:t>-0.634</w:t>
            </w:r>
          </w:p>
        </w:tc>
      </w:tr>
      <w:tr w:rsidR="00D22917" w14:paraId="76EA10F9" w14:textId="77777777" w:rsidTr="00E823DA">
        <w:trPr>
          <w:jc w:val="center"/>
        </w:trPr>
        <w:tc>
          <w:tcPr>
            <w:tcW w:w="3851" w:type="dxa"/>
            <w:gridSpan w:val="2"/>
          </w:tcPr>
          <w:p w14:paraId="69774410" w14:textId="77777777" w:rsidR="00D22917" w:rsidRPr="008F273F" w:rsidRDefault="00D22917" w:rsidP="00182E7A">
            <w:pPr>
              <w:jc w:val="both"/>
              <w:outlineLvl w:val="0"/>
              <w:rPr>
                <w:rFonts w:cs="Arial"/>
                <w:sz w:val="20"/>
                <w:szCs w:val="22"/>
              </w:rPr>
            </w:pPr>
            <w:r w:rsidRPr="008F273F">
              <w:rPr>
                <w:rFonts w:cs="Arial"/>
                <w:sz w:val="20"/>
                <w:szCs w:val="22"/>
              </w:rPr>
              <w:t>No. of observations</w:t>
            </w:r>
          </w:p>
        </w:tc>
        <w:tc>
          <w:tcPr>
            <w:tcW w:w="1926" w:type="dxa"/>
          </w:tcPr>
          <w:p w14:paraId="1F7B0A48" w14:textId="77777777" w:rsidR="00D22917" w:rsidRPr="008F273F" w:rsidRDefault="00E823DA" w:rsidP="00182E7A">
            <w:pPr>
              <w:jc w:val="both"/>
              <w:outlineLvl w:val="0"/>
              <w:rPr>
                <w:rFonts w:cs="Arial"/>
                <w:sz w:val="20"/>
                <w:szCs w:val="22"/>
              </w:rPr>
            </w:pPr>
            <w:r w:rsidRPr="008F273F">
              <w:rPr>
                <w:rFonts w:cs="Arial"/>
                <w:sz w:val="20"/>
                <w:szCs w:val="22"/>
              </w:rPr>
              <w:t>1388</w:t>
            </w:r>
          </w:p>
        </w:tc>
        <w:tc>
          <w:tcPr>
            <w:tcW w:w="1926" w:type="dxa"/>
          </w:tcPr>
          <w:p w14:paraId="4E463848" w14:textId="77777777" w:rsidR="00D22917" w:rsidRPr="008F273F" w:rsidRDefault="00D22917" w:rsidP="00182E7A">
            <w:pPr>
              <w:jc w:val="both"/>
              <w:outlineLvl w:val="0"/>
              <w:rPr>
                <w:rFonts w:cs="Arial"/>
                <w:sz w:val="20"/>
                <w:szCs w:val="22"/>
              </w:rPr>
            </w:pPr>
          </w:p>
        </w:tc>
      </w:tr>
      <w:tr w:rsidR="00D22917" w14:paraId="5D9705FB" w14:textId="77777777" w:rsidTr="00E823DA">
        <w:trPr>
          <w:jc w:val="center"/>
        </w:trPr>
        <w:tc>
          <w:tcPr>
            <w:tcW w:w="3851" w:type="dxa"/>
            <w:gridSpan w:val="2"/>
          </w:tcPr>
          <w:p w14:paraId="0C9A131A" w14:textId="77777777" w:rsidR="00D22917" w:rsidRPr="008F273F" w:rsidRDefault="00D22917" w:rsidP="00182E7A">
            <w:pPr>
              <w:jc w:val="both"/>
              <w:outlineLvl w:val="0"/>
              <w:rPr>
                <w:rFonts w:cs="Arial"/>
                <w:sz w:val="20"/>
                <w:szCs w:val="22"/>
              </w:rPr>
            </w:pPr>
            <w:r w:rsidRPr="008F273F">
              <w:rPr>
                <w:rFonts w:cs="Arial"/>
                <w:sz w:val="20"/>
                <w:szCs w:val="22"/>
              </w:rPr>
              <w:t>Rho-squared w.r.t null parameters</w:t>
            </w:r>
          </w:p>
        </w:tc>
        <w:tc>
          <w:tcPr>
            <w:tcW w:w="1926" w:type="dxa"/>
          </w:tcPr>
          <w:p w14:paraId="0DDB7CA1" w14:textId="77777777" w:rsidR="00D22917" w:rsidRPr="008F273F" w:rsidRDefault="00E823DA" w:rsidP="00182E7A">
            <w:pPr>
              <w:jc w:val="both"/>
              <w:outlineLvl w:val="0"/>
              <w:rPr>
                <w:rFonts w:cs="Arial"/>
                <w:sz w:val="20"/>
                <w:szCs w:val="22"/>
              </w:rPr>
            </w:pPr>
            <w:r w:rsidRPr="008F273F">
              <w:rPr>
                <w:rFonts w:cs="Arial"/>
                <w:sz w:val="20"/>
                <w:szCs w:val="22"/>
              </w:rPr>
              <w:t>0.719</w:t>
            </w:r>
          </w:p>
        </w:tc>
        <w:tc>
          <w:tcPr>
            <w:tcW w:w="1926" w:type="dxa"/>
          </w:tcPr>
          <w:p w14:paraId="3848D819" w14:textId="77777777" w:rsidR="00D22917" w:rsidRPr="008F273F" w:rsidRDefault="00D22917" w:rsidP="00182E7A">
            <w:pPr>
              <w:jc w:val="both"/>
              <w:outlineLvl w:val="0"/>
              <w:rPr>
                <w:rFonts w:cs="Arial"/>
                <w:sz w:val="20"/>
                <w:szCs w:val="22"/>
              </w:rPr>
            </w:pPr>
          </w:p>
        </w:tc>
      </w:tr>
    </w:tbl>
    <w:p w14:paraId="05CD524B" w14:textId="77777777" w:rsidR="00B60EBB" w:rsidRDefault="00B60EBB" w:rsidP="00182E7A">
      <w:pPr>
        <w:jc w:val="both"/>
        <w:outlineLvl w:val="0"/>
        <w:rPr>
          <w:rFonts w:cs="Arial"/>
          <w:szCs w:val="22"/>
        </w:rPr>
      </w:pPr>
    </w:p>
    <w:p w14:paraId="30DAAE23" w14:textId="77777777" w:rsidR="00E823DA" w:rsidRDefault="00E823DA" w:rsidP="00E823DA">
      <w:pPr>
        <w:pStyle w:val="Caption"/>
        <w:rPr>
          <w:rFonts w:cs="Arial"/>
          <w:sz w:val="22"/>
          <w:szCs w:val="22"/>
        </w:rPr>
      </w:pPr>
      <w:bookmarkStart w:id="2" w:name="_Ref500519792"/>
      <w:r>
        <w:t xml:space="preserve">Table </w:t>
      </w:r>
      <w:r w:rsidR="00722C0F">
        <w:fldChar w:fldCharType="begin"/>
      </w:r>
      <w:r w:rsidR="00722C0F">
        <w:instrText xml:space="preserve"> SEQ Table \* ARABIC </w:instrText>
      </w:r>
      <w:r w:rsidR="00722C0F">
        <w:fldChar w:fldCharType="separate"/>
      </w:r>
      <w:r w:rsidR="007008EC">
        <w:rPr>
          <w:noProof/>
        </w:rPr>
        <w:t>1</w:t>
      </w:r>
      <w:r w:rsidR="00722C0F">
        <w:rPr>
          <w:noProof/>
        </w:rPr>
        <w:fldChar w:fldCharType="end"/>
      </w:r>
      <w:bookmarkEnd w:id="2"/>
      <w:r>
        <w:t xml:space="preserve"> Mode Choice Multinomial Logit Model Parameter Estimates and estimation statistics</w:t>
      </w:r>
    </w:p>
    <w:p w14:paraId="5057329B" w14:textId="77777777" w:rsidR="00E823DA" w:rsidRDefault="00082CA5" w:rsidP="00E823DA">
      <w:pPr>
        <w:jc w:val="both"/>
        <w:outlineLvl w:val="0"/>
        <w:rPr>
          <w:rFonts w:cs="Arial"/>
          <w:szCs w:val="22"/>
        </w:rPr>
      </w:pPr>
      <w:r>
        <w:rPr>
          <w:rFonts w:cs="Arial"/>
          <w:szCs w:val="22"/>
        </w:rPr>
        <w:t xml:space="preserve">The upper level refers to the choice probability that buyers will acquire inputs from </w:t>
      </w:r>
      <w:proofErr w:type="gramStart"/>
      <w:r>
        <w:rPr>
          <w:rFonts w:cs="Arial"/>
          <w:szCs w:val="22"/>
        </w:rPr>
        <w:t xml:space="preserve">origin </w:t>
      </w:r>
      <w:proofErr w:type="gramEnd"/>
      <m:oMath>
        <m:r>
          <w:rPr>
            <w:rFonts w:ascii="Cambria Math" w:hAnsi="Cambria Math" w:cs="Arial"/>
            <w:szCs w:val="22"/>
          </w:rPr>
          <m:t>i</m:t>
        </m:r>
      </m:oMath>
      <w:r>
        <w:rPr>
          <w:rFonts w:cs="Arial"/>
          <w:szCs w:val="22"/>
        </w:rPr>
        <w:t>; it is given by the following expression:</w:t>
      </w:r>
    </w:p>
    <w:p w14:paraId="3C3D3F7F" w14:textId="77777777" w:rsidR="00E823DA" w:rsidRPr="00182E7A" w:rsidRDefault="006865F7" w:rsidP="00E823DA">
      <w:pPr>
        <w:jc w:val="both"/>
        <w:outlineLvl w:val="0"/>
        <w:rPr>
          <w:rFonts w:cs="Arial"/>
          <w:szCs w:val="22"/>
        </w:rPr>
      </w:pPr>
      <w:r>
        <w:rPr>
          <w:rFonts w:cs="Arial"/>
          <w:szCs w:val="22"/>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0"/>
        <w:gridCol w:w="709"/>
      </w:tblGrid>
      <w:tr w:rsidR="00E823DA" w14:paraId="189CC5FF" w14:textId="77777777" w:rsidTr="009F5B23">
        <w:trPr>
          <w:jc w:val="center"/>
        </w:trPr>
        <w:tc>
          <w:tcPr>
            <w:tcW w:w="3750" w:type="dxa"/>
            <w:vAlign w:val="center"/>
          </w:tcPr>
          <w:p w14:paraId="14B9C727" w14:textId="77777777" w:rsidR="00E823DA" w:rsidRPr="003F1826" w:rsidRDefault="00722C0F" w:rsidP="00E823DA">
            <w:pPr>
              <w:jc w:val="center"/>
              <w:outlineLvl w:val="0"/>
            </w:pPr>
            <m:oMathPara>
              <m:oMath>
                <m:sSubSup>
                  <m:sSubSupPr>
                    <m:ctrlPr>
                      <w:rPr>
                        <w:rFonts w:ascii="Cambria Math" w:hAnsi="Cambria Math" w:cs="Arial"/>
                        <w:i/>
                        <w:szCs w:val="22"/>
                      </w:rPr>
                    </m:ctrlPr>
                  </m:sSubSupPr>
                  <m:e>
                    <m:r>
                      <w:rPr>
                        <w:rFonts w:ascii="Cambria Math" w:hAnsi="Cambria Math" w:cs="Arial"/>
                        <w:szCs w:val="22"/>
                      </w:rPr>
                      <m:t>P</m:t>
                    </m:r>
                  </m:e>
                  <m:sub>
                    <m:r>
                      <w:rPr>
                        <w:rFonts w:ascii="Cambria Math" w:hAnsi="Cambria Math" w:cs="Arial"/>
                        <w:szCs w:val="22"/>
                      </w:rPr>
                      <m:t>ij</m:t>
                    </m:r>
                  </m:sub>
                  <m:sup>
                    <m:r>
                      <w:rPr>
                        <w:rFonts w:ascii="Cambria Math" w:hAnsi="Cambria Math" w:cs="Arial"/>
                        <w:szCs w:val="22"/>
                      </w:rPr>
                      <m:t>m</m:t>
                    </m:r>
                  </m:sup>
                </m:sSubSup>
                <m:r>
                  <w:rPr>
                    <w:rFonts w:ascii="Cambria Math" w:hAnsi="Cambria Math" w:cs="Arial"/>
                    <w:szCs w:val="22"/>
                  </w:rPr>
                  <m:t>=</m:t>
                </m:r>
                <m:f>
                  <m:fPr>
                    <m:ctrlPr>
                      <w:rPr>
                        <w:rFonts w:ascii="Cambria Math" w:hAnsi="Cambria Math" w:cs="Arial"/>
                        <w:i/>
                        <w:szCs w:val="22"/>
                      </w:rPr>
                    </m:ctrlPr>
                  </m:fPr>
                  <m:num>
                    <m:r>
                      <w:rPr>
                        <w:rFonts w:ascii="Cambria Math" w:hAnsi="Cambria Math" w:cs="Arial"/>
                        <w:szCs w:val="22"/>
                      </w:rPr>
                      <m:t>exp</m:t>
                    </m:r>
                    <m:d>
                      <m:dPr>
                        <m:ctrlPr>
                          <w:rPr>
                            <w:rFonts w:ascii="Cambria Math" w:hAnsi="Cambria Math" w:cs="Arial"/>
                            <w:i/>
                            <w:szCs w:val="22"/>
                          </w:rPr>
                        </m:ctrlPr>
                      </m:dPr>
                      <m:e>
                        <m:sSubSup>
                          <m:sSubSupPr>
                            <m:ctrlPr>
                              <w:rPr>
                                <w:rFonts w:ascii="Cambria Math" w:hAnsi="Cambria Math" w:cs="Arial"/>
                                <w:i/>
                                <w:szCs w:val="22"/>
                              </w:rPr>
                            </m:ctrlPr>
                          </m:sSubSupPr>
                          <m:e>
                            <m:r>
                              <w:rPr>
                                <w:rFonts w:ascii="Cambria Math" w:hAnsi="Cambria Math" w:cs="Arial"/>
                                <w:szCs w:val="22"/>
                              </w:rPr>
                              <m:t>V</m:t>
                            </m:r>
                          </m:e>
                          <m:sub>
                            <m:r>
                              <w:rPr>
                                <w:rFonts w:ascii="Cambria Math" w:hAnsi="Cambria Math" w:cs="Arial"/>
                                <w:szCs w:val="22"/>
                              </w:rPr>
                              <m:t>ij</m:t>
                            </m:r>
                          </m:sub>
                          <m:sup>
                            <m:r>
                              <w:rPr>
                                <w:rFonts w:ascii="Cambria Math" w:hAnsi="Cambria Math" w:cs="Arial"/>
                                <w:szCs w:val="22"/>
                              </w:rPr>
                              <m:t>m</m:t>
                            </m:r>
                          </m:sup>
                        </m:sSubSup>
                      </m:e>
                    </m:d>
                  </m:num>
                  <m:den>
                    <m:nary>
                      <m:naryPr>
                        <m:chr m:val="∑"/>
                        <m:limLoc m:val="undOvr"/>
                        <m:supHide m:val="1"/>
                        <m:ctrlPr>
                          <w:rPr>
                            <w:rFonts w:ascii="Cambria Math" w:hAnsi="Cambria Math" w:cs="Arial"/>
                            <w:i/>
                            <w:szCs w:val="22"/>
                          </w:rPr>
                        </m:ctrlPr>
                      </m:naryPr>
                      <m:sub>
                        <m:r>
                          <w:rPr>
                            <w:rFonts w:ascii="Cambria Math" w:hAnsi="Cambria Math" w:cs="Arial"/>
                            <w:szCs w:val="22"/>
                          </w:rPr>
                          <m:t>k</m:t>
                        </m:r>
                      </m:sub>
                      <m:sup/>
                      <m:e>
                        <m:r>
                          <m:rPr>
                            <m:sty m:val="p"/>
                          </m:rPr>
                          <w:rPr>
                            <w:rFonts w:ascii="Cambria Math" w:hAnsi="Cambria Math" w:cs="Arial"/>
                            <w:szCs w:val="22"/>
                          </w:rPr>
                          <m:t>exp⁡</m:t>
                        </m:r>
                        <m:d>
                          <m:dPr>
                            <m:ctrlPr>
                              <w:rPr>
                                <w:rFonts w:ascii="Cambria Math" w:hAnsi="Cambria Math" w:cs="Arial"/>
                                <w:i/>
                                <w:szCs w:val="22"/>
                              </w:rPr>
                            </m:ctrlPr>
                          </m:dPr>
                          <m:e>
                            <m:sSubSup>
                              <m:sSubSupPr>
                                <m:ctrlPr>
                                  <w:rPr>
                                    <w:rFonts w:ascii="Cambria Math" w:hAnsi="Cambria Math" w:cs="Arial"/>
                                    <w:i/>
                                    <w:szCs w:val="22"/>
                                  </w:rPr>
                                </m:ctrlPr>
                              </m:sSubSupPr>
                              <m:e>
                                <m:r>
                                  <w:rPr>
                                    <w:rFonts w:ascii="Cambria Math" w:hAnsi="Cambria Math" w:cs="Arial"/>
                                    <w:szCs w:val="22"/>
                                  </w:rPr>
                                  <m:t>V</m:t>
                                </m:r>
                              </m:e>
                              <m:sub>
                                <m:r>
                                  <w:rPr>
                                    <w:rFonts w:ascii="Cambria Math" w:hAnsi="Cambria Math" w:cs="Arial"/>
                                    <w:szCs w:val="22"/>
                                  </w:rPr>
                                  <m:t>kj</m:t>
                                </m:r>
                              </m:sub>
                              <m:sup>
                                <m:r>
                                  <w:rPr>
                                    <w:rFonts w:ascii="Cambria Math" w:hAnsi="Cambria Math" w:cs="Arial"/>
                                    <w:szCs w:val="22"/>
                                  </w:rPr>
                                  <m:t>m</m:t>
                                </m:r>
                              </m:sup>
                            </m:sSubSup>
                          </m:e>
                        </m:d>
                      </m:e>
                    </m:nary>
                  </m:den>
                </m:f>
              </m:oMath>
            </m:oMathPara>
          </w:p>
        </w:tc>
        <w:tc>
          <w:tcPr>
            <w:tcW w:w="709" w:type="dxa"/>
            <w:vAlign w:val="center"/>
          </w:tcPr>
          <w:p w14:paraId="3619D8BE" w14:textId="77777777" w:rsidR="00E823DA" w:rsidRDefault="00E823DA" w:rsidP="00B9573F">
            <w:pPr>
              <w:pStyle w:val="BodyText1"/>
              <w:ind w:left="0"/>
              <w:jc w:val="center"/>
            </w:pPr>
            <w:r>
              <w:t>(14)</w:t>
            </w:r>
          </w:p>
        </w:tc>
      </w:tr>
    </w:tbl>
    <w:p w14:paraId="51647A5D" w14:textId="77777777" w:rsidR="00182E7A" w:rsidRPr="00182E7A" w:rsidRDefault="00182E7A" w:rsidP="00E823DA">
      <w:pPr>
        <w:jc w:val="both"/>
        <w:outlineLvl w:val="0"/>
        <w:rPr>
          <w:rFonts w:cs="Arial"/>
          <w:szCs w:val="22"/>
        </w:rPr>
      </w:pPr>
    </w:p>
    <w:p w14:paraId="16B71A81" w14:textId="77777777" w:rsidR="00326D14" w:rsidRDefault="00E823DA" w:rsidP="00AB6A60">
      <w:pPr>
        <w:jc w:val="both"/>
        <w:outlineLvl w:val="0"/>
        <w:rPr>
          <w:rFonts w:cs="Arial"/>
          <w:szCs w:val="22"/>
        </w:rPr>
      </w:pPr>
      <w:r>
        <w:rPr>
          <w:rFonts w:cs="Arial"/>
          <w:szCs w:val="22"/>
        </w:rPr>
        <w:t xml:space="preserve">The systematic utility </w:t>
      </w:r>
      <m:oMath>
        <m:sSubSup>
          <m:sSubSupPr>
            <m:ctrlPr>
              <w:rPr>
                <w:rFonts w:ascii="Cambria Math" w:hAnsi="Cambria Math" w:cs="Arial"/>
                <w:i/>
                <w:szCs w:val="22"/>
              </w:rPr>
            </m:ctrlPr>
          </m:sSubSupPr>
          <m:e>
            <m:r>
              <w:rPr>
                <w:rFonts w:ascii="Cambria Math" w:hAnsi="Cambria Math" w:cs="Arial"/>
                <w:szCs w:val="22"/>
              </w:rPr>
              <m:t>V</m:t>
            </m:r>
          </m:e>
          <m:sub>
            <m:r>
              <w:rPr>
                <w:rFonts w:ascii="Cambria Math" w:hAnsi="Cambria Math" w:cs="Arial"/>
                <w:szCs w:val="22"/>
              </w:rPr>
              <m:t>ij</m:t>
            </m:r>
          </m:sub>
          <m:sup>
            <m:r>
              <w:rPr>
                <w:rFonts w:ascii="Cambria Math" w:hAnsi="Cambria Math" w:cs="Arial"/>
                <w:szCs w:val="22"/>
              </w:rPr>
              <m:t>m</m:t>
            </m:r>
          </m:sup>
        </m:sSubSup>
      </m:oMath>
      <w:r>
        <w:rPr>
          <w:rFonts w:cs="Arial"/>
          <w:szCs w:val="22"/>
        </w:rPr>
        <w:t xml:space="preserve"> refers to the expression previously defined in Equation (9).</w:t>
      </w:r>
    </w:p>
    <w:p w14:paraId="09807CBE" w14:textId="77777777" w:rsidR="00E823DA" w:rsidRDefault="00381A55" w:rsidP="00AB6A60">
      <w:pPr>
        <w:jc w:val="both"/>
        <w:outlineLvl w:val="0"/>
        <w:rPr>
          <w:rFonts w:cs="Arial"/>
          <w:szCs w:val="22"/>
        </w:rPr>
      </w:pPr>
      <w:r>
        <w:rPr>
          <w:rFonts w:cs="Arial"/>
          <w:szCs w:val="22"/>
        </w:rPr>
        <w:t xml:space="preserve">For the two level model described, the parameters were estimated using the sequential procedure proposed in </w:t>
      </w:r>
      <w:r w:rsidR="003C0462">
        <w:rPr>
          <w:rFonts w:cs="Arial"/>
          <w:szCs w:val="22"/>
        </w:rPr>
        <w:fldChar w:fldCharType="begin"/>
      </w:r>
      <w:r w:rsidR="003C0462">
        <w:rPr>
          <w:rFonts w:cs="Arial"/>
          <w:szCs w:val="22"/>
        </w:rPr>
        <w:instrText xml:space="preserve"> ADDIN EN.CITE &lt;EndNote&gt;&lt;Cite AuthorYear="1"&gt;&lt;Author&gt;Ben-Akiva&lt;/Author&gt;&lt;Year&gt;1993&lt;/Year&gt;&lt;RecNum&gt;3&lt;/RecNum&gt;&lt;DisplayText&gt;Ben-Akiva and Lerman (1993)&lt;/DisplayText&gt;&lt;record&gt;&lt;rec-number&gt;3&lt;/rec-number&gt;&lt;foreign-keys&gt;&lt;key app="EN" db-id="zesxtzdp6atewte95fc5dr2asp25rs2rstwt" timestamp="1512945675"&gt;3&lt;/key&gt;&lt;/foreign-keys&gt;&lt;ref-type name="Journal Article"&gt;17&lt;/ref-type&gt;&lt;contributors&gt;&lt;authors&gt;&lt;author&gt;Ben-Akiva, M.&lt;/author&gt;&lt;author&gt;Lerman, S.&lt;/author&gt;&lt;/authors&gt;&lt;/contributors&gt;&lt;titles&gt;&lt;title&gt;Discrete choice analysis: theory and application to travel demand&lt;/title&gt;&lt;secondary-title&gt;books.google.com&lt;/secondary-title&gt;&lt;/titles&gt;&lt;periodical&gt;&lt;full-title&gt;books.google.com&lt;/full-title&gt;&lt;/periodical&gt;&lt;dates&gt;&lt;year&gt;1993&lt;/year&gt;&lt;/dates&gt;&lt;isbn&gt;0262022176&lt;/isbn&gt;&lt;urls&gt;&lt;related-urls&gt;&lt;url&gt;http://books.google.com/books?hl=en&amp;amp;lr=&amp;amp;id=oLC6ZYPs9UoC&amp;amp;oi=fnd&amp;amp;pg=PR11&amp;amp;dq=ben+akiva+lerman&amp;amp;ots=nKfqjYeqKh&amp;amp;sig=P4HdiGRDYCBcl5FoPwSrkSci-as&lt;/url&gt;&lt;/related-urls&gt;&lt;/urls&gt;&lt;electronic-resource-num&gt;10.1016/0191-2607(88)90064-7&lt;/electronic-resource-num&gt;&lt;/record&gt;&lt;/Cite&gt;&lt;/EndNote&gt;</w:instrText>
      </w:r>
      <w:r w:rsidR="003C0462">
        <w:rPr>
          <w:rFonts w:cs="Arial"/>
          <w:szCs w:val="22"/>
        </w:rPr>
        <w:fldChar w:fldCharType="separate"/>
      </w:r>
      <w:r w:rsidR="003C0462">
        <w:rPr>
          <w:rFonts w:cs="Arial"/>
          <w:noProof/>
          <w:szCs w:val="22"/>
        </w:rPr>
        <w:t>Ben-Akiva and Lerman (1993)</w:t>
      </w:r>
      <w:r w:rsidR="003C0462">
        <w:rPr>
          <w:rFonts w:cs="Arial"/>
          <w:szCs w:val="22"/>
        </w:rPr>
        <w:fldChar w:fldCharType="end"/>
      </w:r>
      <w:r>
        <w:rPr>
          <w:rFonts w:cs="Arial"/>
          <w:szCs w:val="22"/>
        </w:rPr>
        <w:t>. The idea behind this technique is that parameters from the lower nest are estimated first; then</w:t>
      </w:r>
      <w:r w:rsidR="009E74D1">
        <w:rPr>
          <w:rFonts w:cs="Arial"/>
          <w:szCs w:val="22"/>
        </w:rPr>
        <w:t>, given the coefficients estimated in the previous step</w:t>
      </w:r>
      <w:r w:rsidR="00D43CBD">
        <w:rPr>
          <w:rFonts w:cs="Arial"/>
          <w:szCs w:val="22"/>
        </w:rPr>
        <w:t xml:space="preserve"> (lower level choice)</w:t>
      </w:r>
      <w:r w:rsidR="009E74D1">
        <w:rPr>
          <w:rFonts w:cs="Arial"/>
          <w:szCs w:val="22"/>
        </w:rPr>
        <w:t xml:space="preserve"> and the interregional distances associated to each mode,</w:t>
      </w:r>
      <w:r>
        <w:rPr>
          <w:rFonts w:cs="Arial"/>
          <w:szCs w:val="22"/>
        </w:rPr>
        <w:t xml:space="preserve"> the </w:t>
      </w:r>
      <w:proofErr w:type="spellStart"/>
      <w:r>
        <w:rPr>
          <w:rFonts w:cs="Arial"/>
          <w:i/>
          <w:szCs w:val="22"/>
        </w:rPr>
        <w:t>logsum</w:t>
      </w:r>
      <w:proofErr w:type="spellEnd"/>
      <w:r>
        <w:rPr>
          <w:rFonts w:cs="Arial"/>
          <w:i/>
          <w:szCs w:val="22"/>
        </w:rPr>
        <w:t xml:space="preserve"> </w:t>
      </w:r>
      <w:r>
        <w:rPr>
          <w:rFonts w:cs="Arial"/>
          <w:szCs w:val="22"/>
        </w:rPr>
        <w:t xml:space="preserve">term from Equation (9) is calculated for each </w:t>
      </w:r>
      <m:oMath>
        <m:r>
          <w:rPr>
            <w:rFonts w:ascii="Cambria Math" w:hAnsi="Cambria Math" w:cs="Arial"/>
            <w:szCs w:val="22"/>
          </w:rPr>
          <m:t>ij</m:t>
        </m:r>
      </m:oMath>
      <w:r>
        <w:rPr>
          <w:rFonts w:cs="Arial"/>
          <w:szCs w:val="22"/>
        </w:rPr>
        <w:t xml:space="preserve"> pair,. The </w:t>
      </w:r>
      <w:proofErr w:type="spellStart"/>
      <w:r>
        <w:rPr>
          <w:rFonts w:cs="Arial"/>
          <w:i/>
          <w:szCs w:val="22"/>
        </w:rPr>
        <w:t>logsum’s</w:t>
      </w:r>
      <w:proofErr w:type="spellEnd"/>
      <w:r>
        <w:rPr>
          <w:rFonts w:cs="Arial"/>
          <w:i/>
          <w:szCs w:val="22"/>
        </w:rPr>
        <w:t xml:space="preserve"> </w:t>
      </w:r>
      <w:r>
        <w:rPr>
          <w:rFonts w:cs="Arial"/>
          <w:szCs w:val="22"/>
        </w:rPr>
        <w:t>are considered as costs for the estimation of the dispersion parameters (</w:t>
      </w:r>
      <m:oMath>
        <m:sSub>
          <m:sSubPr>
            <m:ctrlPr>
              <w:rPr>
                <w:rFonts w:ascii="Cambria Math" w:hAnsi="Cambria Math" w:cs="Arial"/>
                <w:szCs w:val="22"/>
              </w:rPr>
            </m:ctrlPr>
          </m:sSubPr>
          <m:e>
            <m:r>
              <w:rPr>
                <w:rFonts w:ascii="Cambria Math" w:hAnsi="Cambria Math" w:cs="Arial"/>
                <w:szCs w:val="22"/>
              </w:rPr>
              <m:t>λ</m:t>
            </m:r>
          </m:e>
          <m:sub>
            <m:r>
              <w:rPr>
                <w:rFonts w:ascii="Cambria Math" w:hAnsi="Cambria Math" w:cs="Arial"/>
                <w:szCs w:val="22"/>
              </w:rPr>
              <m:t>n</m:t>
            </m:r>
          </m:sub>
        </m:sSub>
      </m:oMath>
      <w:r>
        <w:rPr>
          <w:rFonts w:cs="Arial"/>
          <w:szCs w:val="22"/>
        </w:rPr>
        <w:t xml:space="preserve">). </w:t>
      </w:r>
      <w:r w:rsidR="009E74D1">
        <w:rPr>
          <w:rFonts w:cs="Arial"/>
          <w:szCs w:val="22"/>
        </w:rPr>
        <w:t xml:space="preserve">The estimates and statistics obtained for origin choice are shown in </w:t>
      </w:r>
      <w:r w:rsidR="009E74D1">
        <w:rPr>
          <w:rFonts w:cs="Arial"/>
          <w:szCs w:val="22"/>
        </w:rPr>
        <w:fldChar w:fldCharType="begin"/>
      </w:r>
      <w:r w:rsidR="009E74D1">
        <w:rPr>
          <w:rFonts w:cs="Arial"/>
          <w:szCs w:val="22"/>
        </w:rPr>
        <w:instrText xml:space="preserve"> REF _Ref500522951 \h </w:instrText>
      </w:r>
      <w:r w:rsidR="009E74D1">
        <w:rPr>
          <w:rFonts w:cs="Arial"/>
          <w:szCs w:val="22"/>
        </w:rPr>
      </w:r>
      <w:r w:rsidR="009E74D1">
        <w:rPr>
          <w:rFonts w:cs="Arial"/>
          <w:szCs w:val="22"/>
        </w:rPr>
        <w:fldChar w:fldCharType="separate"/>
      </w:r>
      <w:r w:rsidR="007008EC">
        <w:t xml:space="preserve">Table </w:t>
      </w:r>
      <w:r w:rsidR="007008EC">
        <w:rPr>
          <w:noProof/>
        </w:rPr>
        <w:t>2</w:t>
      </w:r>
      <w:r w:rsidR="009E74D1">
        <w:rPr>
          <w:rFonts w:cs="Arial"/>
          <w:szCs w:val="22"/>
        </w:rPr>
        <w:fldChar w:fldCharType="end"/>
      </w:r>
      <w:r w:rsidR="009E74D1">
        <w:rPr>
          <w:rFonts w:cs="Arial"/>
          <w:szCs w:val="22"/>
        </w:rPr>
        <w:t>.</w:t>
      </w:r>
    </w:p>
    <w:p w14:paraId="213E2924" w14:textId="77777777" w:rsidR="009E74D1" w:rsidRDefault="009E74D1" w:rsidP="00AB6A60">
      <w:pPr>
        <w:jc w:val="both"/>
        <w:outlineLvl w:val="0"/>
        <w:rPr>
          <w:rFonts w:cs="Arial"/>
          <w:szCs w:val="22"/>
        </w:rPr>
      </w:pPr>
    </w:p>
    <w:p w14:paraId="35410136" w14:textId="77777777" w:rsidR="00B97A54" w:rsidRDefault="00B97A54" w:rsidP="00AB6A60">
      <w:pPr>
        <w:jc w:val="both"/>
        <w:outlineLvl w:val="0"/>
        <w:rPr>
          <w:rFonts w:cs="Arial"/>
          <w:szCs w:val="22"/>
        </w:rPr>
      </w:pPr>
    </w:p>
    <w:p w14:paraId="19D838E1" w14:textId="77777777" w:rsidR="00B97A54" w:rsidRDefault="00B97A54" w:rsidP="00AB6A60">
      <w:pPr>
        <w:jc w:val="both"/>
        <w:outlineLvl w:val="0"/>
        <w:rPr>
          <w:rFonts w:cs="Arial"/>
          <w:szCs w:val="22"/>
        </w:rPr>
      </w:pPr>
    </w:p>
    <w:p w14:paraId="170AD56D" w14:textId="77777777" w:rsidR="00B97A54" w:rsidRDefault="00B97A54" w:rsidP="00AB6A60">
      <w:pPr>
        <w:jc w:val="both"/>
        <w:outlineLvl w:val="0"/>
        <w:rPr>
          <w:rFonts w:cs="Arial"/>
          <w:szCs w:val="22"/>
        </w:rPr>
      </w:pPr>
    </w:p>
    <w:p w14:paraId="15AA673B" w14:textId="77777777" w:rsidR="00B97A54" w:rsidRDefault="00B97A54" w:rsidP="00AB6A60">
      <w:pPr>
        <w:jc w:val="both"/>
        <w:outlineLvl w:val="0"/>
        <w:rPr>
          <w:rFonts w:cs="Arial"/>
          <w:szCs w:val="22"/>
        </w:rPr>
      </w:pPr>
    </w:p>
    <w:p w14:paraId="4546F17D" w14:textId="77777777" w:rsidR="00B97A54" w:rsidRDefault="00B97A54" w:rsidP="00AB6A60">
      <w:pPr>
        <w:jc w:val="both"/>
        <w:outlineLvl w:val="0"/>
        <w:rPr>
          <w:rFonts w:cs="Arial"/>
          <w:szCs w:val="22"/>
        </w:rPr>
      </w:pPr>
    </w:p>
    <w:tbl>
      <w:tblPr>
        <w:tblStyle w:val="PlainTable2"/>
        <w:tblW w:w="5254" w:type="dxa"/>
        <w:jc w:val="center"/>
        <w:tblLook w:val="04A0" w:firstRow="1" w:lastRow="0" w:firstColumn="1" w:lastColumn="0" w:noHBand="0" w:noVBand="1"/>
      </w:tblPr>
      <w:tblGrid>
        <w:gridCol w:w="3261"/>
        <w:gridCol w:w="717"/>
        <w:gridCol w:w="1276"/>
      </w:tblGrid>
      <w:tr w:rsidR="00D73AEA" w:rsidRPr="009E74D1" w14:paraId="4290AFAF" w14:textId="77777777" w:rsidTr="00D73AEA">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8BD12AE" w14:textId="77777777" w:rsidR="00D73AEA" w:rsidRPr="000C10BB" w:rsidRDefault="00D73AEA" w:rsidP="009E74D1">
            <w:pPr>
              <w:widowControl/>
              <w:autoSpaceDE/>
              <w:autoSpaceDN/>
              <w:adjustRightInd/>
              <w:rPr>
                <w:rFonts w:cs="Arial"/>
                <w:color w:val="000000"/>
                <w:sz w:val="20"/>
                <w:szCs w:val="20"/>
                <w:lang w:eastAsia="en-NZ"/>
              </w:rPr>
            </w:pPr>
            <w:r w:rsidRPr="000C10BB">
              <w:rPr>
                <w:rFonts w:cs="Arial"/>
                <w:color w:val="000000"/>
                <w:sz w:val="20"/>
                <w:szCs w:val="20"/>
                <w:lang w:eastAsia="en-NZ"/>
              </w:rPr>
              <w:lastRenderedPageBreak/>
              <w:t>Sector</w:t>
            </w:r>
          </w:p>
        </w:tc>
        <w:tc>
          <w:tcPr>
            <w:tcW w:w="717" w:type="dxa"/>
            <w:noWrap/>
            <w:hideMark/>
          </w:tcPr>
          <w:p w14:paraId="38829DCA" w14:textId="77777777" w:rsidR="00D73AEA" w:rsidRPr="000C10BB" w:rsidRDefault="00722C0F" w:rsidP="009E74D1">
            <w:pPr>
              <w:widowControl/>
              <w:autoSpaceDE/>
              <w:autoSpaceDN/>
              <w:adjustRightInd/>
              <w:cnfStyle w:val="100000000000" w:firstRow="1" w:lastRow="0" w:firstColumn="0" w:lastColumn="0" w:oddVBand="0" w:evenVBand="0" w:oddHBand="0" w:evenHBand="0" w:firstRowFirstColumn="0" w:firstRowLastColumn="0" w:lastRowFirstColumn="0" w:lastRowLastColumn="0"/>
              <w:rPr>
                <w:rFonts w:cs="Arial"/>
                <w:color w:val="000000"/>
                <w:sz w:val="20"/>
                <w:szCs w:val="20"/>
                <w:lang w:eastAsia="en-NZ"/>
              </w:rPr>
            </w:pPr>
            <m:oMathPara>
              <m:oMath>
                <m:sSub>
                  <m:sSubPr>
                    <m:ctrlPr>
                      <w:rPr>
                        <w:rFonts w:ascii="Cambria Math" w:hAnsi="Cambria Math" w:cs="Arial"/>
                        <w:sz w:val="20"/>
                        <w:szCs w:val="20"/>
                      </w:rPr>
                    </m:ctrlPr>
                  </m:sSubPr>
                  <m:e>
                    <m:r>
                      <m:rPr>
                        <m:sty m:val="bi"/>
                      </m:rPr>
                      <w:rPr>
                        <w:rFonts w:ascii="Cambria Math" w:hAnsi="Cambria Math" w:cs="Arial"/>
                        <w:sz w:val="20"/>
                        <w:szCs w:val="20"/>
                      </w:rPr>
                      <m:t>λ</m:t>
                    </m:r>
                  </m:e>
                  <m:sub>
                    <m:r>
                      <m:rPr>
                        <m:sty m:val="bi"/>
                      </m:rPr>
                      <w:rPr>
                        <w:rFonts w:ascii="Cambria Math" w:hAnsi="Cambria Math" w:cs="Arial"/>
                        <w:sz w:val="20"/>
                        <w:szCs w:val="20"/>
                      </w:rPr>
                      <m:t>n</m:t>
                    </m:r>
                  </m:sub>
                </m:sSub>
              </m:oMath>
            </m:oMathPara>
          </w:p>
        </w:tc>
        <w:tc>
          <w:tcPr>
            <w:tcW w:w="1276" w:type="dxa"/>
            <w:noWrap/>
            <w:hideMark/>
          </w:tcPr>
          <w:p w14:paraId="4E0F788E" w14:textId="77777777" w:rsidR="00D73AEA" w:rsidRPr="000C10BB" w:rsidRDefault="00D73AEA" w:rsidP="009E74D1">
            <w:pPr>
              <w:widowControl/>
              <w:autoSpaceDE/>
              <w:autoSpaceDN/>
              <w:adjustRightInd/>
              <w:cnfStyle w:val="100000000000" w:firstRow="1" w:lastRow="0" w:firstColumn="0" w:lastColumn="0" w:oddVBand="0" w:evenVBand="0" w:oddHBand="0" w:evenHBand="0" w:firstRowFirstColumn="0" w:firstRowLastColumn="0" w:lastRowFirstColumn="0" w:lastRowLastColumn="0"/>
              <w:rPr>
                <w:rFonts w:cs="Arial"/>
                <w:color w:val="000000"/>
                <w:sz w:val="20"/>
                <w:szCs w:val="20"/>
                <w:lang w:eastAsia="en-NZ"/>
              </w:rPr>
            </w:pPr>
            <w:r w:rsidRPr="000C10BB">
              <w:rPr>
                <w:rFonts w:cs="Arial"/>
                <w:color w:val="000000"/>
                <w:sz w:val="20"/>
                <w:szCs w:val="20"/>
                <w:lang w:eastAsia="en-NZ"/>
              </w:rPr>
              <w:t>(R-square)</w:t>
            </w:r>
          </w:p>
        </w:tc>
      </w:tr>
      <w:tr w:rsidR="00D73AEA" w:rsidRPr="009E74D1" w14:paraId="36B170E5" w14:textId="77777777" w:rsidTr="00D73AE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3B0AD15" w14:textId="77777777" w:rsidR="00D73AEA" w:rsidRPr="000C10BB" w:rsidRDefault="00D73AEA" w:rsidP="009E74D1">
            <w:pPr>
              <w:widowControl/>
              <w:autoSpaceDE/>
              <w:autoSpaceDN/>
              <w:adjustRightInd/>
              <w:rPr>
                <w:rFonts w:cs="Arial"/>
                <w:b w:val="0"/>
                <w:color w:val="000000"/>
                <w:sz w:val="20"/>
                <w:szCs w:val="20"/>
                <w:lang w:eastAsia="en-NZ"/>
              </w:rPr>
            </w:pPr>
            <w:r w:rsidRPr="000C10BB">
              <w:rPr>
                <w:rFonts w:cs="Arial"/>
                <w:b w:val="0"/>
                <w:color w:val="000000"/>
                <w:sz w:val="20"/>
                <w:szCs w:val="20"/>
                <w:lang w:eastAsia="en-NZ"/>
              </w:rPr>
              <w:t>Milk</w:t>
            </w:r>
          </w:p>
        </w:tc>
        <w:tc>
          <w:tcPr>
            <w:tcW w:w="717" w:type="dxa"/>
            <w:noWrap/>
            <w:vAlign w:val="bottom"/>
            <w:hideMark/>
          </w:tcPr>
          <w:p w14:paraId="6BECD6AB" w14:textId="77777777" w:rsidR="00D73AEA" w:rsidRPr="000C10BB" w:rsidRDefault="00D73AEA" w:rsidP="009E74D1">
            <w:pPr>
              <w:widowControl/>
              <w:autoSpaceDE/>
              <w:autoSpaceDN/>
              <w:adjustRightInd/>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NZ"/>
              </w:rPr>
            </w:pPr>
            <w:r w:rsidRPr="000C10BB">
              <w:rPr>
                <w:rFonts w:cs="Arial"/>
                <w:color w:val="000000"/>
                <w:sz w:val="20"/>
                <w:szCs w:val="20"/>
              </w:rPr>
              <w:t>13.80</w:t>
            </w:r>
          </w:p>
        </w:tc>
        <w:tc>
          <w:tcPr>
            <w:tcW w:w="1276" w:type="dxa"/>
            <w:noWrap/>
            <w:vAlign w:val="bottom"/>
            <w:hideMark/>
          </w:tcPr>
          <w:p w14:paraId="71892DDD" w14:textId="77777777" w:rsidR="00D73AEA" w:rsidRPr="000C10BB" w:rsidRDefault="00D73AEA" w:rsidP="009E74D1">
            <w:pP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C10BB">
              <w:rPr>
                <w:rFonts w:cs="Arial"/>
                <w:color w:val="000000"/>
                <w:sz w:val="20"/>
                <w:szCs w:val="20"/>
              </w:rPr>
              <w:t>0.7304</w:t>
            </w:r>
          </w:p>
        </w:tc>
      </w:tr>
      <w:tr w:rsidR="00D73AEA" w:rsidRPr="009E74D1" w14:paraId="6ADA1733" w14:textId="77777777" w:rsidTr="00D73AEA">
        <w:trPr>
          <w:trHeight w:val="288"/>
          <w:jc w:val="center"/>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044D389" w14:textId="77777777" w:rsidR="00D73AEA" w:rsidRPr="000C10BB" w:rsidRDefault="00D73AEA" w:rsidP="00C652A5">
            <w:pPr>
              <w:widowControl/>
              <w:autoSpaceDE/>
              <w:autoSpaceDN/>
              <w:adjustRightInd/>
              <w:rPr>
                <w:rFonts w:cs="Arial"/>
                <w:b w:val="0"/>
                <w:color w:val="000000"/>
                <w:sz w:val="20"/>
                <w:szCs w:val="20"/>
                <w:lang w:eastAsia="en-NZ"/>
              </w:rPr>
            </w:pPr>
            <w:r w:rsidRPr="000C10BB">
              <w:rPr>
                <w:rFonts w:cs="Arial"/>
                <w:b w:val="0"/>
                <w:color w:val="000000"/>
                <w:sz w:val="20"/>
                <w:szCs w:val="20"/>
                <w:lang w:eastAsia="en-NZ"/>
              </w:rPr>
              <w:t>Dairy products</w:t>
            </w:r>
          </w:p>
        </w:tc>
        <w:tc>
          <w:tcPr>
            <w:tcW w:w="717" w:type="dxa"/>
            <w:noWrap/>
            <w:vAlign w:val="bottom"/>
            <w:hideMark/>
          </w:tcPr>
          <w:p w14:paraId="7B742082" w14:textId="77777777" w:rsidR="00D73AEA" w:rsidRPr="000C10BB" w:rsidRDefault="00D73AEA" w:rsidP="009E74D1">
            <w:pP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C10BB">
              <w:rPr>
                <w:rFonts w:cs="Arial"/>
                <w:color w:val="000000"/>
                <w:sz w:val="20"/>
                <w:szCs w:val="20"/>
              </w:rPr>
              <w:t>6.28</w:t>
            </w:r>
          </w:p>
        </w:tc>
        <w:tc>
          <w:tcPr>
            <w:tcW w:w="1276" w:type="dxa"/>
            <w:noWrap/>
            <w:vAlign w:val="bottom"/>
            <w:hideMark/>
          </w:tcPr>
          <w:p w14:paraId="506C6E8E" w14:textId="77777777" w:rsidR="00D73AEA" w:rsidRPr="000C10BB" w:rsidRDefault="00D73AEA" w:rsidP="009E74D1">
            <w:pP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C10BB">
              <w:rPr>
                <w:rFonts w:cs="Arial"/>
                <w:color w:val="000000"/>
                <w:sz w:val="20"/>
                <w:szCs w:val="20"/>
              </w:rPr>
              <w:t>0.3955</w:t>
            </w:r>
          </w:p>
        </w:tc>
      </w:tr>
      <w:tr w:rsidR="00D73AEA" w:rsidRPr="009E74D1" w14:paraId="35A73866" w14:textId="77777777" w:rsidTr="00D73AE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BB8E2A8" w14:textId="77777777" w:rsidR="00D73AEA" w:rsidRPr="000C10BB" w:rsidRDefault="00D73AEA" w:rsidP="009E74D1">
            <w:pPr>
              <w:widowControl/>
              <w:autoSpaceDE/>
              <w:autoSpaceDN/>
              <w:adjustRightInd/>
              <w:rPr>
                <w:rFonts w:cs="Arial"/>
                <w:b w:val="0"/>
                <w:color w:val="000000"/>
                <w:sz w:val="20"/>
                <w:szCs w:val="20"/>
                <w:lang w:eastAsia="en-NZ"/>
              </w:rPr>
            </w:pPr>
            <w:r w:rsidRPr="000C10BB">
              <w:rPr>
                <w:rFonts w:cs="Arial"/>
                <w:b w:val="0"/>
                <w:color w:val="000000"/>
                <w:sz w:val="20"/>
                <w:szCs w:val="20"/>
                <w:lang w:eastAsia="en-NZ"/>
              </w:rPr>
              <w:t>Timber</w:t>
            </w:r>
          </w:p>
        </w:tc>
        <w:tc>
          <w:tcPr>
            <w:tcW w:w="717" w:type="dxa"/>
            <w:noWrap/>
            <w:vAlign w:val="bottom"/>
            <w:hideMark/>
          </w:tcPr>
          <w:p w14:paraId="0EDC2CDD" w14:textId="77777777" w:rsidR="00D73AEA" w:rsidRPr="000C10BB" w:rsidRDefault="00D73AEA" w:rsidP="009E74D1">
            <w:pP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C10BB">
              <w:rPr>
                <w:rFonts w:cs="Arial"/>
                <w:color w:val="000000"/>
                <w:sz w:val="20"/>
                <w:szCs w:val="20"/>
              </w:rPr>
              <w:t>10.00</w:t>
            </w:r>
          </w:p>
        </w:tc>
        <w:tc>
          <w:tcPr>
            <w:tcW w:w="1276" w:type="dxa"/>
            <w:noWrap/>
            <w:vAlign w:val="bottom"/>
            <w:hideMark/>
          </w:tcPr>
          <w:p w14:paraId="52522D78" w14:textId="77777777" w:rsidR="00D73AEA" w:rsidRPr="000C10BB" w:rsidRDefault="00D73AEA" w:rsidP="009E74D1">
            <w:pP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C10BB">
              <w:rPr>
                <w:rFonts w:cs="Arial"/>
                <w:color w:val="000000"/>
                <w:sz w:val="20"/>
                <w:szCs w:val="20"/>
              </w:rPr>
              <w:t>0.5952</w:t>
            </w:r>
          </w:p>
        </w:tc>
      </w:tr>
      <w:tr w:rsidR="00D73AEA" w:rsidRPr="009E74D1" w14:paraId="075DEBFB" w14:textId="77777777" w:rsidTr="00D73AEA">
        <w:trPr>
          <w:trHeight w:val="288"/>
          <w:jc w:val="center"/>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B2B78CB" w14:textId="77777777" w:rsidR="00D73AEA" w:rsidRPr="000C10BB" w:rsidRDefault="00D73AEA" w:rsidP="009E74D1">
            <w:pPr>
              <w:widowControl/>
              <w:autoSpaceDE/>
              <w:autoSpaceDN/>
              <w:adjustRightInd/>
              <w:rPr>
                <w:rFonts w:cs="Arial"/>
                <w:b w:val="0"/>
                <w:color w:val="000000"/>
                <w:sz w:val="20"/>
                <w:szCs w:val="20"/>
                <w:lang w:eastAsia="en-NZ"/>
              </w:rPr>
            </w:pPr>
            <w:r w:rsidRPr="000C10BB">
              <w:rPr>
                <w:rFonts w:cs="Arial"/>
                <w:b w:val="0"/>
                <w:color w:val="000000"/>
                <w:sz w:val="20"/>
                <w:szCs w:val="20"/>
                <w:lang w:eastAsia="en-NZ"/>
              </w:rPr>
              <w:t>Wood and paper</w:t>
            </w:r>
          </w:p>
        </w:tc>
        <w:tc>
          <w:tcPr>
            <w:tcW w:w="717" w:type="dxa"/>
            <w:noWrap/>
            <w:vAlign w:val="bottom"/>
            <w:hideMark/>
          </w:tcPr>
          <w:p w14:paraId="7DC5F87B" w14:textId="77777777" w:rsidR="00D73AEA" w:rsidRPr="000C10BB" w:rsidRDefault="00D73AEA" w:rsidP="009E74D1">
            <w:pP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C10BB">
              <w:rPr>
                <w:rFonts w:cs="Arial"/>
                <w:color w:val="000000"/>
                <w:sz w:val="20"/>
                <w:szCs w:val="20"/>
              </w:rPr>
              <w:t>2.47</w:t>
            </w:r>
          </w:p>
        </w:tc>
        <w:tc>
          <w:tcPr>
            <w:tcW w:w="1276" w:type="dxa"/>
            <w:noWrap/>
            <w:vAlign w:val="bottom"/>
            <w:hideMark/>
          </w:tcPr>
          <w:p w14:paraId="10758437" w14:textId="77777777" w:rsidR="00D73AEA" w:rsidRPr="000C10BB" w:rsidRDefault="00D73AEA" w:rsidP="009E74D1">
            <w:pP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C10BB">
              <w:rPr>
                <w:rFonts w:cs="Arial"/>
                <w:color w:val="000000"/>
                <w:sz w:val="20"/>
                <w:szCs w:val="20"/>
              </w:rPr>
              <w:t>0.1012</w:t>
            </w:r>
          </w:p>
        </w:tc>
      </w:tr>
      <w:tr w:rsidR="00D73AEA" w:rsidRPr="009E74D1" w14:paraId="69120B2E" w14:textId="77777777" w:rsidTr="00D73AE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9329FED" w14:textId="77777777" w:rsidR="00D73AEA" w:rsidRPr="000C10BB" w:rsidRDefault="00D73AEA" w:rsidP="009E74D1">
            <w:pPr>
              <w:widowControl/>
              <w:autoSpaceDE/>
              <w:autoSpaceDN/>
              <w:adjustRightInd/>
              <w:rPr>
                <w:rFonts w:cs="Arial"/>
                <w:b w:val="0"/>
                <w:color w:val="000000"/>
                <w:sz w:val="20"/>
                <w:szCs w:val="20"/>
                <w:lang w:eastAsia="en-NZ"/>
              </w:rPr>
            </w:pPr>
            <w:r w:rsidRPr="000C10BB">
              <w:rPr>
                <w:rFonts w:cs="Arial"/>
                <w:b w:val="0"/>
                <w:color w:val="000000"/>
                <w:sz w:val="20"/>
                <w:szCs w:val="20"/>
                <w:lang w:eastAsia="en-NZ"/>
              </w:rPr>
              <w:t>Livestock</w:t>
            </w:r>
          </w:p>
        </w:tc>
        <w:tc>
          <w:tcPr>
            <w:tcW w:w="717" w:type="dxa"/>
            <w:noWrap/>
            <w:vAlign w:val="bottom"/>
            <w:hideMark/>
          </w:tcPr>
          <w:p w14:paraId="662E1339" w14:textId="77777777" w:rsidR="00D73AEA" w:rsidRPr="000C10BB" w:rsidRDefault="00D73AEA" w:rsidP="009E74D1">
            <w:pP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C10BB">
              <w:rPr>
                <w:rFonts w:cs="Arial"/>
                <w:color w:val="000000"/>
                <w:sz w:val="20"/>
                <w:szCs w:val="20"/>
              </w:rPr>
              <w:t>6.63</w:t>
            </w:r>
          </w:p>
        </w:tc>
        <w:tc>
          <w:tcPr>
            <w:tcW w:w="1276" w:type="dxa"/>
            <w:noWrap/>
            <w:vAlign w:val="bottom"/>
            <w:hideMark/>
          </w:tcPr>
          <w:p w14:paraId="0D17E753" w14:textId="77777777" w:rsidR="00D73AEA" w:rsidRPr="000C10BB" w:rsidRDefault="00D73AEA" w:rsidP="009E74D1">
            <w:pP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C10BB">
              <w:rPr>
                <w:rFonts w:cs="Arial"/>
                <w:color w:val="000000"/>
                <w:sz w:val="20"/>
                <w:szCs w:val="20"/>
              </w:rPr>
              <w:t>0.4211</w:t>
            </w:r>
          </w:p>
        </w:tc>
      </w:tr>
      <w:tr w:rsidR="00D73AEA" w:rsidRPr="009E74D1" w14:paraId="24262041" w14:textId="77777777" w:rsidTr="00D73AEA">
        <w:trPr>
          <w:trHeight w:val="288"/>
          <w:jc w:val="center"/>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443CE1B" w14:textId="77777777" w:rsidR="00D73AEA" w:rsidRPr="000C10BB" w:rsidRDefault="00D73AEA" w:rsidP="009E74D1">
            <w:pPr>
              <w:widowControl/>
              <w:autoSpaceDE/>
              <w:autoSpaceDN/>
              <w:adjustRightInd/>
              <w:rPr>
                <w:rFonts w:cs="Arial"/>
                <w:b w:val="0"/>
                <w:color w:val="000000"/>
                <w:sz w:val="20"/>
                <w:szCs w:val="20"/>
                <w:lang w:eastAsia="en-NZ"/>
              </w:rPr>
            </w:pPr>
            <w:r w:rsidRPr="000C10BB">
              <w:rPr>
                <w:rFonts w:cs="Arial"/>
                <w:b w:val="0"/>
                <w:color w:val="000000"/>
                <w:sz w:val="20"/>
                <w:szCs w:val="20"/>
                <w:lang w:eastAsia="en-NZ"/>
              </w:rPr>
              <w:t>Meat</w:t>
            </w:r>
          </w:p>
        </w:tc>
        <w:tc>
          <w:tcPr>
            <w:tcW w:w="717" w:type="dxa"/>
            <w:noWrap/>
            <w:vAlign w:val="bottom"/>
            <w:hideMark/>
          </w:tcPr>
          <w:p w14:paraId="6846DF50" w14:textId="77777777" w:rsidR="00D73AEA" w:rsidRPr="000C10BB" w:rsidRDefault="00D73AEA" w:rsidP="009E74D1">
            <w:pP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C10BB">
              <w:rPr>
                <w:rFonts w:cs="Arial"/>
                <w:color w:val="000000"/>
                <w:sz w:val="20"/>
                <w:szCs w:val="20"/>
              </w:rPr>
              <w:t>14.74</w:t>
            </w:r>
          </w:p>
        </w:tc>
        <w:tc>
          <w:tcPr>
            <w:tcW w:w="1276" w:type="dxa"/>
            <w:noWrap/>
            <w:vAlign w:val="bottom"/>
            <w:hideMark/>
          </w:tcPr>
          <w:p w14:paraId="37B13409" w14:textId="77777777" w:rsidR="00D73AEA" w:rsidRPr="000C10BB" w:rsidRDefault="00D73AEA" w:rsidP="009E74D1">
            <w:pP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C10BB">
              <w:rPr>
                <w:rFonts w:cs="Arial"/>
                <w:color w:val="000000"/>
                <w:sz w:val="20"/>
                <w:szCs w:val="20"/>
              </w:rPr>
              <w:t>0.7387</w:t>
            </w:r>
          </w:p>
        </w:tc>
      </w:tr>
      <w:tr w:rsidR="00D73AEA" w:rsidRPr="009E74D1" w14:paraId="123E12CC" w14:textId="77777777" w:rsidTr="00D73AE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5B02611" w14:textId="77777777" w:rsidR="00D73AEA" w:rsidRPr="000C10BB" w:rsidRDefault="00D73AEA" w:rsidP="009E74D1">
            <w:pPr>
              <w:widowControl/>
              <w:autoSpaceDE/>
              <w:autoSpaceDN/>
              <w:adjustRightInd/>
              <w:rPr>
                <w:rFonts w:cs="Arial"/>
                <w:b w:val="0"/>
                <w:color w:val="000000"/>
                <w:sz w:val="20"/>
                <w:szCs w:val="20"/>
                <w:lang w:eastAsia="en-NZ"/>
              </w:rPr>
            </w:pPr>
            <w:r w:rsidRPr="000C10BB">
              <w:rPr>
                <w:rFonts w:cs="Arial"/>
                <w:b w:val="0"/>
                <w:color w:val="000000"/>
                <w:sz w:val="20"/>
                <w:szCs w:val="20"/>
                <w:lang w:eastAsia="en-NZ"/>
              </w:rPr>
              <w:t>Horticulture</w:t>
            </w:r>
          </w:p>
        </w:tc>
        <w:tc>
          <w:tcPr>
            <w:tcW w:w="717" w:type="dxa"/>
            <w:noWrap/>
            <w:vAlign w:val="bottom"/>
            <w:hideMark/>
          </w:tcPr>
          <w:p w14:paraId="31B14CD1" w14:textId="77777777" w:rsidR="00D73AEA" w:rsidRPr="000C10BB" w:rsidRDefault="00D73AEA" w:rsidP="009E74D1">
            <w:pP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C10BB">
              <w:rPr>
                <w:rFonts w:cs="Arial"/>
                <w:color w:val="000000"/>
                <w:sz w:val="20"/>
                <w:szCs w:val="20"/>
              </w:rPr>
              <w:t>11.66</w:t>
            </w:r>
          </w:p>
        </w:tc>
        <w:tc>
          <w:tcPr>
            <w:tcW w:w="1276" w:type="dxa"/>
            <w:noWrap/>
            <w:vAlign w:val="bottom"/>
            <w:hideMark/>
          </w:tcPr>
          <w:p w14:paraId="256441D3" w14:textId="77777777" w:rsidR="00D73AEA" w:rsidRPr="000C10BB" w:rsidRDefault="00D73AEA" w:rsidP="009E74D1">
            <w:pP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C10BB">
              <w:rPr>
                <w:rFonts w:cs="Arial"/>
                <w:color w:val="000000"/>
                <w:sz w:val="20"/>
                <w:szCs w:val="20"/>
              </w:rPr>
              <w:t>0.6474</w:t>
            </w:r>
          </w:p>
        </w:tc>
      </w:tr>
      <w:tr w:rsidR="00D73AEA" w:rsidRPr="009E74D1" w14:paraId="322A43C9" w14:textId="77777777" w:rsidTr="00D73AEA">
        <w:trPr>
          <w:trHeight w:val="288"/>
          <w:jc w:val="center"/>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263D919" w14:textId="77777777" w:rsidR="00D73AEA" w:rsidRPr="000C10BB" w:rsidRDefault="00D73AEA" w:rsidP="00C652A5">
            <w:pPr>
              <w:widowControl/>
              <w:autoSpaceDE/>
              <w:autoSpaceDN/>
              <w:adjustRightInd/>
              <w:rPr>
                <w:rFonts w:cs="Arial"/>
                <w:b w:val="0"/>
                <w:color w:val="000000"/>
                <w:sz w:val="20"/>
                <w:szCs w:val="20"/>
                <w:lang w:eastAsia="en-NZ"/>
              </w:rPr>
            </w:pPr>
            <w:r w:rsidRPr="000C10BB">
              <w:rPr>
                <w:rFonts w:cs="Arial"/>
                <w:b w:val="0"/>
                <w:color w:val="000000"/>
                <w:sz w:val="20"/>
                <w:szCs w:val="20"/>
                <w:lang w:eastAsia="en-NZ"/>
              </w:rPr>
              <w:t>Other agriculture (grain)</w:t>
            </w:r>
          </w:p>
        </w:tc>
        <w:tc>
          <w:tcPr>
            <w:tcW w:w="717" w:type="dxa"/>
            <w:noWrap/>
            <w:vAlign w:val="bottom"/>
            <w:hideMark/>
          </w:tcPr>
          <w:p w14:paraId="7B8C8EBD" w14:textId="77777777" w:rsidR="00D73AEA" w:rsidRPr="000C10BB" w:rsidRDefault="00D73AEA" w:rsidP="009E74D1">
            <w:pP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C10BB">
              <w:rPr>
                <w:rFonts w:cs="Arial"/>
                <w:color w:val="000000"/>
                <w:sz w:val="20"/>
                <w:szCs w:val="20"/>
              </w:rPr>
              <w:t>4.25</w:t>
            </w:r>
          </w:p>
        </w:tc>
        <w:tc>
          <w:tcPr>
            <w:tcW w:w="1276" w:type="dxa"/>
            <w:noWrap/>
            <w:vAlign w:val="bottom"/>
            <w:hideMark/>
          </w:tcPr>
          <w:p w14:paraId="4FCE233A" w14:textId="77777777" w:rsidR="00D73AEA" w:rsidRPr="000C10BB" w:rsidRDefault="00D73AEA" w:rsidP="009E74D1">
            <w:pP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C10BB">
              <w:rPr>
                <w:rFonts w:cs="Arial"/>
                <w:color w:val="000000"/>
                <w:sz w:val="20"/>
                <w:szCs w:val="20"/>
              </w:rPr>
              <w:t>0.2459</w:t>
            </w:r>
          </w:p>
        </w:tc>
      </w:tr>
      <w:tr w:rsidR="00D73AEA" w:rsidRPr="009E74D1" w14:paraId="5E3C9E5F" w14:textId="77777777" w:rsidTr="00D73AE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A773616" w14:textId="77777777" w:rsidR="00D73AEA" w:rsidRPr="000C10BB" w:rsidRDefault="00D73AEA" w:rsidP="009E74D1">
            <w:pPr>
              <w:widowControl/>
              <w:autoSpaceDE/>
              <w:autoSpaceDN/>
              <w:adjustRightInd/>
              <w:rPr>
                <w:rFonts w:cs="Arial"/>
                <w:b w:val="0"/>
                <w:color w:val="000000"/>
                <w:sz w:val="20"/>
                <w:szCs w:val="20"/>
                <w:lang w:eastAsia="en-NZ"/>
              </w:rPr>
            </w:pPr>
            <w:r w:rsidRPr="000C10BB">
              <w:rPr>
                <w:rFonts w:cs="Arial"/>
                <w:b w:val="0"/>
                <w:color w:val="000000"/>
                <w:sz w:val="20"/>
                <w:szCs w:val="20"/>
                <w:lang w:eastAsia="en-NZ"/>
              </w:rPr>
              <w:t>Wool</w:t>
            </w:r>
          </w:p>
        </w:tc>
        <w:tc>
          <w:tcPr>
            <w:tcW w:w="717" w:type="dxa"/>
            <w:noWrap/>
            <w:vAlign w:val="bottom"/>
            <w:hideMark/>
          </w:tcPr>
          <w:p w14:paraId="6A62A914" w14:textId="77777777" w:rsidR="00D73AEA" w:rsidRPr="000C10BB" w:rsidRDefault="00D73AEA" w:rsidP="009E74D1">
            <w:pP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C10BB">
              <w:rPr>
                <w:rFonts w:cs="Arial"/>
                <w:color w:val="000000"/>
                <w:sz w:val="20"/>
                <w:szCs w:val="20"/>
              </w:rPr>
              <w:t>2.14</w:t>
            </w:r>
          </w:p>
        </w:tc>
        <w:tc>
          <w:tcPr>
            <w:tcW w:w="1276" w:type="dxa"/>
            <w:noWrap/>
            <w:vAlign w:val="bottom"/>
            <w:hideMark/>
          </w:tcPr>
          <w:p w14:paraId="44ADE525" w14:textId="77777777" w:rsidR="00D73AEA" w:rsidRPr="000C10BB" w:rsidRDefault="00D73AEA" w:rsidP="009E74D1">
            <w:pP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C10BB">
              <w:rPr>
                <w:rFonts w:cs="Arial"/>
                <w:color w:val="000000"/>
                <w:sz w:val="20"/>
                <w:szCs w:val="20"/>
              </w:rPr>
              <w:t>0.0856</w:t>
            </w:r>
          </w:p>
        </w:tc>
      </w:tr>
      <w:tr w:rsidR="00D73AEA" w:rsidRPr="009E74D1" w14:paraId="11E42F8F" w14:textId="77777777" w:rsidTr="00D73AEA">
        <w:trPr>
          <w:trHeight w:val="288"/>
          <w:jc w:val="center"/>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6948BDC" w14:textId="77777777" w:rsidR="00D73AEA" w:rsidRPr="000C10BB" w:rsidRDefault="00D73AEA" w:rsidP="009E74D1">
            <w:pPr>
              <w:widowControl/>
              <w:autoSpaceDE/>
              <w:autoSpaceDN/>
              <w:adjustRightInd/>
              <w:rPr>
                <w:rFonts w:cs="Arial"/>
                <w:b w:val="0"/>
                <w:color w:val="000000"/>
                <w:sz w:val="20"/>
                <w:szCs w:val="20"/>
                <w:lang w:eastAsia="en-NZ"/>
              </w:rPr>
            </w:pPr>
            <w:r w:rsidRPr="000C10BB">
              <w:rPr>
                <w:rFonts w:cs="Arial"/>
                <w:b w:val="0"/>
                <w:color w:val="000000"/>
                <w:sz w:val="20"/>
                <w:szCs w:val="20"/>
                <w:lang w:eastAsia="en-NZ"/>
              </w:rPr>
              <w:t>Fish</w:t>
            </w:r>
          </w:p>
        </w:tc>
        <w:tc>
          <w:tcPr>
            <w:tcW w:w="717" w:type="dxa"/>
            <w:noWrap/>
            <w:vAlign w:val="bottom"/>
            <w:hideMark/>
          </w:tcPr>
          <w:p w14:paraId="1BC65F99" w14:textId="77777777" w:rsidR="00D73AEA" w:rsidRPr="000C10BB" w:rsidRDefault="00D73AEA" w:rsidP="009E74D1">
            <w:pP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C10BB">
              <w:rPr>
                <w:rFonts w:cs="Arial"/>
                <w:color w:val="000000"/>
                <w:sz w:val="20"/>
                <w:szCs w:val="20"/>
              </w:rPr>
              <w:t>15.94</w:t>
            </w:r>
          </w:p>
        </w:tc>
        <w:tc>
          <w:tcPr>
            <w:tcW w:w="1276" w:type="dxa"/>
            <w:noWrap/>
            <w:vAlign w:val="bottom"/>
            <w:hideMark/>
          </w:tcPr>
          <w:p w14:paraId="691CD354" w14:textId="77777777" w:rsidR="00D73AEA" w:rsidRPr="000C10BB" w:rsidRDefault="00D73AEA" w:rsidP="009E74D1">
            <w:pP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C10BB">
              <w:rPr>
                <w:rFonts w:cs="Arial"/>
                <w:color w:val="000000"/>
                <w:sz w:val="20"/>
                <w:szCs w:val="20"/>
              </w:rPr>
              <w:t>0.7866</w:t>
            </w:r>
          </w:p>
        </w:tc>
      </w:tr>
      <w:tr w:rsidR="00D73AEA" w:rsidRPr="009E74D1" w14:paraId="428CD308" w14:textId="77777777" w:rsidTr="00D73AE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A0145F4" w14:textId="77777777" w:rsidR="00D73AEA" w:rsidRPr="000C10BB" w:rsidRDefault="00D73AEA" w:rsidP="009E74D1">
            <w:pPr>
              <w:widowControl/>
              <w:autoSpaceDE/>
              <w:autoSpaceDN/>
              <w:adjustRightInd/>
              <w:rPr>
                <w:rFonts w:cs="Arial"/>
                <w:b w:val="0"/>
                <w:color w:val="000000"/>
                <w:sz w:val="20"/>
                <w:szCs w:val="20"/>
                <w:lang w:eastAsia="en-NZ"/>
              </w:rPr>
            </w:pPr>
            <w:r w:rsidRPr="000C10BB">
              <w:rPr>
                <w:rFonts w:cs="Arial"/>
                <w:b w:val="0"/>
                <w:color w:val="000000"/>
                <w:sz w:val="20"/>
                <w:szCs w:val="20"/>
                <w:lang w:eastAsia="en-NZ"/>
              </w:rPr>
              <w:t>Coal</w:t>
            </w:r>
          </w:p>
        </w:tc>
        <w:tc>
          <w:tcPr>
            <w:tcW w:w="717" w:type="dxa"/>
            <w:noWrap/>
            <w:vAlign w:val="bottom"/>
            <w:hideMark/>
          </w:tcPr>
          <w:p w14:paraId="1DE5AD02" w14:textId="77777777" w:rsidR="00D73AEA" w:rsidRPr="000C10BB" w:rsidRDefault="00D73AEA" w:rsidP="009E74D1">
            <w:pP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C10BB">
              <w:rPr>
                <w:rFonts w:cs="Arial"/>
                <w:color w:val="000000"/>
                <w:sz w:val="20"/>
                <w:szCs w:val="20"/>
              </w:rPr>
              <w:t>6.12</w:t>
            </w:r>
          </w:p>
        </w:tc>
        <w:tc>
          <w:tcPr>
            <w:tcW w:w="1276" w:type="dxa"/>
            <w:noWrap/>
            <w:vAlign w:val="bottom"/>
            <w:hideMark/>
          </w:tcPr>
          <w:p w14:paraId="7EC0B92C" w14:textId="77777777" w:rsidR="00D73AEA" w:rsidRPr="000C10BB" w:rsidRDefault="00D73AEA" w:rsidP="009E74D1">
            <w:pP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C10BB">
              <w:rPr>
                <w:rFonts w:cs="Arial"/>
                <w:color w:val="000000"/>
                <w:sz w:val="20"/>
                <w:szCs w:val="20"/>
              </w:rPr>
              <w:t>0.4640</w:t>
            </w:r>
          </w:p>
        </w:tc>
      </w:tr>
      <w:tr w:rsidR="00D73AEA" w:rsidRPr="009E74D1" w14:paraId="1CCE64AA" w14:textId="77777777" w:rsidTr="00D73AEA">
        <w:trPr>
          <w:trHeight w:val="288"/>
          <w:jc w:val="center"/>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F88B219" w14:textId="77777777" w:rsidR="00D73AEA" w:rsidRPr="000C10BB" w:rsidRDefault="00D73AEA" w:rsidP="009E74D1">
            <w:pPr>
              <w:widowControl/>
              <w:autoSpaceDE/>
              <w:autoSpaceDN/>
              <w:adjustRightInd/>
              <w:rPr>
                <w:rFonts w:cs="Arial"/>
                <w:b w:val="0"/>
                <w:color w:val="000000"/>
                <w:sz w:val="20"/>
                <w:szCs w:val="20"/>
                <w:lang w:eastAsia="en-NZ"/>
              </w:rPr>
            </w:pPr>
            <w:r w:rsidRPr="000C10BB">
              <w:rPr>
                <w:rFonts w:cs="Arial"/>
                <w:b w:val="0"/>
                <w:color w:val="000000"/>
                <w:sz w:val="20"/>
                <w:szCs w:val="20"/>
                <w:lang w:eastAsia="en-NZ"/>
              </w:rPr>
              <w:t>Petroleum</w:t>
            </w:r>
          </w:p>
        </w:tc>
        <w:tc>
          <w:tcPr>
            <w:tcW w:w="717" w:type="dxa"/>
            <w:noWrap/>
            <w:vAlign w:val="bottom"/>
            <w:hideMark/>
          </w:tcPr>
          <w:p w14:paraId="2A253AE8" w14:textId="77777777" w:rsidR="00D73AEA" w:rsidRPr="000C10BB" w:rsidRDefault="00D73AEA" w:rsidP="009E74D1">
            <w:pP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C10BB">
              <w:rPr>
                <w:rFonts w:cs="Arial"/>
                <w:color w:val="000000"/>
                <w:sz w:val="20"/>
                <w:szCs w:val="20"/>
              </w:rPr>
              <w:t>3.06</w:t>
            </w:r>
          </w:p>
        </w:tc>
        <w:tc>
          <w:tcPr>
            <w:tcW w:w="1276" w:type="dxa"/>
            <w:noWrap/>
            <w:vAlign w:val="bottom"/>
            <w:hideMark/>
          </w:tcPr>
          <w:p w14:paraId="622411DE" w14:textId="77777777" w:rsidR="00D73AEA" w:rsidRPr="000C10BB" w:rsidRDefault="00D73AEA" w:rsidP="009E74D1">
            <w:pP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C10BB">
              <w:rPr>
                <w:rFonts w:cs="Arial"/>
                <w:color w:val="000000"/>
                <w:sz w:val="20"/>
                <w:szCs w:val="20"/>
              </w:rPr>
              <w:t>0.1474</w:t>
            </w:r>
          </w:p>
        </w:tc>
      </w:tr>
      <w:tr w:rsidR="00D73AEA" w:rsidRPr="009E74D1" w14:paraId="19F5745E" w14:textId="77777777" w:rsidTr="00D73AE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4F8A0A1" w14:textId="77777777" w:rsidR="00D73AEA" w:rsidRPr="000C10BB" w:rsidRDefault="00D73AEA" w:rsidP="009E74D1">
            <w:pPr>
              <w:widowControl/>
              <w:autoSpaceDE/>
              <w:autoSpaceDN/>
              <w:adjustRightInd/>
              <w:rPr>
                <w:rFonts w:cs="Arial"/>
                <w:b w:val="0"/>
                <w:color w:val="000000"/>
                <w:sz w:val="20"/>
                <w:szCs w:val="20"/>
                <w:lang w:eastAsia="en-NZ"/>
              </w:rPr>
            </w:pPr>
            <w:r w:rsidRPr="000C10BB">
              <w:rPr>
                <w:rFonts w:cs="Arial"/>
                <w:b w:val="0"/>
                <w:color w:val="000000"/>
                <w:sz w:val="20"/>
                <w:szCs w:val="20"/>
                <w:lang w:eastAsia="en-NZ"/>
              </w:rPr>
              <w:t>Aggregate</w:t>
            </w:r>
          </w:p>
        </w:tc>
        <w:tc>
          <w:tcPr>
            <w:tcW w:w="717" w:type="dxa"/>
            <w:noWrap/>
            <w:vAlign w:val="bottom"/>
            <w:hideMark/>
          </w:tcPr>
          <w:p w14:paraId="41371648" w14:textId="77777777" w:rsidR="00D73AEA" w:rsidRPr="000C10BB" w:rsidRDefault="00D73AEA" w:rsidP="009E74D1">
            <w:pP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C10BB">
              <w:rPr>
                <w:rFonts w:cs="Arial"/>
                <w:color w:val="000000"/>
                <w:sz w:val="20"/>
                <w:szCs w:val="20"/>
              </w:rPr>
              <w:t>11.40</w:t>
            </w:r>
          </w:p>
        </w:tc>
        <w:tc>
          <w:tcPr>
            <w:tcW w:w="1276" w:type="dxa"/>
            <w:noWrap/>
            <w:vAlign w:val="bottom"/>
            <w:hideMark/>
          </w:tcPr>
          <w:p w14:paraId="3E59E6BB" w14:textId="77777777" w:rsidR="00D73AEA" w:rsidRPr="000C10BB" w:rsidRDefault="00D73AEA" w:rsidP="009E74D1">
            <w:pP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C10BB">
              <w:rPr>
                <w:rFonts w:cs="Arial"/>
                <w:color w:val="000000"/>
                <w:sz w:val="20"/>
                <w:szCs w:val="20"/>
              </w:rPr>
              <w:t>0.6486</w:t>
            </w:r>
          </w:p>
        </w:tc>
      </w:tr>
      <w:tr w:rsidR="00D73AEA" w:rsidRPr="009E74D1" w14:paraId="563166F7" w14:textId="77777777" w:rsidTr="00D73AEA">
        <w:trPr>
          <w:trHeight w:val="288"/>
          <w:jc w:val="center"/>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87E0B38" w14:textId="77777777" w:rsidR="00D73AEA" w:rsidRPr="000C10BB" w:rsidRDefault="00D73AEA" w:rsidP="00C652A5">
            <w:pPr>
              <w:widowControl/>
              <w:autoSpaceDE/>
              <w:autoSpaceDN/>
              <w:adjustRightInd/>
              <w:rPr>
                <w:rFonts w:cs="Arial"/>
                <w:b w:val="0"/>
                <w:color w:val="000000"/>
                <w:sz w:val="20"/>
                <w:szCs w:val="20"/>
                <w:lang w:eastAsia="en-NZ"/>
              </w:rPr>
            </w:pPr>
            <w:r w:rsidRPr="000C10BB">
              <w:rPr>
                <w:rFonts w:cs="Arial"/>
                <w:b w:val="0"/>
                <w:color w:val="000000"/>
                <w:sz w:val="20"/>
                <w:szCs w:val="20"/>
                <w:lang w:eastAsia="en-NZ"/>
              </w:rPr>
              <w:t>Limestone, cement and concrete</w:t>
            </w:r>
          </w:p>
        </w:tc>
        <w:tc>
          <w:tcPr>
            <w:tcW w:w="717" w:type="dxa"/>
            <w:noWrap/>
            <w:vAlign w:val="bottom"/>
            <w:hideMark/>
          </w:tcPr>
          <w:p w14:paraId="168151B7" w14:textId="77777777" w:rsidR="00D73AEA" w:rsidRPr="000C10BB" w:rsidRDefault="00D73AEA" w:rsidP="009E74D1">
            <w:pP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C10BB">
              <w:rPr>
                <w:rFonts w:cs="Arial"/>
                <w:color w:val="000000"/>
                <w:sz w:val="20"/>
                <w:szCs w:val="20"/>
              </w:rPr>
              <w:t>9.99</w:t>
            </w:r>
          </w:p>
        </w:tc>
        <w:tc>
          <w:tcPr>
            <w:tcW w:w="1276" w:type="dxa"/>
            <w:noWrap/>
            <w:vAlign w:val="bottom"/>
            <w:hideMark/>
          </w:tcPr>
          <w:p w14:paraId="03EA7FB1" w14:textId="77777777" w:rsidR="00D73AEA" w:rsidRPr="000C10BB" w:rsidRDefault="00D73AEA" w:rsidP="009E74D1">
            <w:pP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C10BB">
              <w:rPr>
                <w:rFonts w:cs="Arial"/>
                <w:color w:val="000000"/>
                <w:sz w:val="20"/>
                <w:szCs w:val="20"/>
              </w:rPr>
              <w:t>0.5941</w:t>
            </w:r>
          </w:p>
        </w:tc>
      </w:tr>
      <w:tr w:rsidR="00D73AEA" w:rsidRPr="009E74D1" w14:paraId="75C68882" w14:textId="77777777" w:rsidTr="00D73AE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047FE60" w14:textId="77777777" w:rsidR="00D73AEA" w:rsidRPr="000C10BB" w:rsidRDefault="00D73AEA" w:rsidP="00C652A5">
            <w:pPr>
              <w:widowControl/>
              <w:autoSpaceDE/>
              <w:autoSpaceDN/>
              <w:adjustRightInd/>
              <w:rPr>
                <w:rFonts w:cs="Arial"/>
                <w:b w:val="0"/>
                <w:color w:val="000000"/>
                <w:sz w:val="20"/>
                <w:szCs w:val="20"/>
                <w:lang w:eastAsia="en-NZ"/>
              </w:rPr>
            </w:pPr>
            <w:r w:rsidRPr="000C10BB">
              <w:rPr>
                <w:rFonts w:cs="Arial"/>
                <w:b w:val="0"/>
                <w:color w:val="000000"/>
                <w:sz w:val="20"/>
                <w:szCs w:val="20"/>
                <w:lang w:eastAsia="en-NZ"/>
              </w:rPr>
              <w:t>Steel and aluminium</w:t>
            </w:r>
          </w:p>
        </w:tc>
        <w:tc>
          <w:tcPr>
            <w:tcW w:w="717" w:type="dxa"/>
            <w:noWrap/>
            <w:vAlign w:val="bottom"/>
            <w:hideMark/>
          </w:tcPr>
          <w:p w14:paraId="24F69141" w14:textId="77777777" w:rsidR="00D73AEA" w:rsidRPr="000C10BB" w:rsidRDefault="00D73AEA" w:rsidP="009E74D1">
            <w:pP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C10BB">
              <w:rPr>
                <w:rFonts w:cs="Arial"/>
                <w:color w:val="000000"/>
                <w:sz w:val="20"/>
                <w:szCs w:val="20"/>
              </w:rPr>
              <w:t>4.62</w:t>
            </w:r>
          </w:p>
        </w:tc>
        <w:tc>
          <w:tcPr>
            <w:tcW w:w="1276" w:type="dxa"/>
            <w:noWrap/>
            <w:vAlign w:val="bottom"/>
            <w:hideMark/>
          </w:tcPr>
          <w:p w14:paraId="04C7885A" w14:textId="77777777" w:rsidR="00D73AEA" w:rsidRPr="000C10BB" w:rsidRDefault="00D73AEA" w:rsidP="009E74D1">
            <w:pP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C10BB">
              <w:rPr>
                <w:rFonts w:cs="Arial"/>
                <w:color w:val="000000"/>
                <w:sz w:val="20"/>
                <w:szCs w:val="20"/>
              </w:rPr>
              <w:t>0.2688</w:t>
            </w:r>
          </w:p>
        </w:tc>
      </w:tr>
      <w:tr w:rsidR="00D73AEA" w:rsidRPr="009E74D1" w14:paraId="3FAED67F" w14:textId="77777777" w:rsidTr="00D73AEA">
        <w:trPr>
          <w:trHeight w:val="288"/>
          <w:jc w:val="center"/>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C6FDCAF" w14:textId="77777777" w:rsidR="00D73AEA" w:rsidRPr="000C10BB" w:rsidRDefault="00D73AEA" w:rsidP="00C652A5">
            <w:pPr>
              <w:widowControl/>
              <w:autoSpaceDE/>
              <w:autoSpaceDN/>
              <w:adjustRightInd/>
              <w:rPr>
                <w:rFonts w:cs="Arial"/>
                <w:b w:val="0"/>
                <w:color w:val="000000"/>
                <w:sz w:val="20"/>
                <w:szCs w:val="20"/>
                <w:lang w:eastAsia="en-NZ"/>
              </w:rPr>
            </w:pPr>
            <w:r w:rsidRPr="000C10BB">
              <w:rPr>
                <w:rFonts w:cs="Arial"/>
                <w:b w:val="0"/>
                <w:color w:val="000000"/>
                <w:sz w:val="20"/>
                <w:szCs w:val="20"/>
                <w:lang w:eastAsia="en-NZ"/>
              </w:rPr>
              <w:t>Manufactured goods</w:t>
            </w:r>
          </w:p>
        </w:tc>
        <w:tc>
          <w:tcPr>
            <w:tcW w:w="717" w:type="dxa"/>
            <w:noWrap/>
            <w:vAlign w:val="bottom"/>
            <w:hideMark/>
          </w:tcPr>
          <w:p w14:paraId="4A721059" w14:textId="77777777" w:rsidR="00D73AEA" w:rsidRPr="000C10BB" w:rsidRDefault="00D73AEA" w:rsidP="009E74D1">
            <w:pP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C10BB">
              <w:rPr>
                <w:rFonts w:cs="Arial"/>
                <w:color w:val="000000"/>
                <w:sz w:val="20"/>
                <w:szCs w:val="20"/>
              </w:rPr>
              <w:t>2.96</w:t>
            </w:r>
          </w:p>
        </w:tc>
        <w:tc>
          <w:tcPr>
            <w:tcW w:w="1276" w:type="dxa"/>
            <w:noWrap/>
            <w:vAlign w:val="bottom"/>
            <w:hideMark/>
          </w:tcPr>
          <w:p w14:paraId="6F26D463" w14:textId="77777777" w:rsidR="00D73AEA" w:rsidRPr="000C10BB" w:rsidRDefault="00D73AEA" w:rsidP="009E74D1">
            <w:pP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C10BB">
              <w:rPr>
                <w:rFonts w:cs="Arial"/>
                <w:color w:val="000000"/>
                <w:sz w:val="20"/>
                <w:szCs w:val="20"/>
              </w:rPr>
              <w:t>0.1394</w:t>
            </w:r>
          </w:p>
        </w:tc>
      </w:tr>
      <w:tr w:rsidR="00D73AEA" w:rsidRPr="009E74D1" w14:paraId="205F4302" w14:textId="77777777" w:rsidTr="00D73AE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1679BC8" w14:textId="77777777" w:rsidR="00D73AEA" w:rsidRPr="000C10BB" w:rsidRDefault="00D73AEA" w:rsidP="009E74D1">
            <w:pPr>
              <w:widowControl/>
              <w:autoSpaceDE/>
              <w:autoSpaceDN/>
              <w:adjustRightInd/>
              <w:rPr>
                <w:rFonts w:cs="Arial"/>
                <w:b w:val="0"/>
                <w:color w:val="000000"/>
                <w:sz w:val="20"/>
                <w:szCs w:val="20"/>
                <w:lang w:eastAsia="en-NZ"/>
              </w:rPr>
            </w:pPr>
            <w:r w:rsidRPr="000C10BB">
              <w:rPr>
                <w:rFonts w:cs="Arial"/>
                <w:b w:val="0"/>
                <w:color w:val="000000"/>
                <w:sz w:val="20"/>
                <w:szCs w:val="20"/>
                <w:lang w:eastAsia="en-NZ"/>
              </w:rPr>
              <w:t>Supermarket</w:t>
            </w:r>
          </w:p>
        </w:tc>
        <w:tc>
          <w:tcPr>
            <w:tcW w:w="717" w:type="dxa"/>
            <w:noWrap/>
            <w:vAlign w:val="bottom"/>
            <w:hideMark/>
          </w:tcPr>
          <w:p w14:paraId="6ED012BB" w14:textId="77777777" w:rsidR="00D73AEA" w:rsidRPr="000C10BB" w:rsidRDefault="00D73AEA" w:rsidP="009E74D1">
            <w:pP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C10BB">
              <w:rPr>
                <w:rFonts w:cs="Arial"/>
                <w:color w:val="000000"/>
                <w:sz w:val="20"/>
                <w:szCs w:val="20"/>
              </w:rPr>
              <w:t>3.54</w:t>
            </w:r>
          </w:p>
        </w:tc>
        <w:tc>
          <w:tcPr>
            <w:tcW w:w="1276" w:type="dxa"/>
            <w:noWrap/>
            <w:vAlign w:val="bottom"/>
            <w:hideMark/>
          </w:tcPr>
          <w:p w14:paraId="1C8B2035" w14:textId="77777777" w:rsidR="00D73AEA" w:rsidRPr="000C10BB" w:rsidRDefault="00D73AEA" w:rsidP="009E74D1">
            <w:pP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C10BB">
              <w:rPr>
                <w:rFonts w:cs="Arial"/>
                <w:color w:val="000000"/>
                <w:sz w:val="20"/>
                <w:szCs w:val="20"/>
              </w:rPr>
              <w:t>0.1862</w:t>
            </w:r>
          </w:p>
        </w:tc>
      </w:tr>
      <w:tr w:rsidR="00D73AEA" w:rsidRPr="009E74D1" w14:paraId="7EAB236C" w14:textId="77777777" w:rsidTr="00D73AEA">
        <w:trPr>
          <w:trHeight w:val="288"/>
          <w:jc w:val="center"/>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19A6E96" w14:textId="77777777" w:rsidR="00D73AEA" w:rsidRPr="000C10BB" w:rsidRDefault="00D73AEA" w:rsidP="00C652A5">
            <w:pPr>
              <w:widowControl/>
              <w:autoSpaceDE/>
              <w:autoSpaceDN/>
              <w:adjustRightInd/>
              <w:rPr>
                <w:rFonts w:cs="Arial"/>
                <w:b w:val="0"/>
                <w:color w:val="000000"/>
                <w:sz w:val="20"/>
                <w:szCs w:val="20"/>
                <w:lang w:eastAsia="en-NZ"/>
              </w:rPr>
            </w:pPr>
            <w:r w:rsidRPr="000C10BB">
              <w:rPr>
                <w:rFonts w:cs="Arial"/>
                <w:b w:val="0"/>
                <w:color w:val="000000"/>
                <w:sz w:val="20"/>
                <w:szCs w:val="20"/>
                <w:lang w:eastAsia="en-NZ"/>
              </w:rPr>
              <w:t>Post, courier</w:t>
            </w:r>
          </w:p>
        </w:tc>
        <w:tc>
          <w:tcPr>
            <w:tcW w:w="717" w:type="dxa"/>
            <w:noWrap/>
            <w:vAlign w:val="bottom"/>
            <w:hideMark/>
          </w:tcPr>
          <w:p w14:paraId="1C910F37" w14:textId="77777777" w:rsidR="00D73AEA" w:rsidRPr="000C10BB" w:rsidRDefault="00D73AEA" w:rsidP="009E74D1">
            <w:pP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C10BB">
              <w:rPr>
                <w:rFonts w:cs="Arial"/>
                <w:color w:val="000000"/>
                <w:sz w:val="20"/>
                <w:szCs w:val="20"/>
              </w:rPr>
              <w:t>1.34</w:t>
            </w:r>
          </w:p>
        </w:tc>
        <w:tc>
          <w:tcPr>
            <w:tcW w:w="1276" w:type="dxa"/>
            <w:noWrap/>
            <w:vAlign w:val="bottom"/>
            <w:hideMark/>
          </w:tcPr>
          <w:p w14:paraId="472F5A61" w14:textId="77777777" w:rsidR="00D73AEA" w:rsidRPr="000C10BB" w:rsidRDefault="00D73AEA" w:rsidP="009E74D1">
            <w:pP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C10BB">
              <w:rPr>
                <w:rFonts w:cs="Arial"/>
                <w:color w:val="000000"/>
                <w:sz w:val="20"/>
                <w:szCs w:val="20"/>
              </w:rPr>
              <w:t>0.0321</w:t>
            </w:r>
          </w:p>
        </w:tc>
      </w:tr>
      <w:tr w:rsidR="00D73AEA" w:rsidRPr="009E74D1" w14:paraId="58A0A0C9" w14:textId="77777777" w:rsidTr="00D73AE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67AE936" w14:textId="77777777" w:rsidR="00D73AEA" w:rsidRPr="000C10BB" w:rsidRDefault="00D73AEA" w:rsidP="009E74D1">
            <w:pPr>
              <w:widowControl/>
              <w:autoSpaceDE/>
              <w:autoSpaceDN/>
              <w:adjustRightInd/>
              <w:rPr>
                <w:rFonts w:cs="Arial"/>
                <w:b w:val="0"/>
                <w:color w:val="000000"/>
                <w:sz w:val="20"/>
                <w:szCs w:val="20"/>
                <w:lang w:eastAsia="en-NZ"/>
              </w:rPr>
            </w:pPr>
            <w:r w:rsidRPr="000C10BB">
              <w:rPr>
                <w:rFonts w:cs="Arial"/>
                <w:b w:val="0"/>
                <w:color w:val="000000"/>
                <w:sz w:val="20"/>
                <w:szCs w:val="20"/>
                <w:lang w:eastAsia="en-NZ"/>
              </w:rPr>
              <w:t>Imported cars</w:t>
            </w:r>
          </w:p>
        </w:tc>
        <w:tc>
          <w:tcPr>
            <w:tcW w:w="717" w:type="dxa"/>
            <w:noWrap/>
            <w:vAlign w:val="bottom"/>
            <w:hideMark/>
          </w:tcPr>
          <w:p w14:paraId="34518393" w14:textId="77777777" w:rsidR="00D73AEA" w:rsidRPr="000C10BB" w:rsidRDefault="00D73AEA" w:rsidP="009E74D1">
            <w:pP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C10BB">
              <w:rPr>
                <w:rFonts w:cs="Arial"/>
                <w:color w:val="000000"/>
                <w:sz w:val="20"/>
                <w:szCs w:val="20"/>
              </w:rPr>
              <w:t>4.76</w:t>
            </w:r>
          </w:p>
        </w:tc>
        <w:tc>
          <w:tcPr>
            <w:tcW w:w="1276" w:type="dxa"/>
            <w:noWrap/>
            <w:vAlign w:val="bottom"/>
            <w:hideMark/>
          </w:tcPr>
          <w:p w14:paraId="22F2D34B" w14:textId="77777777" w:rsidR="00D73AEA" w:rsidRPr="000C10BB" w:rsidRDefault="00D73AEA" w:rsidP="009E74D1">
            <w:pP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C10BB">
              <w:rPr>
                <w:rFonts w:cs="Arial"/>
                <w:color w:val="000000"/>
                <w:sz w:val="20"/>
                <w:szCs w:val="20"/>
              </w:rPr>
              <w:t>0.2504</w:t>
            </w:r>
          </w:p>
        </w:tc>
      </w:tr>
      <w:tr w:rsidR="00D73AEA" w:rsidRPr="009E74D1" w14:paraId="2A8AC6D3" w14:textId="77777777" w:rsidTr="00D73AEA">
        <w:trPr>
          <w:trHeight w:val="288"/>
          <w:jc w:val="center"/>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545363B" w14:textId="77777777" w:rsidR="00D73AEA" w:rsidRPr="000C10BB" w:rsidRDefault="00D73AEA" w:rsidP="00C652A5">
            <w:pPr>
              <w:widowControl/>
              <w:autoSpaceDE/>
              <w:autoSpaceDN/>
              <w:adjustRightInd/>
              <w:rPr>
                <w:rFonts w:cs="Arial"/>
                <w:b w:val="0"/>
                <w:color w:val="000000"/>
                <w:sz w:val="20"/>
                <w:szCs w:val="20"/>
                <w:lang w:eastAsia="en-NZ"/>
              </w:rPr>
            </w:pPr>
            <w:r w:rsidRPr="000C10BB">
              <w:rPr>
                <w:rFonts w:cs="Arial"/>
                <w:b w:val="0"/>
                <w:color w:val="000000"/>
                <w:sz w:val="20"/>
                <w:szCs w:val="20"/>
                <w:lang w:eastAsia="en-NZ"/>
              </w:rPr>
              <w:t>Other minerals</w:t>
            </w:r>
          </w:p>
        </w:tc>
        <w:tc>
          <w:tcPr>
            <w:tcW w:w="717" w:type="dxa"/>
            <w:noWrap/>
            <w:vAlign w:val="bottom"/>
            <w:hideMark/>
          </w:tcPr>
          <w:p w14:paraId="6B3E4EE5" w14:textId="77777777" w:rsidR="00D73AEA" w:rsidRPr="000C10BB" w:rsidRDefault="00D73AEA" w:rsidP="009E74D1">
            <w:pP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C10BB">
              <w:rPr>
                <w:rFonts w:cs="Arial"/>
                <w:color w:val="000000"/>
                <w:sz w:val="20"/>
                <w:szCs w:val="20"/>
              </w:rPr>
              <w:t>4.40</w:t>
            </w:r>
          </w:p>
        </w:tc>
        <w:tc>
          <w:tcPr>
            <w:tcW w:w="1276" w:type="dxa"/>
            <w:noWrap/>
            <w:vAlign w:val="bottom"/>
            <w:hideMark/>
          </w:tcPr>
          <w:p w14:paraId="66216774" w14:textId="77777777" w:rsidR="00D73AEA" w:rsidRPr="000C10BB" w:rsidRDefault="00D73AEA" w:rsidP="009E74D1">
            <w:pP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C10BB">
              <w:rPr>
                <w:rFonts w:cs="Arial"/>
                <w:color w:val="000000"/>
                <w:sz w:val="20"/>
                <w:szCs w:val="20"/>
              </w:rPr>
              <w:t>0.2604</w:t>
            </w:r>
          </w:p>
        </w:tc>
      </w:tr>
      <w:tr w:rsidR="00D73AEA" w:rsidRPr="009E74D1" w14:paraId="7DB7F29C" w14:textId="77777777" w:rsidTr="00D73AE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8FA65E5" w14:textId="77777777" w:rsidR="00D73AEA" w:rsidRPr="000C10BB" w:rsidRDefault="00D73AEA" w:rsidP="009E74D1">
            <w:pPr>
              <w:widowControl/>
              <w:autoSpaceDE/>
              <w:autoSpaceDN/>
              <w:adjustRightInd/>
              <w:rPr>
                <w:rFonts w:cs="Arial"/>
                <w:b w:val="0"/>
                <w:color w:val="000000"/>
                <w:sz w:val="20"/>
                <w:szCs w:val="20"/>
                <w:lang w:eastAsia="en-NZ"/>
              </w:rPr>
            </w:pPr>
            <w:r w:rsidRPr="000C10BB">
              <w:rPr>
                <w:rFonts w:cs="Arial"/>
                <w:b w:val="0"/>
                <w:color w:val="000000"/>
                <w:sz w:val="20"/>
                <w:szCs w:val="20"/>
                <w:lang w:eastAsia="en-NZ"/>
              </w:rPr>
              <w:t>Waste</w:t>
            </w:r>
          </w:p>
        </w:tc>
        <w:tc>
          <w:tcPr>
            <w:tcW w:w="717" w:type="dxa"/>
            <w:noWrap/>
            <w:vAlign w:val="bottom"/>
            <w:hideMark/>
          </w:tcPr>
          <w:p w14:paraId="2923C27B" w14:textId="77777777" w:rsidR="00D73AEA" w:rsidRPr="000C10BB" w:rsidRDefault="00D73AEA" w:rsidP="009E74D1">
            <w:pP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C10BB">
              <w:rPr>
                <w:rFonts w:cs="Arial"/>
                <w:color w:val="000000"/>
                <w:sz w:val="20"/>
                <w:szCs w:val="20"/>
              </w:rPr>
              <w:t>29.67</w:t>
            </w:r>
          </w:p>
        </w:tc>
        <w:tc>
          <w:tcPr>
            <w:tcW w:w="1276" w:type="dxa"/>
            <w:noWrap/>
            <w:vAlign w:val="bottom"/>
            <w:hideMark/>
          </w:tcPr>
          <w:p w14:paraId="0A9B2A71" w14:textId="77777777" w:rsidR="00D73AEA" w:rsidRPr="000C10BB" w:rsidRDefault="00D73AEA" w:rsidP="009E74D1">
            <w:pP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C10BB">
              <w:rPr>
                <w:rFonts w:cs="Arial"/>
                <w:color w:val="000000"/>
                <w:sz w:val="20"/>
                <w:szCs w:val="20"/>
              </w:rPr>
              <w:t>0.9338</w:t>
            </w:r>
          </w:p>
        </w:tc>
      </w:tr>
      <w:tr w:rsidR="00D73AEA" w:rsidRPr="009E74D1" w14:paraId="18E72C8C" w14:textId="77777777" w:rsidTr="00D73AEA">
        <w:trPr>
          <w:trHeight w:val="288"/>
          <w:jc w:val="center"/>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4E34868" w14:textId="7517896D" w:rsidR="00D73AEA" w:rsidRPr="000C10BB" w:rsidRDefault="00936AFC" w:rsidP="009E74D1">
            <w:pPr>
              <w:widowControl/>
              <w:autoSpaceDE/>
              <w:autoSpaceDN/>
              <w:adjustRightInd/>
              <w:rPr>
                <w:rFonts w:cs="Arial"/>
                <w:b w:val="0"/>
                <w:color w:val="000000"/>
                <w:sz w:val="20"/>
                <w:szCs w:val="20"/>
                <w:lang w:eastAsia="en-NZ"/>
              </w:rPr>
            </w:pPr>
            <w:r>
              <w:rPr>
                <w:rFonts w:cs="Arial"/>
                <w:b w:val="0"/>
                <w:color w:val="000000"/>
                <w:sz w:val="20"/>
                <w:szCs w:val="20"/>
                <w:lang w:eastAsia="en-NZ"/>
              </w:rPr>
              <w:t>S</w:t>
            </w:r>
            <w:r w:rsidR="00D73AEA" w:rsidRPr="000C10BB">
              <w:rPr>
                <w:rFonts w:cs="Arial"/>
                <w:b w:val="0"/>
                <w:color w:val="000000"/>
                <w:sz w:val="20"/>
                <w:szCs w:val="20"/>
                <w:lang w:eastAsia="en-NZ"/>
              </w:rPr>
              <w:t>ervices</w:t>
            </w:r>
          </w:p>
        </w:tc>
        <w:tc>
          <w:tcPr>
            <w:tcW w:w="717" w:type="dxa"/>
            <w:noWrap/>
            <w:vAlign w:val="bottom"/>
            <w:hideMark/>
          </w:tcPr>
          <w:p w14:paraId="6E5D6976" w14:textId="77777777" w:rsidR="00D73AEA" w:rsidRPr="000C10BB" w:rsidRDefault="00D73AEA" w:rsidP="009E74D1">
            <w:pP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C10BB">
              <w:rPr>
                <w:rFonts w:cs="Arial"/>
                <w:color w:val="000000"/>
                <w:sz w:val="20"/>
                <w:szCs w:val="20"/>
              </w:rPr>
              <w:t>9.04</w:t>
            </w:r>
          </w:p>
        </w:tc>
        <w:tc>
          <w:tcPr>
            <w:tcW w:w="1276" w:type="dxa"/>
            <w:noWrap/>
            <w:vAlign w:val="bottom"/>
            <w:hideMark/>
          </w:tcPr>
          <w:p w14:paraId="77732F36" w14:textId="77777777" w:rsidR="00D73AEA" w:rsidRPr="000C10BB" w:rsidRDefault="00D73AEA" w:rsidP="009E74D1">
            <w:pP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C10BB">
              <w:rPr>
                <w:rFonts w:cs="Arial"/>
                <w:color w:val="000000"/>
                <w:sz w:val="20"/>
                <w:szCs w:val="20"/>
              </w:rPr>
              <w:t>0.5527</w:t>
            </w:r>
          </w:p>
        </w:tc>
      </w:tr>
    </w:tbl>
    <w:p w14:paraId="77A4A922" w14:textId="77777777" w:rsidR="009E74D1" w:rsidRDefault="009E74D1" w:rsidP="00AB6A60">
      <w:pPr>
        <w:jc w:val="both"/>
        <w:outlineLvl w:val="0"/>
        <w:rPr>
          <w:rFonts w:cs="Arial"/>
          <w:szCs w:val="22"/>
        </w:rPr>
      </w:pPr>
    </w:p>
    <w:p w14:paraId="02F978FD" w14:textId="5FE47E4B" w:rsidR="009E74D1" w:rsidRDefault="009E74D1" w:rsidP="009E74D1">
      <w:pPr>
        <w:pStyle w:val="Caption"/>
        <w:rPr>
          <w:rFonts w:cs="Arial"/>
          <w:szCs w:val="22"/>
        </w:rPr>
      </w:pPr>
      <w:bookmarkStart w:id="3" w:name="_Ref500522951"/>
      <w:r>
        <w:t xml:space="preserve">Table </w:t>
      </w:r>
      <w:r w:rsidR="00722C0F">
        <w:fldChar w:fldCharType="begin"/>
      </w:r>
      <w:r w:rsidR="00722C0F">
        <w:instrText xml:space="preserve"> SEQ Table \* ARABIC </w:instrText>
      </w:r>
      <w:r w:rsidR="00722C0F">
        <w:fldChar w:fldCharType="separate"/>
      </w:r>
      <w:r w:rsidR="007008EC">
        <w:rPr>
          <w:noProof/>
        </w:rPr>
        <w:t>2</w:t>
      </w:r>
      <w:r w:rsidR="00722C0F">
        <w:rPr>
          <w:noProof/>
        </w:rPr>
        <w:fldChar w:fldCharType="end"/>
      </w:r>
      <w:bookmarkEnd w:id="3"/>
      <w:r>
        <w:t xml:space="preserve"> Origin Choice Multinomial Logit Model Dispersion Parameter Estimates and estimation statistics</w:t>
      </w:r>
      <w:r w:rsidR="00D73AEA">
        <w:t xml:space="preserve"> (1390 observations</w:t>
      </w:r>
      <w:r w:rsidR="00713B46">
        <w:t xml:space="preserve"> for each sector</w:t>
      </w:r>
      <w:r w:rsidR="00D73AEA">
        <w:t>)</w:t>
      </w:r>
    </w:p>
    <w:p w14:paraId="099A7BC8" w14:textId="77777777" w:rsidR="000C10BB" w:rsidRDefault="000C10BB" w:rsidP="00D43CBD">
      <w:pPr>
        <w:jc w:val="both"/>
        <w:outlineLvl w:val="0"/>
        <w:rPr>
          <w:rFonts w:cs="Arial"/>
          <w:b/>
          <w:szCs w:val="22"/>
        </w:rPr>
      </w:pPr>
    </w:p>
    <w:p w14:paraId="068B6DCB" w14:textId="77777777" w:rsidR="00D43CBD" w:rsidRDefault="00CA2BFF" w:rsidP="00D43CBD">
      <w:pPr>
        <w:jc w:val="both"/>
        <w:outlineLvl w:val="0"/>
        <w:rPr>
          <w:rFonts w:cs="Arial"/>
          <w:b/>
          <w:szCs w:val="22"/>
        </w:rPr>
      </w:pPr>
      <w:r>
        <w:rPr>
          <w:rFonts w:cs="Arial"/>
          <w:b/>
          <w:szCs w:val="22"/>
        </w:rPr>
        <w:t>Energy intensity</w:t>
      </w:r>
      <w:r w:rsidR="00D43CBD">
        <w:rPr>
          <w:rFonts w:cs="Arial"/>
          <w:b/>
          <w:szCs w:val="22"/>
        </w:rPr>
        <w:t xml:space="preserve"> for every sector and mode</w:t>
      </w:r>
    </w:p>
    <w:p w14:paraId="46623358" w14:textId="7F3C87E3" w:rsidR="00C652A5" w:rsidRDefault="00FE4858" w:rsidP="00AB6A60">
      <w:pPr>
        <w:jc w:val="both"/>
        <w:outlineLvl w:val="0"/>
        <w:rPr>
          <w:rFonts w:cs="Arial"/>
          <w:szCs w:val="22"/>
        </w:rPr>
      </w:pPr>
      <w:r>
        <w:rPr>
          <w:rFonts w:cs="Arial"/>
          <w:szCs w:val="22"/>
        </w:rPr>
        <w:t xml:space="preserve">The first step is </w:t>
      </w:r>
      <w:r w:rsidR="00B9573F">
        <w:rPr>
          <w:rFonts w:cs="Arial"/>
          <w:szCs w:val="22"/>
        </w:rPr>
        <w:t xml:space="preserve">to </w:t>
      </w:r>
      <w:r>
        <w:rPr>
          <w:rFonts w:cs="Arial"/>
          <w:szCs w:val="22"/>
        </w:rPr>
        <w:t xml:space="preserve">actually </w:t>
      </w:r>
      <w:r w:rsidR="00B9573F">
        <w:rPr>
          <w:rFonts w:cs="Arial"/>
          <w:szCs w:val="22"/>
        </w:rPr>
        <w:t>c</w:t>
      </w:r>
      <w:r>
        <w:rPr>
          <w:rFonts w:cs="Arial"/>
          <w:szCs w:val="22"/>
        </w:rPr>
        <w:t>onvert monetary flows to tonnes. For each sector, total monetary flows estimated through the execution of the RUBMRIO model were divided by the total tonne flows that were reported in the NFD study; hence, we obtained twenty one factors that are sector specific. The sector service was no longer considered for further calculations as they do not represent physical flows within the territory. These factors were applied over each matrix of monetary flows; in total, there were forty two matrices, each one of them being sector and mod</w:t>
      </w:r>
      <w:r w:rsidR="00B9573F">
        <w:rPr>
          <w:rFonts w:cs="Arial"/>
          <w:szCs w:val="22"/>
        </w:rPr>
        <w:t>e</w:t>
      </w:r>
      <w:r>
        <w:rPr>
          <w:rFonts w:cs="Arial"/>
          <w:szCs w:val="22"/>
        </w:rPr>
        <w:t xml:space="preserve"> specific. A second conversion procedure contemplates the translation of tonnes into units of energy consumption. The factors utilized for the calculations are also sector specific. </w:t>
      </w:r>
      <w:r w:rsidR="003C0462">
        <w:rPr>
          <w:rFonts w:cs="Arial"/>
          <w:szCs w:val="22"/>
        </w:rPr>
        <w:fldChar w:fldCharType="begin"/>
      </w:r>
      <w:r w:rsidR="003C0462">
        <w:rPr>
          <w:rFonts w:cs="Arial"/>
          <w:szCs w:val="22"/>
        </w:rPr>
        <w:instrText xml:space="preserve"> ADDIN EN.CITE &lt;EndNote&gt;&lt;Cite AuthorYear="1"&gt;&lt;Author&gt;Andrés&lt;/Author&gt;&lt;Year&gt;2015&lt;/Year&gt;&lt;RecNum&gt;1&lt;/RecNum&gt;&lt;DisplayText&gt;Andrés and Padilla (2015)&lt;/DisplayText&gt;&lt;record&gt;&lt;rec-number&gt;1&lt;/rec-number&gt;&lt;foreign-keys&gt;&lt;key app="EN" db-id="zesxtzdp6atewte95fc5dr2asp25rs2rstwt" timestamp="1512945675"&gt;1&lt;/key&gt;&lt;/foreign-keys&gt;&lt;ref-type name="Journal Article"&gt;17&lt;/ref-type&gt;&lt;contributors&gt;&lt;authors&gt;&lt;author&gt;Andrés, Lidia&lt;/author&gt;&lt;author&gt;Padilla, Emilio&lt;/author&gt;&lt;/authors&gt;&lt;/contributors&gt;&lt;titles&gt;&lt;title&gt;Energy intensity in road freight transport of heavy goods vehicles in Spain&lt;/title&gt;&lt;secondary-title&gt;Energy Policy&lt;/secondary-title&gt;&lt;/titles&gt;&lt;periodical&gt;&lt;full-title&gt;Energy Policy&lt;/full-title&gt;&lt;/periodical&gt;&lt;pages&gt;309-321&lt;/pages&gt;&lt;volume&gt;85&lt;/volume&gt;&lt;keywords&gt;&lt;keyword&gt;Divisia index decomposition&lt;/keyword&gt;&lt;keyword&gt;Energy intensity&lt;/keyword&gt;&lt;keyword&gt;LMDI&lt;/keyword&gt;&lt;keyword&gt;Road freight transport&lt;/keyword&gt;&lt;/keywords&gt;&lt;dates&gt;&lt;year&gt;2015&lt;/year&gt;&lt;/dates&gt;&lt;publisher&gt;Elsevier&lt;/publisher&gt;&lt;urls&gt;&lt;related-urls&gt;&lt;url&gt;http://dx.doi.org/10.1016/j.enpol.2015.06.018&lt;/url&gt;&lt;/related-urls&gt;&lt;/urls&gt;&lt;electronic-resource-num&gt;10.1016/j.enpol.2015.06.018&lt;/electronic-resource-num&gt;&lt;/record&gt;&lt;/Cite&gt;&lt;/EndNote&gt;</w:instrText>
      </w:r>
      <w:r w:rsidR="003C0462">
        <w:rPr>
          <w:rFonts w:cs="Arial"/>
          <w:szCs w:val="22"/>
        </w:rPr>
        <w:fldChar w:fldCharType="separate"/>
      </w:r>
      <w:r w:rsidR="003C0462">
        <w:rPr>
          <w:rFonts w:cs="Arial"/>
          <w:szCs w:val="22"/>
        </w:rPr>
        <w:t>Andrés and Padilla (2015)</w:t>
      </w:r>
      <w:r w:rsidR="003C0462">
        <w:rPr>
          <w:rFonts w:cs="Arial"/>
          <w:szCs w:val="22"/>
        </w:rPr>
        <w:fldChar w:fldCharType="end"/>
      </w:r>
      <w:r>
        <w:rPr>
          <w:rFonts w:cs="Arial"/>
          <w:szCs w:val="22"/>
        </w:rPr>
        <w:t xml:space="preserve"> </w:t>
      </w:r>
      <w:r w:rsidR="00B9573F">
        <w:rPr>
          <w:rFonts w:cs="Arial"/>
          <w:szCs w:val="22"/>
        </w:rPr>
        <w:t xml:space="preserve">analysed the determinant factors behind energy intensity of road freight transport; in their study, they provide road transport energy intensities for twenty four commodities. In this paper we assume that the intensity values provided by </w:t>
      </w:r>
      <w:r w:rsidR="003C0462">
        <w:rPr>
          <w:rFonts w:cs="Arial"/>
          <w:szCs w:val="22"/>
        </w:rPr>
        <w:fldChar w:fldCharType="begin"/>
      </w:r>
      <w:r w:rsidR="003C0462">
        <w:rPr>
          <w:rFonts w:cs="Arial"/>
          <w:szCs w:val="22"/>
        </w:rPr>
        <w:instrText xml:space="preserve"> ADDIN EN.CITE &lt;EndNote&gt;&lt;Cite AuthorYear="1"&gt;&lt;Author&gt;Andrés&lt;/Author&gt;&lt;Year&gt;2015&lt;/Year&gt;&lt;RecNum&gt;1&lt;/RecNum&gt;&lt;DisplayText&gt;Andrés and Padilla (2015)&lt;/DisplayText&gt;&lt;record&gt;&lt;rec-number&gt;1&lt;/rec-number&gt;&lt;foreign-keys&gt;&lt;key app="EN" db-id="zesxtzdp6atewte95fc5dr2asp25rs2rstwt" timestamp="1512945675"&gt;1&lt;/key&gt;&lt;/foreign-keys&gt;&lt;ref-type name="Journal Article"&gt;17&lt;/ref-type&gt;&lt;contributors&gt;&lt;authors&gt;&lt;author&gt;Andrés, Lidia&lt;/author&gt;&lt;author&gt;Padilla, Emilio&lt;/author&gt;&lt;/authors&gt;&lt;/contributors&gt;&lt;titles&gt;&lt;title&gt;Energy intensity in road freight transport of heavy goods vehicles in Spain&lt;/title&gt;&lt;secondary-title&gt;Energy Policy&lt;/secondary-title&gt;&lt;/titles&gt;&lt;periodical&gt;&lt;full-title&gt;Energy Policy&lt;/full-title&gt;&lt;/periodical&gt;&lt;pages&gt;309-321&lt;/pages&gt;&lt;volume&gt;85&lt;/volume&gt;&lt;keywords&gt;&lt;keyword&gt;Divisia index decomposition&lt;/keyword&gt;&lt;keyword&gt;Energy intensity&lt;/keyword&gt;&lt;keyword&gt;LMDI&lt;/keyword&gt;&lt;keyword&gt;Road freight transport&lt;/keyword&gt;&lt;/keywords&gt;&lt;dates&gt;&lt;year&gt;2015&lt;/year&gt;&lt;/dates&gt;&lt;publisher&gt;Elsevier&lt;/publisher&gt;&lt;urls&gt;&lt;related-urls&gt;&lt;url&gt;http://dx.doi.org/10.1016/j.enpol.2015.06.018&lt;/url&gt;&lt;/related-urls&gt;&lt;/urls&gt;&lt;electronic-resource-num&gt;10.1016/j.enpol.2015.06.018&lt;/electronic-resource-num&gt;&lt;/record&gt;&lt;/Cite&gt;&lt;/EndNote&gt;</w:instrText>
      </w:r>
      <w:r w:rsidR="003C0462">
        <w:rPr>
          <w:rFonts w:cs="Arial"/>
          <w:szCs w:val="22"/>
        </w:rPr>
        <w:fldChar w:fldCharType="separate"/>
      </w:r>
      <w:r w:rsidR="003C0462">
        <w:rPr>
          <w:rFonts w:cs="Arial"/>
          <w:szCs w:val="22"/>
        </w:rPr>
        <w:t>Andrés and Padilla (2015)</w:t>
      </w:r>
      <w:r w:rsidR="003C0462">
        <w:rPr>
          <w:rFonts w:cs="Arial"/>
          <w:szCs w:val="22"/>
        </w:rPr>
        <w:fldChar w:fldCharType="end"/>
      </w:r>
      <w:r w:rsidR="003C0462">
        <w:rPr>
          <w:rFonts w:cs="Arial"/>
          <w:szCs w:val="22"/>
        </w:rPr>
        <w:t xml:space="preserve"> </w:t>
      </w:r>
      <w:r w:rsidR="00B9573F">
        <w:rPr>
          <w:rFonts w:cs="Arial"/>
          <w:szCs w:val="22"/>
        </w:rPr>
        <w:t xml:space="preserve">match the intensities of the road transportation sector in New Zealand. We also use these intensities to estimate a factor that can reflect load utilization. This factor is then applied over the energy intensity reported in the LIPASTO database for a diesel driven mixed freight train </w:t>
      </w:r>
      <w:r w:rsidR="003C0462">
        <w:rPr>
          <w:rFonts w:cs="Arial"/>
          <w:szCs w:val="22"/>
        </w:rPr>
        <w:fldChar w:fldCharType="begin"/>
      </w:r>
      <w:r w:rsidR="00A114F8">
        <w:rPr>
          <w:rFonts w:cs="Arial"/>
          <w:szCs w:val="22"/>
        </w:rPr>
        <w:instrText xml:space="preserve"> ADDIN EN.CITE &lt;EndNote&gt;&lt;Cite&gt;&lt;Author&gt;LIPASTO&lt;/Author&gt;&lt;Year&gt;2017&lt;/Year&gt;&lt;RecNum&gt;17&lt;/RecNum&gt;&lt;DisplayText&gt;(LIPASTO, 2017)&lt;/DisplayText&gt;&lt;record&gt;&lt;rec-number&gt;17&lt;/rec-number&gt;&lt;foreign-keys&gt;&lt;key app="EN" db-id="zesxtzdp6atewte95fc5dr2asp25rs2rstwt" timestamp="1512945675"&gt;17&lt;/key&gt;&lt;/foreign-keys&gt;&lt;ref-type name="Web Page"&gt;12&lt;/ref-type&gt;&lt;contributors&gt;&lt;authors&gt;&lt;author&gt;LIPASTO,&lt;/author&gt;&lt;/authors&gt;&lt;/contributors&gt;&lt;titles&gt;&lt;title&gt;Unit Emissions&lt;/title&gt;&lt;/titles&gt;&lt;number&gt;10/11/2017&lt;/number&gt;&lt;dates&gt;&lt;year&gt;2017&lt;/year&gt;&lt;/dates&gt;&lt;urls&gt;&lt;related-urls&gt;&lt;url&gt;lipasto.vtt.fi/en/index.htm&lt;/url&gt;&lt;/related-urls&gt;&lt;/urls&gt;&lt;/record&gt;&lt;/Cite&gt;&lt;/EndNote&gt;</w:instrText>
      </w:r>
      <w:r w:rsidR="003C0462">
        <w:rPr>
          <w:rFonts w:cs="Arial"/>
          <w:szCs w:val="22"/>
        </w:rPr>
        <w:fldChar w:fldCharType="separate"/>
      </w:r>
      <w:r w:rsidR="003C0462">
        <w:rPr>
          <w:rFonts w:cs="Arial"/>
          <w:szCs w:val="22"/>
        </w:rPr>
        <w:t>(LIPASTO, 2017)</w:t>
      </w:r>
      <w:r w:rsidR="003C0462">
        <w:rPr>
          <w:rFonts w:cs="Arial"/>
          <w:szCs w:val="22"/>
        </w:rPr>
        <w:fldChar w:fldCharType="end"/>
      </w:r>
      <w:r w:rsidR="00B9573F">
        <w:rPr>
          <w:rFonts w:cs="Arial"/>
          <w:szCs w:val="22"/>
        </w:rPr>
        <w:t>.</w:t>
      </w:r>
      <w:r w:rsidR="00C652A5">
        <w:rPr>
          <w:rFonts w:cs="Arial"/>
          <w:szCs w:val="22"/>
        </w:rPr>
        <w:t xml:space="preserve"> The energy intensity values employed in our calculations are specified in</w:t>
      </w:r>
      <w:r w:rsidR="00E73D07">
        <w:rPr>
          <w:rFonts w:cs="Arial"/>
          <w:szCs w:val="22"/>
        </w:rPr>
        <w:t xml:space="preserve"> </w:t>
      </w:r>
      <w:r w:rsidR="00E73D07">
        <w:rPr>
          <w:rFonts w:cs="Arial"/>
          <w:szCs w:val="22"/>
        </w:rPr>
        <w:fldChar w:fldCharType="begin"/>
      </w:r>
      <w:r w:rsidR="00E73D07">
        <w:rPr>
          <w:rFonts w:cs="Arial"/>
          <w:szCs w:val="22"/>
        </w:rPr>
        <w:instrText xml:space="preserve"> REF _Ref505764698 \h </w:instrText>
      </w:r>
      <w:r w:rsidR="00E73D07">
        <w:rPr>
          <w:rFonts w:cs="Arial"/>
          <w:szCs w:val="22"/>
        </w:rPr>
      </w:r>
      <w:r w:rsidR="00E73D07">
        <w:rPr>
          <w:rFonts w:cs="Arial"/>
          <w:szCs w:val="22"/>
        </w:rPr>
        <w:fldChar w:fldCharType="separate"/>
      </w:r>
      <w:r w:rsidR="00E73D07">
        <w:t xml:space="preserve">Table </w:t>
      </w:r>
      <w:r w:rsidR="00E73D07">
        <w:rPr>
          <w:noProof/>
        </w:rPr>
        <w:t>3</w:t>
      </w:r>
      <w:r w:rsidR="00E73D07">
        <w:rPr>
          <w:rFonts w:cs="Arial"/>
          <w:szCs w:val="22"/>
        </w:rPr>
        <w:fldChar w:fldCharType="end"/>
      </w:r>
      <w:r w:rsidR="00CA2BFF">
        <w:rPr>
          <w:rFonts w:cs="Arial"/>
          <w:szCs w:val="22"/>
        </w:rPr>
        <w:t>.</w:t>
      </w:r>
    </w:p>
    <w:p w14:paraId="4DAB24F2" w14:textId="77777777" w:rsidR="00B97A54" w:rsidRDefault="00B97A54" w:rsidP="00AB6A60">
      <w:pPr>
        <w:jc w:val="both"/>
        <w:outlineLvl w:val="0"/>
        <w:rPr>
          <w:rFonts w:cs="Arial"/>
          <w:szCs w:val="22"/>
        </w:rPr>
      </w:pPr>
    </w:p>
    <w:p w14:paraId="39B53E44" w14:textId="77777777" w:rsidR="00B97A54" w:rsidRDefault="00B97A54" w:rsidP="00AB6A60">
      <w:pPr>
        <w:jc w:val="both"/>
        <w:outlineLvl w:val="0"/>
        <w:rPr>
          <w:rFonts w:cs="Arial"/>
          <w:szCs w:val="22"/>
        </w:rPr>
      </w:pPr>
    </w:p>
    <w:p w14:paraId="7922952F" w14:textId="77777777" w:rsidR="00B97A54" w:rsidRDefault="00B97A54" w:rsidP="00AB6A60">
      <w:pPr>
        <w:jc w:val="both"/>
        <w:outlineLvl w:val="0"/>
        <w:rPr>
          <w:rFonts w:cs="Arial"/>
          <w:szCs w:val="22"/>
        </w:rPr>
      </w:pPr>
    </w:p>
    <w:p w14:paraId="3EC22E26" w14:textId="77777777" w:rsidR="00B97A54" w:rsidRDefault="00B97A54" w:rsidP="00AB6A60">
      <w:pPr>
        <w:jc w:val="both"/>
        <w:outlineLvl w:val="0"/>
        <w:rPr>
          <w:rFonts w:cs="Arial"/>
          <w:szCs w:val="22"/>
        </w:rPr>
      </w:pPr>
    </w:p>
    <w:p w14:paraId="3A714E3B" w14:textId="77777777" w:rsidR="00B97A54" w:rsidRDefault="00B97A54" w:rsidP="00AB6A60">
      <w:pPr>
        <w:jc w:val="both"/>
        <w:outlineLvl w:val="0"/>
        <w:rPr>
          <w:rFonts w:cs="Arial"/>
          <w:szCs w:val="22"/>
        </w:rPr>
      </w:pPr>
    </w:p>
    <w:p w14:paraId="27D312E3" w14:textId="77777777" w:rsidR="00B97A54" w:rsidRDefault="00B97A54" w:rsidP="00AB6A60">
      <w:pPr>
        <w:jc w:val="both"/>
        <w:outlineLvl w:val="0"/>
        <w:rPr>
          <w:rFonts w:cs="Arial"/>
          <w:szCs w:val="22"/>
        </w:rPr>
      </w:pPr>
    </w:p>
    <w:p w14:paraId="6788660E" w14:textId="77777777" w:rsidR="00B97A54" w:rsidRDefault="00B97A54" w:rsidP="00AB6A60">
      <w:pPr>
        <w:jc w:val="both"/>
        <w:outlineLvl w:val="0"/>
        <w:rPr>
          <w:rFonts w:cs="Arial"/>
          <w:szCs w:val="22"/>
        </w:rPr>
      </w:pPr>
    </w:p>
    <w:p w14:paraId="405895C1" w14:textId="77777777" w:rsidR="00C652A5" w:rsidRDefault="00C652A5" w:rsidP="00AB6A60">
      <w:pPr>
        <w:jc w:val="both"/>
        <w:outlineLvl w:val="0"/>
        <w:rPr>
          <w:rFonts w:cs="Arial"/>
          <w:szCs w:val="22"/>
        </w:rPr>
      </w:pPr>
    </w:p>
    <w:tbl>
      <w:tblPr>
        <w:tblStyle w:val="PlainTable2"/>
        <w:tblW w:w="4536" w:type="dxa"/>
        <w:jc w:val="center"/>
        <w:tblLook w:val="04A0" w:firstRow="1" w:lastRow="0" w:firstColumn="1" w:lastColumn="0" w:noHBand="0" w:noVBand="1"/>
      </w:tblPr>
      <w:tblGrid>
        <w:gridCol w:w="2268"/>
        <w:gridCol w:w="1134"/>
        <w:gridCol w:w="1134"/>
      </w:tblGrid>
      <w:tr w:rsidR="00C652A5" w:rsidRPr="00C652A5" w14:paraId="69BD570C" w14:textId="77777777" w:rsidTr="00710D17">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268" w:type="dxa"/>
            <w:noWrap/>
            <w:vAlign w:val="center"/>
            <w:hideMark/>
          </w:tcPr>
          <w:p w14:paraId="2175DE56" w14:textId="77777777" w:rsidR="00C652A5" w:rsidRPr="00C652A5" w:rsidRDefault="00C652A5" w:rsidP="00C652A5">
            <w:pPr>
              <w:widowControl/>
              <w:autoSpaceDE/>
              <w:autoSpaceDN/>
              <w:adjustRightInd/>
              <w:rPr>
                <w:rFonts w:cs="Arial"/>
                <w:sz w:val="20"/>
                <w:szCs w:val="20"/>
                <w:lang w:eastAsia="en-NZ"/>
              </w:rPr>
            </w:pPr>
            <w:r w:rsidRPr="000C10BB">
              <w:rPr>
                <w:rFonts w:cs="Arial"/>
                <w:sz w:val="20"/>
                <w:szCs w:val="20"/>
                <w:lang w:eastAsia="en-NZ"/>
              </w:rPr>
              <w:lastRenderedPageBreak/>
              <w:t>Sector</w:t>
            </w:r>
          </w:p>
        </w:tc>
        <w:tc>
          <w:tcPr>
            <w:tcW w:w="1134" w:type="dxa"/>
            <w:noWrap/>
            <w:hideMark/>
          </w:tcPr>
          <w:p w14:paraId="41DF5F2F" w14:textId="77777777" w:rsidR="00C652A5" w:rsidRPr="00C652A5" w:rsidRDefault="00C652A5" w:rsidP="00C652A5">
            <w:pPr>
              <w:widowControl/>
              <w:autoSpaceDE/>
              <w:autoSpaceDN/>
              <w:adjustRightInd/>
              <w:cnfStyle w:val="100000000000" w:firstRow="1" w:lastRow="0" w:firstColumn="0" w:lastColumn="0" w:oddVBand="0" w:evenVBand="0" w:oddHBand="0" w:evenHBand="0" w:firstRowFirstColumn="0" w:firstRowLastColumn="0" w:lastRowFirstColumn="0" w:lastRowLastColumn="0"/>
              <w:rPr>
                <w:rFonts w:cs="Arial"/>
                <w:color w:val="000000"/>
                <w:sz w:val="20"/>
                <w:szCs w:val="20"/>
                <w:lang w:eastAsia="en-NZ"/>
              </w:rPr>
            </w:pPr>
            <w:r w:rsidRPr="00C652A5">
              <w:rPr>
                <w:rFonts w:cs="Arial"/>
                <w:color w:val="000000"/>
                <w:sz w:val="20"/>
                <w:szCs w:val="20"/>
                <w:lang w:eastAsia="en-NZ"/>
              </w:rPr>
              <w:t>Road (MJ/</w:t>
            </w:r>
            <w:proofErr w:type="spellStart"/>
            <w:r w:rsidRPr="00C652A5">
              <w:rPr>
                <w:rFonts w:cs="Arial"/>
                <w:color w:val="000000"/>
                <w:sz w:val="20"/>
                <w:szCs w:val="20"/>
                <w:lang w:eastAsia="en-NZ"/>
              </w:rPr>
              <w:t>tkm</w:t>
            </w:r>
            <w:proofErr w:type="spellEnd"/>
            <w:r w:rsidRPr="00C652A5">
              <w:rPr>
                <w:rFonts w:cs="Arial"/>
                <w:color w:val="000000"/>
                <w:sz w:val="20"/>
                <w:szCs w:val="20"/>
                <w:lang w:eastAsia="en-NZ"/>
              </w:rPr>
              <w:t>)</w:t>
            </w:r>
          </w:p>
        </w:tc>
        <w:tc>
          <w:tcPr>
            <w:tcW w:w="1134" w:type="dxa"/>
            <w:noWrap/>
            <w:hideMark/>
          </w:tcPr>
          <w:p w14:paraId="31537507" w14:textId="77777777" w:rsidR="00C652A5" w:rsidRPr="00C652A5" w:rsidRDefault="00C652A5" w:rsidP="00C652A5">
            <w:pPr>
              <w:widowControl/>
              <w:autoSpaceDE/>
              <w:autoSpaceDN/>
              <w:adjustRightInd/>
              <w:cnfStyle w:val="100000000000" w:firstRow="1" w:lastRow="0" w:firstColumn="0" w:lastColumn="0" w:oddVBand="0" w:evenVBand="0" w:oddHBand="0" w:evenHBand="0" w:firstRowFirstColumn="0" w:firstRowLastColumn="0" w:lastRowFirstColumn="0" w:lastRowLastColumn="0"/>
              <w:rPr>
                <w:rFonts w:cs="Arial"/>
                <w:color w:val="000000"/>
                <w:sz w:val="20"/>
                <w:szCs w:val="20"/>
                <w:lang w:eastAsia="en-NZ"/>
              </w:rPr>
            </w:pPr>
            <w:r w:rsidRPr="00C652A5">
              <w:rPr>
                <w:rFonts w:cs="Arial"/>
                <w:color w:val="000000"/>
                <w:sz w:val="20"/>
                <w:szCs w:val="20"/>
                <w:lang w:eastAsia="en-NZ"/>
              </w:rPr>
              <w:t>Rail (MJ/</w:t>
            </w:r>
            <w:proofErr w:type="spellStart"/>
            <w:r w:rsidRPr="00C652A5">
              <w:rPr>
                <w:rFonts w:cs="Arial"/>
                <w:color w:val="000000"/>
                <w:sz w:val="20"/>
                <w:szCs w:val="20"/>
                <w:lang w:eastAsia="en-NZ"/>
              </w:rPr>
              <w:t>tkm</w:t>
            </w:r>
            <w:proofErr w:type="spellEnd"/>
            <w:r w:rsidRPr="00C652A5">
              <w:rPr>
                <w:rFonts w:cs="Arial"/>
                <w:color w:val="000000"/>
                <w:sz w:val="20"/>
                <w:szCs w:val="20"/>
                <w:lang w:eastAsia="en-NZ"/>
              </w:rPr>
              <w:t>)</w:t>
            </w:r>
          </w:p>
        </w:tc>
      </w:tr>
      <w:tr w:rsidR="00710D17" w:rsidRPr="00C652A5" w14:paraId="50D6BD44" w14:textId="77777777" w:rsidTr="00710D1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268" w:type="dxa"/>
            <w:noWrap/>
            <w:vAlign w:val="bottom"/>
            <w:hideMark/>
          </w:tcPr>
          <w:p w14:paraId="1FC14878" w14:textId="76D4833C" w:rsidR="00710D17" w:rsidRPr="00710D17" w:rsidRDefault="00710D17" w:rsidP="00710D17">
            <w:pPr>
              <w:widowControl/>
              <w:autoSpaceDE/>
              <w:autoSpaceDN/>
              <w:adjustRightInd/>
              <w:rPr>
                <w:rFonts w:cs="Arial"/>
                <w:b w:val="0"/>
                <w:color w:val="000000"/>
                <w:sz w:val="20"/>
                <w:szCs w:val="20"/>
              </w:rPr>
            </w:pPr>
            <w:r>
              <w:rPr>
                <w:rFonts w:cs="Arial"/>
                <w:b w:val="0"/>
                <w:color w:val="000000"/>
                <w:sz w:val="20"/>
                <w:szCs w:val="20"/>
              </w:rPr>
              <w:t>M</w:t>
            </w:r>
            <w:r w:rsidRPr="00710D17">
              <w:rPr>
                <w:rFonts w:cs="Arial"/>
                <w:b w:val="0"/>
                <w:color w:val="000000"/>
                <w:sz w:val="20"/>
                <w:szCs w:val="20"/>
              </w:rPr>
              <w:t>ilk</w:t>
            </w:r>
          </w:p>
        </w:tc>
        <w:tc>
          <w:tcPr>
            <w:tcW w:w="1134" w:type="dxa"/>
            <w:noWrap/>
            <w:vAlign w:val="bottom"/>
            <w:hideMark/>
          </w:tcPr>
          <w:p w14:paraId="5505E6A7" w14:textId="77777777" w:rsidR="00710D17" w:rsidRPr="000C10BB" w:rsidRDefault="00710D17" w:rsidP="00710D17">
            <w:pPr>
              <w:widowControl/>
              <w:autoSpaceDE/>
              <w:autoSpaceDN/>
              <w:adjustRightInd/>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NZ"/>
              </w:rPr>
            </w:pPr>
            <w:r w:rsidRPr="000C10BB">
              <w:rPr>
                <w:rFonts w:cs="Arial"/>
                <w:color w:val="000000"/>
                <w:sz w:val="20"/>
                <w:szCs w:val="20"/>
              </w:rPr>
              <w:t>0.580</w:t>
            </w:r>
          </w:p>
        </w:tc>
        <w:tc>
          <w:tcPr>
            <w:tcW w:w="1134" w:type="dxa"/>
            <w:noWrap/>
            <w:vAlign w:val="bottom"/>
            <w:hideMark/>
          </w:tcPr>
          <w:p w14:paraId="5E6E844F" w14:textId="77777777" w:rsidR="00710D17" w:rsidRPr="000C10BB" w:rsidRDefault="00710D17" w:rsidP="00710D17">
            <w:pPr>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C10BB">
              <w:rPr>
                <w:rFonts w:cs="Arial"/>
                <w:color w:val="000000"/>
                <w:sz w:val="20"/>
                <w:szCs w:val="20"/>
              </w:rPr>
              <w:t>0.340</w:t>
            </w:r>
          </w:p>
        </w:tc>
      </w:tr>
      <w:tr w:rsidR="00710D17" w:rsidRPr="00C652A5" w14:paraId="4D59C921" w14:textId="77777777" w:rsidTr="00710D17">
        <w:trPr>
          <w:trHeight w:val="288"/>
          <w:jc w:val="center"/>
        </w:trPr>
        <w:tc>
          <w:tcPr>
            <w:cnfStyle w:val="001000000000" w:firstRow="0" w:lastRow="0" w:firstColumn="1" w:lastColumn="0" w:oddVBand="0" w:evenVBand="0" w:oddHBand="0" w:evenHBand="0" w:firstRowFirstColumn="0" w:firstRowLastColumn="0" w:lastRowFirstColumn="0" w:lastRowLastColumn="0"/>
            <w:tcW w:w="2268" w:type="dxa"/>
            <w:noWrap/>
            <w:vAlign w:val="bottom"/>
            <w:hideMark/>
          </w:tcPr>
          <w:p w14:paraId="5927A920" w14:textId="11155E75" w:rsidR="00710D17" w:rsidRPr="00710D17" w:rsidRDefault="00710D17" w:rsidP="00710D17">
            <w:pPr>
              <w:widowControl/>
              <w:autoSpaceDE/>
              <w:autoSpaceDN/>
              <w:adjustRightInd/>
              <w:rPr>
                <w:rFonts w:cs="Arial"/>
                <w:b w:val="0"/>
                <w:color w:val="000000"/>
                <w:sz w:val="20"/>
                <w:szCs w:val="20"/>
              </w:rPr>
            </w:pPr>
            <w:r>
              <w:rPr>
                <w:rFonts w:cs="Arial"/>
                <w:b w:val="0"/>
                <w:color w:val="000000"/>
                <w:sz w:val="20"/>
                <w:szCs w:val="20"/>
              </w:rPr>
              <w:t>D</w:t>
            </w:r>
            <w:r w:rsidRPr="00710D17">
              <w:rPr>
                <w:rFonts w:cs="Arial"/>
                <w:b w:val="0"/>
                <w:color w:val="000000"/>
                <w:sz w:val="20"/>
                <w:szCs w:val="20"/>
              </w:rPr>
              <w:t>airy</w:t>
            </w:r>
            <w:r>
              <w:rPr>
                <w:rFonts w:cs="Arial"/>
                <w:b w:val="0"/>
                <w:color w:val="000000"/>
                <w:sz w:val="20"/>
                <w:szCs w:val="20"/>
              </w:rPr>
              <w:t xml:space="preserve"> products</w:t>
            </w:r>
          </w:p>
        </w:tc>
        <w:tc>
          <w:tcPr>
            <w:tcW w:w="1134" w:type="dxa"/>
            <w:noWrap/>
            <w:vAlign w:val="bottom"/>
            <w:hideMark/>
          </w:tcPr>
          <w:p w14:paraId="61901F24" w14:textId="77777777" w:rsidR="00710D17" w:rsidRPr="000C10BB" w:rsidRDefault="00710D17" w:rsidP="00710D17">
            <w:pPr>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C10BB">
              <w:rPr>
                <w:rFonts w:cs="Arial"/>
                <w:color w:val="000000"/>
                <w:sz w:val="20"/>
                <w:szCs w:val="20"/>
              </w:rPr>
              <w:t>1.000</w:t>
            </w:r>
          </w:p>
        </w:tc>
        <w:tc>
          <w:tcPr>
            <w:tcW w:w="1134" w:type="dxa"/>
            <w:noWrap/>
            <w:vAlign w:val="bottom"/>
            <w:hideMark/>
          </w:tcPr>
          <w:p w14:paraId="7107A535" w14:textId="77777777" w:rsidR="00710D17" w:rsidRPr="000C10BB" w:rsidRDefault="00710D17" w:rsidP="00710D17">
            <w:pPr>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C10BB">
              <w:rPr>
                <w:rFonts w:cs="Arial"/>
                <w:color w:val="000000"/>
                <w:sz w:val="20"/>
                <w:szCs w:val="20"/>
              </w:rPr>
              <w:t>0.586</w:t>
            </w:r>
          </w:p>
        </w:tc>
      </w:tr>
      <w:tr w:rsidR="00710D17" w:rsidRPr="00C652A5" w14:paraId="34E338B3" w14:textId="77777777" w:rsidTr="00710D1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268" w:type="dxa"/>
            <w:noWrap/>
            <w:vAlign w:val="bottom"/>
            <w:hideMark/>
          </w:tcPr>
          <w:p w14:paraId="0885DFF7" w14:textId="44814754" w:rsidR="00710D17" w:rsidRPr="00710D17" w:rsidRDefault="00710D17" w:rsidP="00710D17">
            <w:pPr>
              <w:widowControl/>
              <w:autoSpaceDE/>
              <w:autoSpaceDN/>
              <w:adjustRightInd/>
              <w:rPr>
                <w:rFonts w:cs="Arial"/>
                <w:b w:val="0"/>
                <w:color w:val="000000"/>
                <w:sz w:val="20"/>
                <w:szCs w:val="20"/>
              </w:rPr>
            </w:pPr>
            <w:r>
              <w:rPr>
                <w:rFonts w:cs="Arial"/>
                <w:b w:val="0"/>
                <w:color w:val="000000"/>
                <w:sz w:val="20"/>
                <w:szCs w:val="20"/>
              </w:rPr>
              <w:t>T</w:t>
            </w:r>
            <w:r w:rsidRPr="00710D17">
              <w:rPr>
                <w:rFonts w:cs="Arial"/>
                <w:b w:val="0"/>
                <w:color w:val="000000"/>
                <w:sz w:val="20"/>
                <w:szCs w:val="20"/>
              </w:rPr>
              <w:t>imber</w:t>
            </w:r>
          </w:p>
        </w:tc>
        <w:tc>
          <w:tcPr>
            <w:tcW w:w="1134" w:type="dxa"/>
            <w:noWrap/>
            <w:vAlign w:val="bottom"/>
            <w:hideMark/>
          </w:tcPr>
          <w:p w14:paraId="12EDCC91" w14:textId="77777777" w:rsidR="00710D17" w:rsidRPr="000C10BB" w:rsidRDefault="00710D17" w:rsidP="00710D17">
            <w:pPr>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C10BB">
              <w:rPr>
                <w:rFonts w:cs="Arial"/>
                <w:color w:val="000000"/>
                <w:sz w:val="20"/>
                <w:szCs w:val="20"/>
              </w:rPr>
              <w:t>0.990</w:t>
            </w:r>
          </w:p>
        </w:tc>
        <w:tc>
          <w:tcPr>
            <w:tcW w:w="1134" w:type="dxa"/>
            <w:noWrap/>
            <w:vAlign w:val="bottom"/>
            <w:hideMark/>
          </w:tcPr>
          <w:p w14:paraId="47CD953E" w14:textId="77777777" w:rsidR="00710D17" w:rsidRPr="000C10BB" w:rsidRDefault="00710D17" w:rsidP="00710D17">
            <w:pPr>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C10BB">
              <w:rPr>
                <w:rFonts w:cs="Arial"/>
                <w:color w:val="000000"/>
                <w:sz w:val="20"/>
                <w:szCs w:val="20"/>
              </w:rPr>
              <w:t>0.580</w:t>
            </w:r>
          </w:p>
        </w:tc>
      </w:tr>
      <w:tr w:rsidR="00710D17" w:rsidRPr="00C652A5" w14:paraId="70BA2D56" w14:textId="77777777" w:rsidTr="00710D17">
        <w:trPr>
          <w:trHeight w:val="288"/>
          <w:jc w:val="center"/>
        </w:trPr>
        <w:tc>
          <w:tcPr>
            <w:cnfStyle w:val="001000000000" w:firstRow="0" w:lastRow="0" w:firstColumn="1" w:lastColumn="0" w:oddVBand="0" w:evenVBand="0" w:oddHBand="0" w:evenHBand="0" w:firstRowFirstColumn="0" w:firstRowLastColumn="0" w:lastRowFirstColumn="0" w:lastRowLastColumn="0"/>
            <w:tcW w:w="2268" w:type="dxa"/>
            <w:noWrap/>
            <w:vAlign w:val="bottom"/>
            <w:hideMark/>
          </w:tcPr>
          <w:p w14:paraId="0C030851" w14:textId="69268667" w:rsidR="00710D17" w:rsidRPr="00710D17" w:rsidRDefault="00710D17" w:rsidP="00710D17">
            <w:pPr>
              <w:widowControl/>
              <w:autoSpaceDE/>
              <w:autoSpaceDN/>
              <w:adjustRightInd/>
              <w:rPr>
                <w:rFonts w:cs="Arial"/>
                <w:b w:val="0"/>
                <w:color w:val="000000"/>
                <w:sz w:val="20"/>
                <w:szCs w:val="20"/>
              </w:rPr>
            </w:pPr>
            <w:r>
              <w:rPr>
                <w:rFonts w:cs="Arial"/>
                <w:b w:val="0"/>
                <w:color w:val="000000"/>
                <w:sz w:val="20"/>
                <w:szCs w:val="20"/>
              </w:rPr>
              <w:t>W</w:t>
            </w:r>
            <w:r w:rsidRPr="00710D17">
              <w:rPr>
                <w:rFonts w:cs="Arial"/>
                <w:b w:val="0"/>
                <w:color w:val="000000"/>
                <w:sz w:val="20"/>
                <w:szCs w:val="20"/>
              </w:rPr>
              <w:t>ood</w:t>
            </w:r>
            <w:r>
              <w:rPr>
                <w:rFonts w:cs="Arial"/>
                <w:b w:val="0"/>
                <w:color w:val="000000"/>
                <w:sz w:val="20"/>
                <w:szCs w:val="20"/>
              </w:rPr>
              <w:t xml:space="preserve"> and </w:t>
            </w:r>
            <w:r w:rsidRPr="00710D17">
              <w:rPr>
                <w:rFonts w:cs="Arial"/>
                <w:b w:val="0"/>
                <w:color w:val="000000"/>
                <w:sz w:val="20"/>
                <w:szCs w:val="20"/>
              </w:rPr>
              <w:t>paper</w:t>
            </w:r>
          </w:p>
        </w:tc>
        <w:tc>
          <w:tcPr>
            <w:tcW w:w="1134" w:type="dxa"/>
            <w:noWrap/>
            <w:vAlign w:val="bottom"/>
            <w:hideMark/>
          </w:tcPr>
          <w:p w14:paraId="6B62C45E" w14:textId="77777777" w:rsidR="00710D17" w:rsidRPr="000C10BB" w:rsidRDefault="00710D17" w:rsidP="00710D17">
            <w:pPr>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C10BB">
              <w:rPr>
                <w:rFonts w:cs="Arial"/>
                <w:color w:val="000000"/>
                <w:sz w:val="20"/>
                <w:szCs w:val="20"/>
              </w:rPr>
              <w:t>0.740</w:t>
            </w:r>
          </w:p>
        </w:tc>
        <w:tc>
          <w:tcPr>
            <w:tcW w:w="1134" w:type="dxa"/>
            <w:noWrap/>
            <w:vAlign w:val="bottom"/>
            <w:hideMark/>
          </w:tcPr>
          <w:p w14:paraId="47144C26" w14:textId="77777777" w:rsidR="00710D17" w:rsidRPr="000C10BB" w:rsidRDefault="00710D17" w:rsidP="00710D17">
            <w:pPr>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C10BB">
              <w:rPr>
                <w:rFonts w:cs="Arial"/>
                <w:color w:val="000000"/>
                <w:sz w:val="20"/>
                <w:szCs w:val="20"/>
              </w:rPr>
              <w:t>0.434</w:t>
            </w:r>
          </w:p>
        </w:tc>
      </w:tr>
      <w:tr w:rsidR="00710D17" w:rsidRPr="00C652A5" w14:paraId="21AED33B" w14:textId="77777777" w:rsidTr="00710D1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268" w:type="dxa"/>
            <w:noWrap/>
            <w:vAlign w:val="bottom"/>
            <w:hideMark/>
          </w:tcPr>
          <w:p w14:paraId="316A2CC9" w14:textId="2246664E" w:rsidR="00710D17" w:rsidRPr="00710D17" w:rsidRDefault="00710D17" w:rsidP="00710D17">
            <w:pPr>
              <w:widowControl/>
              <w:autoSpaceDE/>
              <w:autoSpaceDN/>
              <w:adjustRightInd/>
              <w:rPr>
                <w:rFonts w:cs="Arial"/>
                <w:b w:val="0"/>
                <w:color w:val="000000"/>
                <w:sz w:val="20"/>
                <w:szCs w:val="20"/>
              </w:rPr>
            </w:pPr>
            <w:r>
              <w:rPr>
                <w:rFonts w:cs="Arial"/>
                <w:b w:val="0"/>
                <w:color w:val="000000"/>
                <w:sz w:val="20"/>
                <w:szCs w:val="20"/>
              </w:rPr>
              <w:t>L</w:t>
            </w:r>
            <w:r w:rsidRPr="00710D17">
              <w:rPr>
                <w:rFonts w:cs="Arial"/>
                <w:b w:val="0"/>
                <w:color w:val="000000"/>
                <w:sz w:val="20"/>
                <w:szCs w:val="20"/>
              </w:rPr>
              <w:t>ivestock</w:t>
            </w:r>
          </w:p>
        </w:tc>
        <w:tc>
          <w:tcPr>
            <w:tcW w:w="1134" w:type="dxa"/>
            <w:noWrap/>
            <w:vAlign w:val="bottom"/>
            <w:hideMark/>
          </w:tcPr>
          <w:p w14:paraId="5144EE44" w14:textId="77777777" w:rsidR="00710D17" w:rsidRPr="000C10BB" w:rsidRDefault="00710D17" w:rsidP="00710D17">
            <w:pPr>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C10BB">
              <w:rPr>
                <w:rFonts w:cs="Arial"/>
                <w:color w:val="000000"/>
                <w:sz w:val="20"/>
                <w:szCs w:val="20"/>
              </w:rPr>
              <w:t>1.470</w:t>
            </w:r>
          </w:p>
        </w:tc>
        <w:tc>
          <w:tcPr>
            <w:tcW w:w="1134" w:type="dxa"/>
            <w:noWrap/>
            <w:vAlign w:val="bottom"/>
            <w:hideMark/>
          </w:tcPr>
          <w:p w14:paraId="5C7578F9" w14:textId="77777777" w:rsidR="00710D17" w:rsidRPr="000C10BB" w:rsidRDefault="00710D17" w:rsidP="00710D17">
            <w:pPr>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C10BB">
              <w:rPr>
                <w:rFonts w:cs="Arial"/>
                <w:color w:val="000000"/>
                <w:sz w:val="20"/>
                <w:szCs w:val="20"/>
              </w:rPr>
              <w:t>0.862</w:t>
            </w:r>
          </w:p>
        </w:tc>
      </w:tr>
      <w:tr w:rsidR="00710D17" w:rsidRPr="00C652A5" w14:paraId="59ABA423" w14:textId="77777777" w:rsidTr="00710D17">
        <w:trPr>
          <w:trHeight w:val="288"/>
          <w:jc w:val="center"/>
        </w:trPr>
        <w:tc>
          <w:tcPr>
            <w:cnfStyle w:val="001000000000" w:firstRow="0" w:lastRow="0" w:firstColumn="1" w:lastColumn="0" w:oddVBand="0" w:evenVBand="0" w:oddHBand="0" w:evenHBand="0" w:firstRowFirstColumn="0" w:firstRowLastColumn="0" w:lastRowFirstColumn="0" w:lastRowLastColumn="0"/>
            <w:tcW w:w="2268" w:type="dxa"/>
            <w:noWrap/>
            <w:vAlign w:val="bottom"/>
            <w:hideMark/>
          </w:tcPr>
          <w:p w14:paraId="4AEA520E" w14:textId="1092B01D" w:rsidR="00710D17" w:rsidRPr="00710D17" w:rsidRDefault="00710D17" w:rsidP="00710D17">
            <w:pPr>
              <w:widowControl/>
              <w:autoSpaceDE/>
              <w:autoSpaceDN/>
              <w:adjustRightInd/>
              <w:rPr>
                <w:rFonts w:cs="Arial"/>
                <w:b w:val="0"/>
                <w:color w:val="000000"/>
                <w:sz w:val="20"/>
                <w:szCs w:val="20"/>
              </w:rPr>
            </w:pPr>
            <w:r>
              <w:rPr>
                <w:rFonts w:cs="Arial"/>
                <w:b w:val="0"/>
                <w:color w:val="000000"/>
                <w:sz w:val="20"/>
                <w:szCs w:val="20"/>
              </w:rPr>
              <w:t>M</w:t>
            </w:r>
            <w:r w:rsidRPr="00710D17">
              <w:rPr>
                <w:rFonts w:cs="Arial"/>
                <w:b w:val="0"/>
                <w:color w:val="000000"/>
                <w:sz w:val="20"/>
                <w:szCs w:val="20"/>
              </w:rPr>
              <w:t>eat</w:t>
            </w:r>
          </w:p>
        </w:tc>
        <w:tc>
          <w:tcPr>
            <w:tcW w:w="1134" w:type="dxa"/>
            <w:noWrap/>
            <w:vAlign w:val="bottom"/>
            <w:hideMark/>
          </w:tcPr>
          <w:p w14:paraId="1A5AB1D7" w14:textId="77777777" w:rsidR="00710D17" w:rsidRPr="000C10BB" w:rsidRDefault="00710D17" w:rsidP="00710D17">
            <w:pPr>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C10BB">
              <w:rPr>
                <w:rFonts w:cs="Arial"/>
                <w:color w:val="000000"/>
                <w:sz w:val="20"/>
                <w:szCs w:val="20"/>
              </w:rPr>
              <w:t>1.000</w:t>
            </w:r>
          </w:p>
        </w:tc>
        <w:tc>
          <w:tcPr>
            <w:tcW w:w="1134" w:type="dxa"/>
            <w:noWrap/>
            <w:vAlign w:val="bottom"/>
            <w:hideMark/>
          </w:tcPr>
          <w:p w14:paraId="246534E9" w14:textId="77777777" w:rsidR="00710D17" w:rsidRPr="000C10BB" w:rsidRDefault="00710D17" w:rsidP="00710D17">
            <w:pPr>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C10BB">
              <w:rPr>
                <w:rFonts w:cs="Arial"/>
                <w:color w:val="000000"/>
                <w:sz w:val="20"/>
                <w:szCs w:val="20"/>
              </w:rPr>
              <w:t>0.586</w:t>
            </w:r>
          </w:p>
        </w:tc>
      </w:tr>
      <w:tr w:rsidR="00710D17" w:rsidRPr="00C652A5" w14:paraId="5351F488" w14:textId="77777777" w:rsidTr="00710D1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268" w:type="dxa"/>
            <w:noWrap/>
            <w:vAlign w:val="bottom"/>
            <w:hideMark/>
          </w:tcPr>
          <w:p w14:paraId="28C4B639" w14:textId="18CC54A1" w:rsidR="00710D17" w:rsidRPr="00710D17" w:rsidRDefault="00710D17" w:rsidP="00710D17">
            <w:pPr>
              <w:widowControl/>
              <w:autoSpaceDE/>
              <w:autoSpaceDN/>
              <w:adjustRightInd/>
              <w:rPr>
                <w:rFonts w:cs="Arial"/>
                <w:b w:val="0"/>
                <w:color w:val="000000"/>
                <w:sz w:val="20"/>
                <w:szCs w:val="20"/>
              </w:rPr>
            </w:pPr>
            <w:r>
              <w:rPr>
                <w:rFonts w:cs="Arial"/>
                <w:b w:val="0"/>
                <w:color w:val="000000"/>
                <w:sz w:val="20"/>
                <w:szCs w:val="20"/>
              </w:rPr>
              <w:t>H</w:t>
            </w:r>
            <w:r w:rsidRPr="00710D17">
              <w:rPr>
                <w:rFonts w:cs="Arial"/>
                <w:b w:val="0"/>
                <w:color w:val="000000"/>
                <w:sz w:val="20"/>
                <w:szCs w:val="20"/>
              </w:rPr>
              <w:t>orticulture</w:t>
            </w:r>
          </w:p>
        </w:tc>
        <w:tc>
          <w:tcPr>
            <w:tcW w:w="1134" w:type="dxa"/>
            <w:noWrap/>
            <w:vAlign w:val="bottom"/>
            <w:hideMark/>
          </w:tcPr>
          <w:p w14:paraId="1D8F6494" w14:textId="77777777" w:rsidR="00710D17" w:rsidRPr="000C10BB" w:rsidRDefault="00710D17" w:rsidP="00710D17">
            <w:pPr>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C10BB">
              <w:rPr>
                <w:rFonts w:cs="Arial"/>
                <w:color w:val="000000"/>
                <w:sz w:val="20"/>
                <w:szCs w:val="20"/>
              </w:rPr>
              <w:t>0.880</w:t>
            </w:r>
          </w:p>
        </w:tc>
        <w:tc>
          <w:tcPr>
            <w:tcW w:w="1134" w:type="dxa"/>
            <w:noWrap/>
            <w:vAlign w:val="bottom"/>
            <w:hideMark/>
          </w:tcPr>
          <w:p w14:paraId="21123A44" w14:textId="77777777" w:rsidR="00710D17" w:rsidRPr="000C10BB" w:rsidRDefault="00710D17" w:rsidP="00710D17">
            <w:pPr>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C10BB">
              <w:rPr>
                <w:rFonts w:cs="Arial"/>
                <w:color w:val="000000"/>
                <w:sz w:val="20"/>
                <w:szCs w:val="20"/>
              </w:rPr>
              <w:t>0.516</w:t>
            </w:r>
          </w:p>
        </w:tc>
      </w:tr>
      <w:tr w:rsidR="00710D17" w:rsidRPr="00C652A5" w14:paraId="3B384A23" w14:textId="77777777" w:rsidTr="00710D17">
        <w:trPr>
          <w:trHeight w:val="288"/>
          <w:jc w:val="center"/>
        </w:trPr>
        <w:tc>
          <w:tcPr>
            <w:cnfStyle w:val="001000000000" w:firstRow="0" w:lastRow="0" w:firstColumn="1" w:lastColumn="0" w:oddVBand="0" w:evenVBand="0" w:oddHBand="0" w:evenHBand="0" w:firstRowFirstColumn="0" w:firstRowLastColumn="0" w:lastRowFirstColumn="0" w:lastRowLastColumn="0"/>
            <w:tcW w:w="2268" w:type="dxa"/>
            <w:noWrap/>
            <w:vAlign w:val="bottom"/>
            <w:hideMark/>
          </w:tcPr>
          <w:p w14:paraId="0A1ED73B" w14:textId="16675ABE" w:rsidR="00710D17" w:rsidRPr="00710D17" w:rsidRDefault="00710D17" w:rsidP="00710D17">
            <w:pPr>
              <w:widowControl/>
              <w:autoSpaceDE/>
              <w:autoSpaceDN/>
              <w:adjustRightInd/>
              <w:rPr>
                <w:rFonts w:cs="Arial"/>
                <w:b w:val="0"/>
                <w:color w:val="000000"/>
                <w:sz w:val="20"/>
                <w:szCs w:val="20"/>
              </w:rPr>
            </w:pPr>
            <w:r>
              <w:rPr>
                <w:rFonts w:cs="Arial"/>
                <w:b w:val="0"/>
                <w:color w:val="000000"/>
                <w:sz w:val="20"/>
                <w:szCs w:val="20"/>
              </w:rPr>
              <w:t>A</w:t>
            </w:r>
            <w:r w:rsidRPr="00710D17">
              <w:rPr>
                <w:rFonts w:cs="Arial"/>
                <w:b w:val="0"/>
                <w:color w:val="000000"/>
                <w:sz w:val="20"/>
                <w:szCs w:val="20"/>
              </w:rPr>
              <w:t>gric</w:t>
            </w:r>
            <w:r>
              <w:rPr>
                <w:rFonts w:cs="Arial"/>
                <w:b w:val="0"/>
                <w:color w:val="000000"/>
                <w:sz w:val="20"/>
                <w:szCs w:val="20"/>
              </w:rPr>
              <w:t>ulture (</w:t>
            </w:r>
            <w:r w:rsidRPr="00710D17">
              <w:rPr>
                <w:rFonts w:cs="Arial"/>
                <w:b w:val="0"/>
                <w:color w:val="000000"/>
                <w:sz w:val="20"/>
                <w:szCs w:val="20"/>
              </w:rPr>
              <w:t>grain</w:t>
            </w:r>
            <w:r>
              <w:rPr>
                <w:rFonts w:cs="Arial"/>
                <w:b w:val="0"/>
                <w:color w:val="000000"/>
                <w:sz w:val="20"/>
                <w:szCs w:val="20"/>
              </w:rPr>
              <w:t>)</w:t>
            </w:r>
          </w:p>
        </w:tc>
        <w:tc>
          <w:tcPr>
            <w:tcW w:w="1134" w:type="dxa"/>
            <w:noWrap/>
            <w:vAlign w:val="bottom"/>
            <w:hideMark/>
          </w:tcPr>
          <w:p w14:paraId="5C33B365" w14:textId="77777777" w:rsidR="00710D17" w:rsidRPr="000C10BB" w:rsidRDefault="00710D17" w:rsidP="00710D17">
            <w:pPr>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C10BB">
              <w:rPr>
                <w:rFonts w:cs="Arial"/>
                <w:color w:val="000000"/>
                <w:sz w:val="20"/>
                <w:szCs w:val="20"/>
              </w:rPr>
              <w:t>0.720</w:t>
            </w:r>
          </w:p>
        </w:tc>
        <w:tc>
          <w:tcPr>
            <w:tcW w:w="1134" w:type="dxa"/>
            <w:noWrap/>
            <w:vAlign w:val="bottom"/>
            <w:hideMark/>
          </w:tcPr>
          <w:p w14:paraId="4676160A" w14:textId="77777777" w:rsidR="00710D17" w:rsidRPr="000C10BB" w:rsidRDefault="00710D17" w:rsidP="00710D17">
            <w:pPr>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C10BB">
              <w:rPr>
                <w:rFonts w:cs="Arial"/>
                <w:color w:val="000000"/>
                <w:sz w:val="20"/>
                <w:szCs w:val="20"/>
              </w:rPr>
              <w:t>0.422</w:t>
            </w:r>
          </w:p>
        </w:tc>
      </w:tr>
      <w:tr w:rsidR="00710D17" w:rsidRPr="00C652A5" w14:paraId="0C5287AD" w14:textId="77777777" w:rsidTr="00710D1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268" w:type="dxa"/>
            <w:noWrap/>
            <w:vAlign w:val="bottom"/>
            <w:hideMark/>
          </w:tcPr>
          <w:p w14:paraId="7980E5A5" w14:textId="246D758C" w:rsidR="00710D17" w:rsidRPr="00710D17" w:rsidRDefault="00710D17" w:rsidP="00710D17">
            <w:pPr>
              <w:widowControl/>
              <w:autoSpaceDE/>
              <w:autoSpaceDN/>
              <w:adjustRightInd/>
              <w:rPr>
                <w:rFonts w:cs="Arial"/>
                <w:b w:val="0"/>
                <w:color w:val="000000"/>
                <w:sz w:val="20"/>
                <w:szCs w:val="20"/>
              </w:rPr>
            </w:pPr>
            <w:r>
              <w:rPr>
                <w:rFonts w:cs="Arial"/>
                <w:b w:val="0"/>
                <w:color w:val="000000"/>
                <w:sz w:val="20"/>
                <w:szCs w:val="20"/>
              </w:rPr>
              <w:t>W</w:t>
            </w:r>
            <w:r w:rsidRPr="00710D17">
              <w:rPr>
                <w:rFonts w:cs="Arial"/>
                <w:b w:val="0"/>
                <w:color w:val="000000"/>
                <w:sz w:val="20"/>
                <w:szCs w:val="20"/>
              </w:rPr>
              <w:t>ool</w:t>
            </w:r>
          </w:p>
        </w:tc>
        <w:tc>
          <w:tcPr>
            <w:tcW w:w="1134" w:type="dxa"/>
            <w:noWrap/>
            <w:vAlign w:val="bottom"/>
            <w:hideMark/>
          </w:tcPr>
          <w:p w14:paraId="60F6EF57" w14:textId="77777777" w:rsidR="00710D17" w:rsidRPr="000C10BB" w:rsidRDefault="00710D17" w:rsidP="00710D17">
            <w:pPr>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C10BB">
              <w:rPr>
                <w:rFonts w:cs="Arial"/>
                <w:color w:val="000000"/>
                <w:sz w:val="20"/>
                <w:szCs w:val="20"/>
              </w:rPr>
              <w:t>1.310</w:t>
            </w:r>
          </w:p>
        </w:tc>
        <w:tc>
          <w:tcPr>
            <w:tcW w:w="1134" w:type="dxa"/>
            <w:noWrap/>
            <w:vAlign w:val="bottom"/>
            <w:hideMark/>
          </w:tcPr>
          <w:p w14:paraId="7C48B4F1" w14:textId="77777777" w:rsidR="00710D17" w:rsidRPr="000C10BB" w:rsidRDefault="00710D17" w:rsidP="00710D17">
            <w:pPr>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C10BB">
              <w:rPr>
                <w:rFonts w:cs="Arial"/>
                <w:color w:val="000000"/>
                <w:sz w:val="20"/>
                <w:szCs w:val="20"/>
              </w:rPr>
              <w:t>0.768</w:t>
            </w:r>
          </w:p>
        </w:tc>
      </w:tr>
      <w:tr w:rsidR="00710D17" w:rsidRPr="00C652A5" w14:paraId="24BFFAD3" w14:textId="77777777" w:rsidTr="00710D17">
        <w:trPr>
          <w:trHeight w:val="288"/>
          <w:jc w:val="center"/>
        </w:trPr>
        <w:tc>
          <w:tcPr>
            <w:cnfStyle w:val="001000000000" w:firstRow="0" w:lastRow="0" w:firstColumn="1" w:lastColumn="0" w:oddVBand="0" w:evenVBand="0" w:oddHBand="0" w:evenHBand="0" w:firstRowFirstColumn="0" w:firstRowLastColumn="0" w:lastRowFirstColumn="0" w:lastRowLastColumn="0"/>
            <w:tcW w:w="2268" w:type="dxa"/>
            <w:noWrap/>
            <w:vAlign w:val="bottom"/>
            <w:hideMark/>
          </w:tcPr>
          <w:p w14:paraId="552BB0B8" w14:textId="2DEB6057" w:rsidR="00710D17" w:rsidRPr="00710D17" w:rsidRDefault="00710D17" w:rsidP="00710D17">
            <w:pPr>
              <w:widowControl/>
              <w:autoSpaceDE/>
              <w:autoSpaceDN/>
              <w:adjustRightInd/>
              <w:rPr>
                <w:rFonts w:cs="Arial"/>
                <w:b w:val="0"/>
                <w:color w:val="000000"/>
                <w:sz w:val="20"/>
                <w:szCs w:val="20"/>
              </w:rPr>
            </w:pPr>
            <w:r>
              <w:rPr>
                <w:rFonts w:cs="Arial"/>
                <w:b w:val="0"/>
                <w:color w:val="000000"/>
                <w:sz w:val="20"/>
                <w:szCs w:val="20"/>
              </w:rPr>
              <w:t>F</w:t>
            </w:r>
            <w:r w:rsidRPr="00710D17">
              <w:rPr>
                <w:rFonts w:cs="Arial"/>
                <w:b w:val="0"/>
                <w:color w:val="000000"/>
                <w:sz w:val="20"/>
                <w:szCs w:val="20"/>
              </w:rPr>
              <w:t>ish</w:t>
            </w:r>
          </w:p>
        </w:tc>
        <w:tc>
          <w:tcPr>
            <w:tcW w:w="1134" w:type="dxa"/>
            <w:noWrap/>
            <w:vAlign w:val="bottom"/>
            <w:hideMark/>
          </w:tcPr>
          <w:p w14:paraId="08275784" w14:textId="77777777" w:rsidR="00710D17" w:rsidRPr="000C10BB" w:rsidRDefault="00710D17" w:rsidP="00710D17">
            <w:pPr>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C10BB">
              <w:rPr>
                <w:rFonts w:cs="Arial"/>
                <w:color w:val="000000"/>
                <w:sz w:val="20"/>
                <w:szCs w:val="20"/>
              </w:rPr>
              <w:t>1.000</w:t>
            </w:r>
          </w:p>
        </w:tc>
        <w:tc>
          <w:tcPr>
            <w:tcW w:w="1134" w:type="dxa"/>
            <w:noWrap/>
            <w:vAlign w:val="bottom"/>
            <w:hideMark/>
          </w:tcPr>
          <w:p w14:paraId="6855202B" w14:textId="77777777" w:rsidR="00710D17" w:rsidRPr="000C10BB" w:rsidRDefault="00710D17" w:rsidP="00710D17">
            <w:pPr>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C10BB">
              <w:rPr>
                <w:rFonts w:cs="Arial"/>
                <w:color w:val="000000"/>
                <w:sz w:val="20"/>
                <w:szCs w:val="20"/>
              </w:rPr>
              <w:t>0.586</w:t>
            </w:r>
          </w:p>
        </w:tc>
      </w:tr>
      <w:tr w:rsidR="00710D17" w:rsidRPr="00C652A5" w14:paraId="61523A6B" w14:textId="77777777" w:rsidTr="00710D1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268" w:type="dxa"/>
            <w:noWrap/>
            <w:vAlign w:val="bottom"/>
            <w:hideMark/>
          </w:tcPr>
          <w:p w14:paraId="74062506" w14:textId="3F923654" w:rsidR="00710D17" w:rsidRPr="00710D17" w:rsidRDefault="00710D17" w:rsidP="00710D17">
            <w:pPr>
              <w:widowControl/>
              <w:autoSpaceDE/>
              <w:autoSpaceDN/>
              <w:adjustRightInd/>
              <w:rPr>
                <w:rFonts w:cs="Arial"/>
                <w:b w:val="0"/>
                <w:color w:val="000000"/>
                <w:sz w:val="20"/>
                <w:szCs w:val="20"/>
              </w:rPr>
            </w:pPr>
            <w:r>
              <w:rPr>
                <w:rFonts w:cs="Arial"/>
                <w:b w:val="0"/>
                <w:color w:val="000000"/>
                <w:sz w:val="20"/>
                <w:szCs w:val="20"/>
              </w:rPr>
              <w:t>C</w:t>
            </w:r>
            <w:r w:rsidRPr="00710D17">
              <w:rPr>
                <w:rFonts w:cs="Arial"/>
                <w:b w:val="0"/>
                <w:color w:val="000000"/>
                <w:sz w:val="20"/>
                <w:szCs w:val="20"/>
              </w:rPr>
              <w:t>oal</w:t>
            </w:r>
          </w:p>
        </w:tc>
        <w:tc>
          <w:tcPr>
            <w:tcW w:w="1134" w:type="dxa"/>
            <w:noWrap/>
            <w:vAlign w:val="bottom"/>
            <w:hideMark/>
          </w:tcPr>
          <w:p w14:paraId="2AC7561C" w14:textId="77777777" w:rsidR="00710D17" w:rsidRPr="000C10BB" w:rsidRDefault="00710D17" w:rsidP="00710D17">
            <w:pPr>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C10BB">
              <w:rPr>
                <w:rFonts w:cs="Arial"/>
                <w:color w:val="000000"/>
                <w:sz w:val="20"/>
                <w:szCs w:val="20"/>
              </w:rPr>
              <w:t>0.740</w:t>
            </w:r>
          </w:p>
        </w:tc>
        <w:tc>
          <w:tcPr>
            <w:tcW w:w="1134" w:type="dxa"/>
            <w:noWrap/>
            <w:vAlign w:val="bottom"/>
            <w:hideMark/>
          </w:tcPr>
          <w:p w14:paraId="3C3F3E9F" w14:textId="77777777" w:rsidR="00710D17" w:rsidRPr="000C10BB" w:rsidRDefault="00710D17" w:rsidP="00710D17">
            <w:pPr>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C10BB">
              <w:rPr>
                <w:rFonts w:cs="Arial"/>
                <w:color w:val="000000"/>
                <w:sz w:val="20"/>
                <w:szCs w:val="20"/>
              </w:rPr>
              <w:t>0.434</w:t>
            </w:r>
          </w:p>
        </w:tc>
      </w:tr>
      <w:tr w:rsidR="00710D17" w:rsidRPr="00C652A5" w14:paraId="329FF401" w14:textId="77777777" w:rsidTr="00710D17">
        <w:trPr>
          <w:trHeight w:val="288"/>
          <w:jc w:val="center"/>
        </w:trPr>
        <w:tc>
          <w:tcPr>
            <w:cnfStyle w:val="001000000000" w:firstRow="0" w:lastRow="0" w:firstColumn="1" w:lastColumn="0" w:oddVBand="0" w:evenVBand="0" w:oddHBand="0" w:evenHBand="0" w:firstRowFirstColumn="0" w:firstRowLastColumn="0" w:lastRowFirstColumn="0" w:lastRowLastColumn="0"/>
            <w:tcW w:w="2268" w:type="dxa"/>
            <w:noWrap/>
            <w:vAlign w:val="bottom"/>
            <w:hideMark/>
          </w:tcPr>
          <w:p w14:paraId="2A9800DA" w14:textId="5D01E8FE" w:rsidR="00710D17" w:rsidRPr="00710D17" w:rsidRDefault="00710D17" w:rsidP="00710D17">
            <w:pPr>
              <w:widowControl/>
              <w:autoSpaceDE/>
              <w:autoSpaceDN/>
              <w:adjustRightInd/>
              <w:rPr>
                <w:rFonts w:cs="Arial"/>
                <w:b w:val="0"/>
                <w:color w:val="000000"/>
                <w:sz w:val="20"/>
                <w:szCs w:val="20"/>
              </w:rPr>
            </w:pPr>
            <w:r>
              <w:rPr>
                <w:rFonts w:cs="Arial"/>
                <w:b w:val="0"/>
                <w:color w:val="000000"/>
                <w:sz w:val="20"/>
                <w:szCs w:val="20"/>
              </w:rPr>
              <w:t>P</w:t>
            </w:r>
            <w:r w:rsidRPr="00710D17">
              <w:rPr>
                <w:rFonts w:cs="Arial"/>
                <w:b w:val="0"/>
                <w:color w:val="000000"/>
                <w:sz w:val="20"/>
                <w:szCs w:val="20"/>
              </w:rPr>
              <w:t>etroleum</w:t>
            </w:r>
          </w:p>
        </w:tc>
        <w:tc>
          <w:tcPr>
            <w:tcW w:w="1134" w:type="dxa"/>
            <w:noWrap/>
            <w:vAlign w:val="bottom"/>
            <w:hideMark/>
          </w:tcPr>
          <w:p w14:paraId="246566D7" w14:textId="77777777" w:rsidR="00710D17" w:rsidRPr="000C10BB" w:rsidRDefault="00710D17" w:rsidP="00710D17">
            <w:pPr>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C10BB">
              <w:rPr>
                <w:rFonts w:cs="Arial"/>
                <w:color w:val="000000"/>
                <w:sz w:val="20"/>
                <w:szCs w:val="20"/>
              </w:rPr>
              <w:t>1.200</w:t>
            </w:r>
          </w:p>
        </w:tc>
        <w:tc>
          <w:tcPr>
            <w:tcW w:w="1134" w:type="dxa"/>
            <w:noWrap/>
            <w:vAlign w:val="bottom"/>
            <w:hideMark/>
          </w:tcPr>
          <w:p w14:paraId="6127100F" w14:textId="77777777" w:rsidR="00710D17" w:rsidRPr="000C10BB" w:rsidRDefault="00710D17" w:rsidP="00710D17">
            <w:pPr>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C10BB">
              <w:rPr>
                <w:rFonts w:cs="Arial"/>
                <w:color w:val="000000"/>
                <w:sz w:val="20"/>
                <w:szCs w:val="20"/>
              </w:rPr>
              <w:t>0.703</w:t>
            </w:r>
          </w:p>
        </w:tc>
      </w:tr>
      <w:tr w:rsidR="00710D17" w:rsidRPr="00C652A5" w14:paraId="3DD6D7E1" w14:textId="77777777" w:rsidTr="00710D1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268" w:type="dxa"/>
            <w:noWrap/>
            <w:vAlign w:val="bottom"/>
            <w:hideMark/>
          </w:tcPr>
          <w:p w14:paraId="3D609B10" w14:textId="12CB4BEF" w:rsidR="00710D17" w:rsidRPr="00710D17" w:rsidRDefault="00710D17" w:rsidP="00710D17">
            <w:pPr>
              <w:widowControl/>
              <w:autoSpaceDE/>
              <w:autoSpaceDN/>
              <w:adjustRightInd/>
              <w:rPr>
                <w:rFonts w:cs="Arial"/>
                <w:b w:val="0"/>
                <w:color w:val="000000"/>
                <w:sz w:val="20"/>
                <w:szCs w:val="20"/>
              </w:rPr>
            </w:pPr>
            <w:r>
              <w:rPr>
                <w:rFonts w:cs="Arial"/>
                <w:b w:val="0"/>
                <w:color w:val="000000"/>
                <w:sz w:val="20"/>
                <w:szCs w:val="20"/>
              </w:rPr>
              <w:t>A</w:t>
            </w:r>
            <w:r w:rsidRPr="00710D17">
              <w:rPr>
                <w:rFonts w:cs="Arial"/>
                <w:b w:val="0"/>
                <w:color w:val="000000"/>
                <w:sz w:val="20"/>
                <w:szCs w:val="20"/>
              </w:rPr>
              <w:t>ggregate</w:t>
            </w:r>
          </w:p>
        </w:tc>
        <w:tc>
          <w:tcPr>
            <w:tcW w:w="1134" w:type="dxa"/>
            <w:noWrap/>
            <w:vAlign w:val="bottom"/>
            <w:hideMark/>
          </w:tcPr>
          <w:p w14:paraId="3E298057" w14:textId="77777777" w:rsidR="00710D17" w:rsidRPr="000C10BB" w:rsidRDefault="00710D17" w:rsidP="00710D17">
            <w:pPr>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C10BB">
              <w:rPr>
                <w:rFonts w:cs="Arial"/>
                <w:color w:val="000000"/>
                <w:sz w:val="20"/>
                <w:szCs w:val="20"/>
              </w:rPr>
              <w:t>0.650</w:t>
            </w:r>
          </w:p>
        </w:tc>
        <w:tc>
          <w:tcPr>
            <w:tcW w:w="1134" w:type="dxa"/>
            <w:noWrap/>
            <w:vAlign w:val="bottom"/>
            <w:hideMark/>
          </w:tcPr>
          <w:p w14:paraId="592D670A" w14:textId="77777777" w:rsidR="00710D17" w:rsidRPr="000C10BB" w:rsidRDefault="00710D17" w:rsidP="00710D17">
            <w:pPr>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C10BB">
              <w:rPr>
                <w:rFonts w:cs="Arial"/>
                <w:color w:val="000000"/>
                <w:sz w:val="20"/>
                <w:szCs w:val="20"/>
              </w:rPr>
              <w:t>0.381</w:t>
            </w:r>
          </w:p>
        </w:tc>
      </w:tr>
      <w:tr w:rsidR="00710D17" w:rsidRPr="00C652A5" w14:paraId="5E114920" w14:textId="77777777" w:rsidTr="00710D17">
        <w:trPr>
          <w:trHeight w:val="288"/>
          <w:jc w:val="center"/>
        </w:trPr>
        <w:tc>
          <w:tcPr>
            <w:cnfStyle w:val="001000000000" w:firstRow="0" w:lastRow="0" w:firstColumn="1" w:lastColumn="0" w:oddVBand="0" w:evenVBand="0" w:oddHBand="0" w:evenHBand="0" w:firstRowFirstColumn="0" w:firstRowLastColumn="0" w:lastRowFirstColumn="0" w:lastRowLastColumn="0"/>
            <w:tcW w:w="2268" w:type="dxa"/>
            <w:noWrap/>
            <w:vAlign w:val="bottom"/>
            <w:hideMark/>
          </w:tcPr>
          <w:p w14:paraId="7624A621" w14:textId="4B888748" w:rsidR="00710D17" w:rsidRPr="00710D17" w:rsidRDefault="00710D17" w:rsidP="00710D17">
            <w:pPr>
              <w:widowControl/>
              <w:autoSpaceDE/>
              <w:autoSpaceDN/>
              <w:adjustRightInd/>
              <w:rPr>
                <w:rFonts w:cs="Arial"/>
                <w:b w:val="0"/>
                <w:color w:val="000000"/>
                <w:sz w:val="20"/>
                <w:szCs w:val="20"/>
              </w:rPr>
            </w:pPr>
            <w:r>
              <w:rPr>
                <w:rFonts w:cs="Arial"/>
                <w:b w:val="0"/>
                <w:color w:val="000000"/>
                <w:sz w:val="20"/>
                <w:szCs w:val="20"/>
              </w:rPr>
              <w:t>L</w:t>
            </w:r>
            <w:r w:rsidRPr="00710D17">
              <w:rPr>
                <w:rFonts w:cs="Arial"/>
                <w:b w:val="0"/>
                <w:color w:val="000000"/>
                <w:sz w:val="20"/>
                <w:szCs w:val="20"/>
              </w:rPr>
              <w:t>imestone</w:t>
            </w:r>
            <w:r>
              <w:rPr>
                <w:rFonts w:cs="Arial"/>
                <w:b w:val="0"/>
                <w:color w:val="000000"/>
                <w:sz w:val="20"/>
                <w:szCs w:val="20"/>
              </w:rPr>
              <w:t xml:space="preserve"> and </w:t>
            </w:r>
            <w:r w:rsidRPr="00710D17">
              <w:rPr>
                <w:rFonts w:cs="Arial"/>
                <w:b w:val="0"/>
                <w:color w:val="000000"/>
                <w:sz w:val="20"/>
                <w:szCs w:val="20"/>
              </w:rPr>
              <w:t>cement</w:t>
            </w:r>
          </w:p>
        </w:tc>
        <w:tc>
          <w:tcPr>
            <w:tcW w:w="1134" w:type="dxa"/>
            <w:noWrap/>
            <w:vAlign w:val="bottom"/>
            <w:hideMark/>
          </w:tcPr>
          <w:p w14:paraId="7706468E" w14:textId="77777777" w:rsidR="00710D17" w:rsidRPr="000C10BB" w:rsidRDefault="00710D17" w:rsidP="00710D17">
            <w:pPr>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C10BB">
              <w:rPr>
                <w:rFonts w:cs="Arial"/>
                <w:color w:val="000000"/>
                <w:sz w:val="20"/>
                <w:szCs w:val="20"/>
              </w:rPr>
              <w:t>0.930</w:t>
            </w:r>
          </w:p>
        </w:tc>
        <w:tc>
          <w:tcPr>
            <w:tcW w:w="1134" w:type="dxa"/>
            <w:noWrap/>
            <w:vAlign w:val="bottom"/>
            <w:hideMark/>
          </w:tcPr>
          <w:p w14:paraId="46CDBE7B" w14:textId="77777777" w:rsidR="00710D17" w:rsidRPr="000C10BB" w:rsidRDefault="00710D17" w:rsidP="00710D17">
            <w:pPr>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C10BB">
              <w:rPr>
                <w:rFonts w:cs="Arial"/>
                <w:color w:val="000000"/>
                <w:sz w:val="20"/>
                <w:szCs w:val="20"/>
              </w:rPr>
              <w:t>0.545</w:t>
            </w:r>
          </w:p>
        </w:tc>
      </w:tr>
      <w:tr w:rsidR="00710D17" w:rsidRPr="00C652A5" w14:paraId="2990C188" w14:textId="77777777" w:rsidTr="00710D1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268" w:type="dxa"/>
            <w:noWrap/>
            <w:vAlign w:val="bottom"/>
            <w:hideMark/>
          </w:tcPr>
          <w:p w14:paraId="582F45A9" w14:textId="60E8531A" w:rsidR="00710D17" w:rsidRPr="00710D17" w:rsidRDefault="00710D17" w:rsidP="00710D17">
            <w:pPr>
              <w:widowControl/>
              <w:autoSpaceDE/>
              <w:autoSpaceDN/>
              <w:adjustRightInd/>
              <w:rPr>
                <w:rFonts w:cs="Arial"/>
                <w:b w:val="0"/>
                <w:color w:val="000000"/>
                <w:sz w:val="20"/>
                <w:szCs w:val="20"/>
              </w:rPr>
            </w:pPr>
            <w:r>
              <w:rPr>
                <w:rFonts w:cs="Arial"/>
                <w:b w:val="0"/>
                <w:color w:val="000000"/>
                <w:sz w:val="20"/>
                <w:szCs w:val="20"/>
              </w:rPr>
              <w:t>Stee</w:t>
            </w:r>
            <w:r w:rsidRPr="00710D17">
              <w:rPr>
                <w:rFonts w:cs="Arial"/>
                <w:b w:val="0"/>
                <w:color w:val="000000"/>
                <w:sz w:val="20"/>
                <w:szCs w:val="20"/>
              </w:rPr>
              <w:t>l</w:t>
            </w:r>
            <w:r>
              <w:rPr>
                <w:rFonts w:cs="Arial"/>
                <w:b w:val="0"/>
                <w:color w:val="000000"/>
                <w:sz w:val="20"/>
                <w:szCs w:val="20"/>
              </w:rPr>
              <w:t xml:space="preserve"> and </w:t>
            </w:r>
            <w:r w:rsidR="00631A84" w:rsidRPr="00710D17">
              <w:rPr>
                <w:rFonts w:cs="Arial"/>
                <w:b w:val="0"/>
                <w:color w:val="000000"/>
                <w:sz w:val="20"/>
                <w:szCs w:val="20"/>
              </w:rPr>
              <w:t>aluminium</w:t>
            </w:r>
          </w:p>
        </w:tc>
        <w:tc>
          <w:tcPr>
            <w:tcW w:w="1134" w:type="dxa"/>
            <w:noWrap/>
            <w:vAlign w:val="bottom"/>
            <w:hideMark/>
          </w:tcPr>
          <w:p w14:paraId="289059F5" w14:textId="77777777" w:rsidR="00710D17" w:rsidRPr="000C10BB" w:rsidRDefault="00710D17" w:rsidP="00710D17">
            <w:pPr>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C10BB">
              <w:rPr>
                <w:rFonts w:cs="Arial"/>
                <w:color w:val="000000"/>
                <w:sz w:val="20"/>
                <w:szCs w:val="20"/>
              </w:rPr>
              <w:t>1.350</w:t>
            </w:r>
          </w:p>
        </w:tc>
        <w:tc>
          <w:tcPr>
            <w:tcW w:w="1134" w:type="dxa"/>
            <w:noWrap/>
            <w:vAlign w:val="bottom"/>
            <w:hideMark/>
          </w:tcPr>
          <w:p w14:paraId="44D7E59E" w14:textId="77777777" w:rsidR="00710D17" w:rsidRPr="000C10BB" w:rsidRDefault="00710D17" w:rsidP="00710D17">
            <w:pPr>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C10BB">
              <w:rPr>
                <w:rFonts w:cs="Arial"/>
                <w:color w:val="000000"/>
                <w:sz w:val="20"/>
                <w:szCs w:val="20"/>
              </w:rPr>
              <w:t>0.791</w:t>
            </w:r>
          </w:p>
        </w:tc>
      </w:tr>
      <w:tr w:rsidR="00710D17" w:rsidRPr="00C652A5" w14:paraId="5DA39541" w14:textId="77777777" w:rsidTr="00710D17">
        <w:trPr>
          <w:trHeight w:val="288"/>
          <w:jc w:val="center"/>
        </w:trPr>
        <w:tc>
          <w:tcPr>
            <w:cnfStyle w:val="001000000000" w:firstRow="0" w:lastRow="0" w:firstColumn="1" w:lastColumn="0" w:oddVBand="0" w:evenVBand="0" w:oddHBand="0" w:evenHBand="0" w:firstRowFirstColumn="0" w:firstRowLastColumn="0" w:lastRowFirstColumn="0" w:lastRowLastColumn="0"/>
            <w:tcW w:w="2268" w:type="dxa"/>
            <w:noWrap/>
            <w:vAlign w:val="bottom"/>
            <w:hideMark/>
          </w:tcPr>
          <w:p w14:paraId="315D3DCC" w14:textId="10A354B6" w:rsidR="00710D17" w:rsidRPr="00710D17" w:rsidRDefault="00710D17" w:rsidP="00710D17">
            <w:pPr>
              <w:widowControl/>
              <w:autoSpaceDE/>
              <w:autoSpaceDN/>
              <w:adjustRightInd/>
              <w:rPr>
                <w:rFonts w:cs="Arial"/>
                <w:b w:val="0"/>
                <w:color w:val="000000"/>
                <w:sz w:val="20"/>
                <w:szCs w:val="20"/>
              </w:rPr>
            </w:pPr>
            <w:r>
              <w:rPr>
                <w:rFonts w:cs="Arial"/>
                <w:b w:val="0"/>
                <w:color w:val="000000"/>
                <w:sz w:val="20"/>
                <w:szCs w:val="20"/>
              </w:rPr>
              <w:t>M</w:t>
            </w:r>
            <w:r w:rsidRPr="00710D17">
              <w:rPr>
                <w:rFonts w:cs="Arial"/>
                <w:b w:val="0"/>
                <w:color w:val="000000"/>
                <w:sz w:val="20"/>
                <w:szCs w:val="20"/>
              </w:rPr>
              <w:t>anuf</w:t>
            </w:r>
            <w:r>
              <w:rPr>
                <w:rFonts w:cs="Arial"/>
                <w:b w:val="0"/>
                <w:color w:val="000000"/>
                <w:sz w:val="20"/>
                <w:szCs w:val="20"/>
              </w:rPr>
              <w:t xml:space="preserve">actured </w:t>
            </w:r>
            <w:r w:rsidRPr="00710D17">
              <w:rPr>
                <w:rFonts w:cs="Arial"/>
                <w:b w:val="0"/>
                <w:color w:val="000000"/>
                <w:sz w:val="20"/>
                <w:szCs w:val="20"/>
              </w:rPr>
              <w:t>goods</w:t>
            </w:r>
          </w:p>
        </w:tc>
        <w:tc>
          <w:tcPr>
            <w:tcW w:w="1134" w:type="dxa"/>
            <w:noWrap/>
            <w:vAlign w:val="bottom"/>
            <w:hideMark/>
          </w:tcPr>
          <w:p w14:paraId="61188835" w14:textId="77777777" w:rsidR="00710D17" w:rsidRPr="000C10BB" w:rsidRDefault="00710D17" w:rsidP="00710D17">
            <w:pPr>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C10BB">
              <w:rPr>
                <w:rFonts w:cs="Arial"/>
                <w:color w:val="000000"/>
                <w:sz w:val="20"/>
                <w:szCs w:val="20"/>
              </w:rPr>
              <w:t>1.250</w:t>
            </w:r>
          </w:p>
        </w:tc>
        <w:tc>
          <w:tcPr>
            <w:tcW w:w="1134" w:type="dxa"/>
            <w:noWrap/>
            <w:vAlign w:val="bottom"/>
            <w:hideMark/>
          </w:tcPr>
          <w:p w14:paraId="052E55F0" w14:textId="77777777" w:rsidR="00710D17" w:rsidRPr="000C10BB" w:rsidRDefault="00710D17" w:rsidP="00710D17">
            <w:pPr>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C10BB">
              <w:rPr>
                <w:rFonts w:cs="Arial"/>
                <w:color w:val="000000"/>
                <w:sz w:val="20"/>
                <w:szCs w:val="20"/>
              </w:rPr>
              <w:t>0.733</w:t>
            </w:r>
          </w:p>
        </w:tc>
      </w:tr>
      <w:tr w:rsidR="00710D17" w:rsidRPr="00C652A5" w14:paraId="6AB669B7" w14:textId="77777777" w:rsidTr="00710D1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268" w:type="dxa"/>
            <w:noWrap/>
            <w:vAlign w:val="bottom"/>
            <w:hideMark/>
          </w:tcPr>
          <w:p w14:paraId="67A1B9E0" w14:textId="3AD14B85" w:rsidR="00710D17" w:rsidRPr="00710D17" w:rsidRDefault="00710D17" w:rsidP="00710D17">
            <w:pPr>
              <w:widowControl/>
              <w:autoSpaceDE/>
              <w:autoSpaceDN/>
              <w:adjustRightInd/>
              <w:rPr>
                <w:rFonts w:cs="Arial"/>
                <w:b w:val="0"/>
                <w:color w:val="000000"/>
                <w:sz w:val="20"/>
                <w:szCs w:val="20"/>
              </w:rPr>
            </w:pPr>
            <w:r>
              <w:rPr>
                <w:rFonts w:cs="Arial"/>
                <w:b w:val="0"/>
                <w:color w:val="000000"/>
                <w:sz w:val="20"/>
                <w:szCs w:val="20"/>
              </w:rPr>
              <w:t>S</w:t>
            </w:r>
            <w:r w:rsidRPr="00710D17">
              <w:rPr>
                <w:rFonts w:cs="Arial"/>
                <w:b w:val="0"/>
                <w:color w:val="000000"/>
                <w:sz w:val="20"/>
                <w:szCs w:val="20"/>
              </w:rPr>
              <w:t>upermarket</w:t>
            </w:r>
          </w:p>
        </w:tc>
        <w:tc>
          <w:tcPr>
            <w:tcW w:w="1134" w:type="dxa"/>
            <w:noWrap/>
            <w:vAlign w:val="bottom"/>
            <w:hideMark/>
          </w:tcPr>
          <w:p w14:paraId="4264A95B" w14:textId="77777777" w:rsidR="00710D17" w:rsidRPr="000C10BB" w:rsidRDefault="00710D17" w:rsidP="00710D17">
            <w:pPr>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C10BB">
              <w:rPr>
                <w:rFonts w:cs="Arial"/>
                <w:color w:val="000000"/>
                <w:sz w:val="20"/>
                <w:szCs w:val="20"/>
              </w:rPr>
              <w:t>1.250</w:t>
            </w:r>
          </w:p>
        </w:tc>
        <w:tc>
          <w:tcPr>
            <w:tcW w:w="1134" w:type="dxa"/>
            <w:noWrap/>
            <w:vAlign w:val="bottom"/>
            <w:hideMark/>
          </w:tcPr>
          <w:p w14:paraId="2AC1DFE0" w14:textId="77777777" w:rsidR="00710D17" w:rsidRPr="000C10BB" w:rsidRDefault="00710D17" w:rsidP="00710D17">
            <w:pPr>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C10BB">
              <w:rPr>
                <w:rFonts w:cs="Arial"/>
                <w:color w:val="000000"/>
                <w:sz w:val="20"/>
                <w:szCs w:val="20"/>
              </w:rPr>
              <w:t>0.733</w:t>
            </w:r>
          </w:p>
        </w:tc>
      </w:tr>
      <w:tr w:rsidR="00710D17" w:rsidRPr="00C652A5" w14:paraId="224CD055" w14:textId="77777777" w:rsidTr="00710D17">
        <w:trPr>
          <w:trHeight w:val="288"/>
          <w:jc w:val="center"/>
        </w:trPr>
        <w:tc>
          <w:tcPr>
            <w:cnfStyle w:val="001000000000" w:firstRow="0" w:lastRow="0" w:firstColumn="1" w:lastColumn="0" w:oddVBand="0" w:evenVBand="0" w:oddHBand="0" w:evenHBand="0" w:firstRowFirstColumn="0" w:firstRowLastColumn="0" w:lastRowFirstColumn="0" w:lastRowLastColumn="0"/>
            <w:tcW w:w="2268" w:type="dxa"/>
            <w:noWrap/>
            <w:vAlign w:val="bottom"/>
            <w:hideMark/>
          </w:tcPr>
          <w:p w14:paraId="73028D69" w14:textId="7F481189" w:rsidR="00710D17" w:rsidRPr="00710D17" w:rsidRDefault="00710D17" w:rsidP="00710D17">
            <w:pPr>
              <w:widowControl/>
              <w:autoSpaceDE/>
              <w:autoSpaceDN/>
              <w:adjustRightInd/>
              <w:rPr>
                <w:rFonts w:cs="Arial"/>
                <w:b w:val="0"/>
                <w:color w:val="000000"/>
                <w:sz w:val="20"/>
                <w:szCs w:val="20"/>
              </w:rPr>
            </w:pPr>
            <w:r>
              <w:rPr>
                <w:rFonts w:cs="Arial"/>
                <w:b w:val="0"/>
                <w:color w:val="000000"/>
                <w:sz w:val="20"/>
                <w:szCs w:val="20"/>
              </w:rPr>
              <w:t>P</w:t>
            </w:r>
            <w:r w:rsidRPr="00710D17">
              <w:rPr>
                <w:rFonts w:cs="Arial"/>
                <w:b w:val="0"/>
                <w:color w:val="000000"/>
                <w:sz w:val="20"/>
                <w:szCs w:val="20"/>
              </w:rPr>
              <w:t>ost</w:t>
            </w:r>
            <w:r>
              <w:rPr>
                <w:rFonts w:cs="Arial"/>
                <w:b w:val="0"/>
                <w:color w:val="000000"/>
                <w:sz w:val="20"/>
                <w:szCs w:val="20"/>
              </w:rPr>
              <w:t xml:space="preserve"> and </w:t>
            </w:r>
            <w:r w:rsidRPr="00710D17">
              <w:rPr>
                <w:rFonts w:cs="Arial"/>
                <w:b w:val="0"/>
                <w:color w:val="000000"/>
                <w:sz w:val="20"/>
                <w:szCs w:val="20"/>
              </w:rPr>
              <w:t>courier</w:t>
            </w:r>
          </w:p>
        </w:tc>
        <w:tc>
          <w:tcPr>
            <w:tcW w:w="1134" w:type="dxa"/>
            <w:noWrap/>
            <w:vAlign w:val="bottom"/>
            <w:hideMark/>
          </w:tcPr>
          <w:p w14:paraId="43F7DF9E" w14:textId="77777777" w:rsidR="00710D17" w:rsidRPr="000C10BB" w:rsidRDefault="00710D17" w:rsidP="00710D17">
            <w:pPr>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C10BB">
              <w:rPr>
                <w:rFonts w:cs="Arial"/>
                <w:color w:val="000000"/>
                <w:sz w:val="20"/>
                <w:szCs w:val="20"/>
              </w:rPr>
              <w:t>1.250</w:t>
            </w:r>
          </w:p>
        </w:tc>
        <w:tc>
          <w:tcPr>
            <w:tcW w:w="1134" w:type="dxa"/>
            <w:noWrap/>
            <w:vAlign w:val="bottom"/>
            <w:hideMark/>
          </w:tcPr>
          <w:p w14:paraId="174A8E96" w14:textId="77777777" w:rsidR="00710D17" w:rsidRPr="000C10BB" w:rsidRDefault="00710D17" w:rsidP="00710D17">
            <w:pPr>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C10BB">
              <w:rPr>
                <w:rFonts w:cs="Arial"/>
                <w:color w:val="000000"/>
                <w:sz w:val="20"/>
                <w:szCs w:val="20"/>
              </w:rPr>
              <w:t>0.733</w:t>
            </w:r>
          </w:p>
        </w:tc>
      </w:tr>
      <w:tr w:rsidR="00710D17" w:rsidRPr="00C652A5" w14:paraId="0489A3CC" w14:textId="77777777" w:rsidTr="00710D1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268" w:type="dxa"/>
            <w:noWrap/>
            <w:vAlign w:val="bottom"/>
            <w:hideMark/>
          </w:tcPr>
          <w:p w14:paraId="77E11D6C" w14:textId="442CE9EC" w:rsidR="00710D17" w:rsidRPr="00710D17" w:rsidRDefault="00710D17" w:rsidP="00710D17">
            <w:pPr>
              <w:widowControl/>
              <w:autoSpaceDE/>
              <w:autoSpaceDN/>
              <w:adjustRightInd/>
              <w:rPr>
                <w:rFonts w:cs="Arial"/>
                <w:b w:val="0"/>
                <w:color w:val="000000"/>
                <w:sz w:val="20"/>
                <w:szCs w:val="20"/>
              </w:rPr>
            </w:pPr>
            <w:r>
              <w:rPr>
                <w:rFonts w:cs="Arial"/>
                <w:b w:val="0"/>
                <w:color w:val="000000"/>
                <w:sz w:val="20"/>
                <w:szCs w:val="20"/>
              </w:rPr>
              <w:t>I</w:t>
            </w:r>
            <w:r w:rsidRPr="00710D17">
              <w:rPr>
                <w:rFonts w:cs="Arial"/>
                <w:b w:val="0"/>
                <w:color w:val="000000"/>
                <w:sz w:val="20"/>
                <w:szCs w:val="20"/>
              </w:rPr>
              <w:t>mported</w:t>
            </w:r>
            <w:r>
              <w:rPr>
                <w:rFonts w:cs="Arial"/>
                <w:b w:val="0"/>
                <w:color w:val="000000"/>
                <w:sz w:val="20"/>
                <w:szCs w:val="20"/>
              </w:rPr>
              <w:t xml:space="preserve"> </w:t>
            </w:r>
            <w:r w:rsidRPr="00710D17">
              <w:rPr>
                <w:rFonts w:cs="Arial"/>
                <w:b w:val="0"/>
                <w:color w:val="000000"/>
                <w:sz w:val="20"/>
                <w:szCs w:val="20"/>
              </w:rPr>
              <w:t>cars</w:t>
            </w:r>
          </w:p>
        </w:tc>
        <w:tc>
          <w:tcPr>
            <w:tcW w:w="1134" w:type="dxa"/>
            <w:noWrap/>
            <w:vAlign w:val="bottom"/>
            <w:hideMark/>
          </w:tcPr>
          <w:p w14:paraId="1232C28E" w14:textId="77777777" w:rsidR="00710D17" w:rsidRPr="000C10BB" w:rsidRDefault="00710D17" w:rsidP="00710D17">
            <w:pPr>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C10BB">
              <w:rPr>
                <w:rFonts w:cs="Arial"/>
                <w:color w:val="000000"/>
                <w:sz w:val="20"/>
                <w:szCs w:val="20"/>
              </w:rPr>
              <w:t>1.350</w:t>
            </w:r>
          </w:p>
        </w:tc>
        <w:tc>
          <w:tcPr>
            <w:tcW w:w="1134" w:type="dxa"/>
            <w:noWrap/>
            <w:vAlign w:val="bottom"/>
            <w:hideMark/>
          </w:tcPr>
          <w:p w14:paraId="405E810D" w14:textId="77777777" w:rsidR="00710D17" w:rsidRPr="000C10BB" w:rsidRDefault="00710D17" w:rsidP="00710D17">
            <w:pPr>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C10BB">
              <w:rPr>
                <w:rFonts w:cs="Arial"/>
                <w:color w:val="000000"/>
                <w:sz w:val="20"/>
                <w:szCs w:val="20"/>
              </w:rPr>
              <w:t>0.791</w:t>
            </w:r>
          </w:p>
        </w:tc>
      </w:tr>
      <w:tr w:rsidR="00710D17" w:rsidRPr="00C652A5" w14:paraId="338FE5D9" w14:textId="77777777" w:rsidTr="00710D17">
        <w:trPr>
          <w:trHeight w:val="288"/>
          <w:jc w:val="center"/>
        </w:trPr>
        <w:tc>
          <w:tcPr>
            <w:cnfStyle w:val="001000000000" w:firstRow="0" w:lastRow="0" w:firstColumn="1" w:lastColumn="0" w:oddVBand="0" w:evenVBand="0" w:oddHBand="0" w:evenHBand="0" w:firstRowFirstColumn="0" w:firstRowLastColumn="0" w:lastRowFirstColumn="0" w:lastRowLastColumn="0"/>
            <w:tcW w:w="2268" w:type="dxa"/>
            <w:noWrap/>
            <w:vAlign w:val="bottom"/>
            <w:hideMark/>
          </w:tcPr>
          <w:p w14:paraId="2F5D74F2" w14:textId="1967B2AD" w:rsidR="00710D17" w:rsidRPr="00710D17" w:rsidRDefault="00710D17" w:rsidP="00710D17">
            <w:pPr>
              <w:widowControl/>
              <w:autoSpaceDE/>
              <w:autoSpaceDN/>
              <w:adjustRightInd/>
              <w:rPr>
                <w:rFonts w:cs="Arial"/>
                <w:b w:val="0"/>
                <w:color w:val="000000"/>
                <w:sz w:val="20"/>
                <w:szCs w:val="20"/>
              </w:rPr>
            </w:pPr>
            <w:r>
              <w:rPr>
                <w:rFonts w:cs="Arial"/>
                <w:b w:val="0"/>
                <w:color w:val="000000"/>
                <w:sz w:val="20"/>
                <w:szCs w:val="20"/>
              </w:rPr>
              <w:t>O</w:t>
            </w:r>
            <w:r w:rsidRPr="00710D17">
              <w:rPr>
                <w:rFonts w:cs="Arial"/>
                <w:b w:val="0"/>
                <w:color w:val="000000"/>
                <w:sz w:val="20"/>
                <w:szCs w:val="20"/>
              </w:rPr>
              <w:t>ther</w:t>
            </w:r>
            <w:r>
              <w:rPr>
                <w:rFonts w:cs="Arial"/>
                <w:b w:val="0"/>
                <w:color w:val="000000"/>
                <w:sz w:val="20"/>
                <w:szCs w:val="20"/>
              </w:rPr>
              <w:t xml:space="preserve"> </w:t>
            </w:r>
            <w:r w:rsidRPr="00710D17">
              <w:rPr>
                <w:rFonts w:cs="Arial"/>
                <w:b w:val="0"/>
                <w:color w:val="000000"/>
                <w:sz w:val="20"/>
                <w:szCs w:val="20"/>
              </w:rPr>
              <w:t>minerals</w:t>
            </w:r>
          </w:p>
        </w:tc>
        <w:tc>
          <w:tcPr>
            <w:tcW w:w="1134" w:type="dxa"/>
            <w:noWrap/>
            <w:vAlign w:val="bottom"/>
            <w:hideMark/>
          </w:tcPr>
          <w:p w14:paraId="2F5C255B" w14:textId="77777777" w:rsidR="00710D17" w:rsidRPr="000C10BB" w:rsidRDefault="00710D17" w:rsidP="00710D17">
            <w:pPr>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C10BB">
              <w:rPr>
                <w:rFonts w:cs="Arial"/>
                <w:color w:val="000000"/>
                <w:sz w:val="20"/>
                <w:szCs w:val="20"/>
              </w:rPr>
              <w:t>0.650</w:t>
            </w:r>
          </w:p>
        </w:tc>
        <w:tc>
          <w:tcPr>
            <w:tcW w:w="1134" w:type="dxa"/>
            <w:noWrap/>
            <w:vAlign w:val="bottom"/>
            <w:hideMark/>
          </w:tcPr>
          <w:p w14:paraId="7D11EBCC" w14:textId="77777777" w:rsidR="00710D17" w:rsidRPr="000C10BB" w:rsidRDefault="00710D17" w:rsidP="00710D17">
            <w:pPr>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C10BB">
              <w:rPr>
                <w:rFonts w:cs="Arial"/>
                <w:color w:val="000000"/>
                <w:sz w:val="20"/>
                <w:szCs w:val="20"/>
              </w:rPr>
              <w:t>0.381</w:t>
            </w:r>
          </w:p>
        </w:tc>
      </w:tr>
      <w:tr w:rsidR="00710D17" w:rsidRPr="00C652A5" w14:paraId="056769F7" w14:textId="77777777" w:rsidTr="00710D1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268" w:type="dxa"/>
            <w:noWrap/>
            <w:vAlign w:val="bottom"/>
            <w:hideMark/>
          </w:tcPr>
          <w:p w14:paraId="32718FAC" w14:textId="05D26B82" w:rsidR="00710D17" w:rsidRPr="00710D17" w:rsidRDefault="00710D17" w:rsidP="00710D17">
            <w:pPr>
              <w:widowControl/>
              <w:autoSpaceDE/>
              <w:autoSpaceDN/>
              <w:adjustRightInd/>
              <w:rPr>
                <w:rFonts w:cs="Arial"/>
                <w:b w:val="0"/>
                <w:color w:val="000000"/>
                <w:sz w:val="20"/>
                <w:szCs w:val="20"/>
              </w:rPr>
            </w:pPr>
            <w:r>
              <w:rPr>
                <w:rFonts w:cs="Arial"/>
                <w:b w:val="0"/>
                <w:color w:val="000000"/>
                <w:sz w:val="20"/>
                <w:szCs w:val="20"/>
              </w:rPr>
              <w:t>W</w:t>
            </w:r>
            <w:r w:rsidRPr="00710D17">
              <w:rPr>
                <w:rFonts w:cs="Arial"/>
                <w:b w:val="0"/>
                <w:color w:val="000000"/>
                <w:sz w:val="20"/>
                <w:szCs w:val="20"/>
              </w:rPr>
              <w:t>aste</w:t>
            </w:r>
          </w:p>
        </w:tc>
        <w:tc>
          <w:tcPr>
            <w:tcW w:w="1134" w:type="dxa"/>
            <w:noWrap/>
            <w:vAlign w:val="bottom"/>
            <w:hideMark/>
          </w:tcPr>
          <w:p w14:paraId="49A18B28" w14:textId="77777777" w:rsidR="00710D17" w:rsidRPr="000C10BB" w:rsidRDefault="00710D17" w:rsidP="00710D17">
            <w:pPr>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C10BB">
              <w:rPr>
                <w:rFonts w:cs="Arial"/>
                <w:color w:val="000000"/>
                <w:sz w:val="20"/>
                <w:szCs w:val="20"/>
              </w:rPr>
              <w:t>0.650</w:t>
            </w:r>
          </w:p>
        </w:tc>
        <w:tc>
          <w:tcPr>
            <w:tcW w:w="1134" w:type="dxa"/>
            <w:noWrap/>
            <w:vAlign w:val="bottom"/>
            <w:hideMark/>
          </w:tcPr>
          <w:p w14:paraId="556456EB" w14:textId="77777777" w:rsidR="00710D17" w:rsidRPr="000C10BB" w:rsidRDefault="00710D17" w:rsidP="00710D17">
            <w:pPr>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C10BB">
              <w:rPr>
                <w:rFonts w:cs="Arial"/>
                <w:color w:val="000000"/>
                <w:sz w:val="20"/>
                <w:szCs w:val="20"/>
              </w:rPr>
              <w:t>0.381</w:t>
            </w:r>
          </w:p>
        </w:tc>
      </w:tr>
    </w:tbl>
    <w:p w14:paraId="6B58CE1E" w14:textId="77777777" w:rsidR="000C10BB" w:rsidRDefault="00B9573F" w:rsidP="00C652A5">
      <w:pPr>
        <w:pStyle w:val="Caption"/>
        <w:rPr>
          <w:rFonts w:cs="Arial"/>
          <w:szCs w:val="22"/>
        </w:rPr>
      </w:pPr>
      <w:r>
        <w:rPr>
          <w:rFonts w:cs="Arial"/>
          <w:szCs w:val="22"/>
        </w:rPr>
        <w:t xml:space="preserve">     </w:t>
      </w:r>
      <w:bookmarkStart w:id="4" w:name="_Ref500599338"/>
    </w:p>
    <w:p w14:paraId="48E8473D" w14:textId="77777777" w:rsidR="009E74D1" w:rsidRDefault="00C652A5" w:rsidP="00C652A5">
      <w:pPr>
        <w:pStyle w:val="Caption"/>
        <w:rPr>
          <w:rFonts w:cs="Arial"/>
          <w:szCs w:val="22"/>
        </w:rPr>
      </w:pPr>
      <w:bookmarkStart w:id="5" w:name="_Ref505764698"/>
      <w:r>
        <w:t xml:space="preserve">Table </w:t>
      </w:r>
      <w:r w:rsidR="00722C0F">
        <w:fldChar w:fldCharType="begin"/>
      </w:r>
      <w:r w:rsidR="00722C0F">
        <w:instrText xml:space="preserve"> SEQ Table \* ARABIC </w:instrText>
      </w:r>
      <w:r w:rsidR="00722C0F">
        <w:fldChar w:fldCharType="separate"/>
      </w:r>
      <w:r w:rsidR="007008EC">
        <w:rPr>
          <w:noProof/>
        </w:rPr>
        <w:t>3</w:t>
      </w:r>
      <w:r w:rsidR="00722C0F">
        <w:rPr>
          <w:noProof/>
        </w:rPr>
        <w:fldChar w:fldCharType="end"/>
      </w:r>
      <w:bookmarkEnd w:id="4"/>
      <w:bookmarkEnd w:id="5"/>
      <w:r>
        <w:t xml:space="preserve"> Energy Intensity by sector and by mode</w:t>
      </w:r>
    </w:p>
    <w:p w14:paraId="1201D032" w14:textId="77777777" w:rsidR="00D43CBD" w:rsidRPr="00381A55" w:rsidRDefault="00D43CBD" w:rsidP="00AB6A60">
      <w:pPr>
        <w:jc w:val="both"/>
        <w:outlineLvl w:val="0"/>
        <w:rPr>
          <w:rFonts w:cs="Arial"/>
          <w:szCs w:val="22"/>
        </w:rPr>
      </w:pPr>
    </w:p>
    <w:p w14:paraId="6A9CCA41" w14:textId="77777777" w:rsidR="009F5B23" w:rsidRDefault="009F5B23" w:rsidP="009F5B23">
      <w:pPr>
        <w:jc w:val="both"/>
        <w:outlineLvl w:val="0"/>
        <w:rPr>
          <w:rFonts w:cs="Arial"/>
          <w:b/>
          <w:sz w:val="28"/>
          <w:szCs w:val="28"/>
        </w:rPr>
      </w:pPr>
      <w:r>
        <w:rPr>
          <w:rFonts w:cs="Arial"/>
          <w:b/>
          <w:sz w:val="28"/>
          <w:szCs w:val="28"/>
        </w:rPr>
        <w:t>RESULTS AND DISCUSSION</w:t>
      </w:r>
    </w:p>
    <w:p w14:paraId="7F424A72" w14:textId="77777777" w:rsidR="00631A84" w:rsidRDefault="000C10BB" w:rsidP="00AB6A60">
      <w:pPr>
        <w:jc w:val="both"/>
        <w:outlineLvl w:val="0"/>
        <w:rPr>
          <w:rFonts w:cs="Arial"/>
          <w:szCs w:val="22"/>
        </w:rPr>
      </w:pPr>
      <w:r>
        <w:rPr>
          <w:rFonts w:cs="Arial"/>
          <w:szCs w:val="22"/>
        </w:rPr>
        <w:t>Our main goal was</w:t>
      </w:r>
      <w:r w:rsidR="00AB6A60">
        <w:rPr>
          <w:rFonts w:cs="Arial"/>
          <w:szCs w:val="22"/>
        </w:rPr>
        <w:t xml:space="preserve"> to study the impact of transportation costs on the overall dispersion of the freight flo</w:t>
      </w:r>
      <w:r w:rsidR="006439B3">
        <w:rPr>
          <w:rFonts w:cs="Arial"/>
          <w:szCs w:val="22"/>
        </w:rPr>
        <w:t xml:space="preserve">w pattern and </w:t>
      </w:r>
      <w:r w:rsidR="00AB6A60">
        <w:rPr>
          <w:rFonts w:cs="Arial"/>
          <w:szCs w:val="22"/>
        </w:rPr>
        <w:t xml:space="preserve">on mode share. </w:t>
      </w:r>
      <w:r w:rsidR="00E500C2">
        <w:rPr>
          <w:rFonts w:cs="Arial"/>
          <w:szCs w:val="22"/>
        </w:rPr>
        <w:t>It has been estimated that in average f</w:t>
      </w:r>
      <w:r w:rsidR="00F72E2D">
        <w:rPr>
          <w:rFonts w:cs="Arial"/>
          <w:szCs w:val="22"/>
        </w:rPr>
        <w:t>uel costs represent</w:t>
      </w:r>
      <w:r w:rsidR="00E87ED7">
        <w:rPr>
          <w:rFonts w:cs="Arial"/>
          <w:szCs w:val="22"/>
        </w:rPr>
        <w:t xml:space="preserve"> up to</w:t>
      </w:r>
      <w:r w:rsidR="00F72E2D">
        <w:rPr>
          <w:rFonts w:cs="Arial"/>
          <w:szCs w:val="22"/>
        </w:rPr>
        <w:t xml:space="preserve"> 21% of the total costs for </w:t>
      </w:r>
      <w:r w:rsidR="00F55999">
        <w:rPr>
          <w:rFonts w:cs="Arial"/>
          <w:szCs w:val="22"/>
        </w:rPr>
        <w:t>road</w:t>
      </w:r>
      <w:r w:rsidR="008D01C2">
        <w:rPr>
          <w:rFonts w:cs="Arial"/>
          <w:szCs w:val="22"/>
        </w:rPr>
        <w:t xml:space="preserve"> transportation</w:t>
      </w:r>
      <w:r w:rsidR="00F72E2D">
        <w:rPr>
          <w:rFonts w:cs="Arial"/>
          <w:szCs w:val="22"/>
        </w:rPr>
        <w:t xml:space="preserve"> and</w:t>
      </w:r>
      <w:r w:rsidR="00E500C2">
        <w:rPr>
          <w:rFonts w:cs="Arial"/>
          <w:szCs w:val="22"/>
        </w:rPr>
        <w:t xml:space="preserve"> 14% for rail</w:t>
      </w:r>
      <w:r w:rsidR="008D01C2">
        <w:rPr>
          <w:rFonts w:cs="Arial"/>
          <w:szCs w:val="22"/>
        </w:rPr>
        <w:t xml:space="preserve"> transportation</w:t>
      </w:r>
      <w:r w:rsidR="003C0462">
        <w:rPr>
          <w:rFonts w:cs="Arial"/>
          <w:szCs w:val="22"/>
        </w:rPr>
        <w:t xml:space="preserve"> </w:t>
      </w:r>
      <w:r w:rsidR="003C0462">
        <w:rPr>
          <w:rFonts w:cs="Arial"/>
          <w:szCs w:val="22"/>
        </w:rPr>
        <w:fldChar w:fldCharType="begin"/>
      </w:r>
      <w:r w:rsidR="00A114F8">
        <w:rPr>
          <w:rFonts w:cs="Arial"/>
          <w:szCs w:val="22"/>
        </w:rPr>
        <w:instrText xml:space="preserve"> ADDIN EN.CITE &lt;EndNote&gt;&lt;Cite&gt;&lt;Author&gt;Bureau of Transportation&lt;/Author&gt;&lt;Year&gt;2016&lt;/Year&gt;&lt;RecNum&gt;4&lt;/RecNum&gt;&lt;DisplayText&gt;(Bureau of Transportation, 2016)&lt;/DisplayText&gt;&lt;record&gt;&lt;rec-number&gt;4&lt;/rec-number&gt;&lt;foreign-keys&gt;&lt;key app="EN" db-id="zesxtzdp6atewte95fc5dr2asp25rs2rstwt" timestamp="1512945675"&gt;4&lt;/key&gt;&lt;/foreign-keys&gt;&lt;ref-type name="Report"&gt;27&lt;/ref-type&gt;&lt;contributors&gt;&lt;authors&gt;&lt;author&gt;Bureau of Transportation, Statistics&lt;/author&gt;&lt;/authors&gt;&lt;/contributors&gt;&lt;titles&gt;&lt;title&gt;Transportation Economic Trends&lt;/title&gt;&lt;/titles&gt;&lt;dates&gt;&lt;year&gt;2016&lt;/year&gt;&lt;/dates&gt;&lt;pub-location&gt;Washington D.C.&lt;/pub-location&gt;&lt;isbn&gt;0940791242&lt;/isbn&gt;&lt;urls&gt;&lt;related-urls&gt;&lt;url&gt;https://www.bts.gov/content/transportation-economic-trends&lt;/url&gt;&lt;/related-urls&gt;&lt;/urls&gt;&lt;access-date&gt;10/11/2017&lt;/access-date&gt;&lt;/record&gt;&lt;/Cite&gt;&lt;/EndNote&gt;</w:instrText>
      </w:r>
      <w:r w:rsidR="003C0462">
        <w:rPr>
          <w:rFonts w:cs="Arial"/>
          <w:szCs w:val="22"/>
        </w:rPr>
        <w:fldChar w:fldCharType="separate"/>
      </w:r>
      <w:r w:rsidR="003C0462">
        <w:rPr>
          <w:rFonts w:cs="Arial"/>
          <w:noProof/>
          <w:szCs w:val="22"/>
        </w:rPr>
        <w:t>(Bureau of Transportation, 2016)</w:t>
      </w:r>
      <w:r w:rsidR="003C0462">
        <w:rPr>
          <w:rFonts w:cs="Arial"/>
          <w:szCs w:val="22"/>
        </w:rPr>
        <w:fldChar w:fldCharType="end"/>
      </w:r>
      <w:r>
        <w:rPr>
          <w:rFonts w:cs="Arial"/>
          <w:szCs w:val="22"/>
        </w:rPr>
        <w:t>; these values were incorporated to our calculations, since the utility functions</w:t>
      </w:r>
      <w:r w:rsidR="008D01C2">
        <w:rPr>
          <w:rFonts w:cs="Arial"/>
          <w:szCs w:val="22"/>
        </w:rPr>
        <w:t xml:space="preserve"> in our model</w:t>
      </w:r>
      <w:r>
        <w:rPr>
          <w:rFonts w:cs="Arial"/>
          <w:szCs w:val="22"/>
        </w:rPr>
        <w:t xml:space="preserve"> are</w:t>
      </w:r>
      <w:r w:rsidR="008D01C2">
        <w:rPr>
          <w:rFonts w:cs="Arial"/>
          <w:szCs w:val="22"/>
        </w:rPr>
        <w:t xml:space="preserve"> </w:t>
      </w:r>
      <w:r>
        <w:rPr>
          <w:rFonts w:cs="Arial"/>
          <w:szCs w:val="22"/>
        </w:rPr>
        <w:t>based on transportation costs. For instance, a 100% increase in oil prices will be reflected in a 7% and 11% increase in rail and road transportation costs, respectively.</w:t>
      </w:r>
      <w:r w:rsidR="008D01C2">
        <w:rPr>
          <w:rFonts w:cs="Arial"/>
          <w:szCs w:val="22"/>
        </w:rPr>
        <w:t xml:space="preserve"> These values were applied as factors to the transportation cost matrices for each mode. The RUBMRIO</w:t>
      </w:r>
      <w:r w:rsidR="00216B68">
        <w:rPr>
          <w:rFonts w:cs="Arial"/>
          <w:szCs w:val="22"/>
        </w:rPr>
        <w:t xml:space="preserve"> model</w:t>
      </w:r>
      <w:r w:rsidR="008D01C2">
        <w:rPr>
          <w:rFonts w:cs="Arial"/>
          <w:szCs w:val="22"/>
        </w:rPr>
        <w:t xml:space="preserve"> was executed and it delivered a new flow pattern that corresponds to the updated transportation costs. This process was carried out for a Business As Usual (BAU) scenario that represented the system with the current oil prices. The process was also performed for four alternative scenarios </w:t>
      </w:r>
      <w:r w:rsidR="003C2EBC">
        <w:rPr>
          <w:rFonts w:cs="Arial"/>
          <w:szCs w:val="22"/>
        </w:rPr>
        <w:t xml:space="preserve">where </w:t>
      </w:r>
      <w:r w:rsidR="008D01C2">
        <w:rPr>
          <w:rFonts w:cs="Arial"/>
          <w:szCs w:val="22"/>
        </w:rPr>
        <w:t>oil prices were doubled, tripled, quadrupled and quintupled.</w:t>
      </w:r>
      <w:r w:rsidR="00CE1221">
        <w:rPr>
          <w:rFonts w:cs="Arial"/>
          <w:szCs w:val="22"/>
        </w:rPr>
        <w:t xml:space="preserve"> The </w:t>
      </w:r>
      <w:r w:rsidR="00D73AEA">
        <w:rPr>
          <w:rFonts w:cs="Arial"/>
          <w:szCs w:val="22"/>
        </w:rPr>
        <w:t>OD flow matrix</w:t>
      </w:r>
      <w:r w:rsidR="00CE1221">
        <w:rPr>
          <w:rFonts w:cs="Arial"/>
          <w:szCs w:val="22"/>
        </w:rPr>
        <w:t xml:space="preserve"> for the BAU scenario matches the configuration that is reported in the NFD study, where flows are not disperse (located on the matrix diagonal) and there is not a sign of major trade between islands. According to our results, modal shares are 6.3% and 93.7%, for rail and road respectively. This distribution is very similar </w:t>
      </w:r>
      <w:r w:rsidR="003C2EBC">
        <w:rPr>
          <w:rFonts w:cs="Arial"/>
          <w:szCs w:val="22"/>
        </w:rPr>
        <w:t xml:space="preserve">to </w:t>
      </w:r>
      <w:r w:rsidR="00CE1221">
        <w:rPr>
          <w:rFonts w:cs="Arial"/>
          <w:szCs w:val="22"/>
        </w:rPr>
        <w:t xml:space="preserve">the modal share reported in the NFD study (7% rail, 91% road); this fact suggests that the origin and mode coefficients that were estimated </w:t>
      </w:r>
      <w:r w:rsidR="00216B68">
        <w:rPr>
          <w:rFonts w:cs="Arial"/>
          <w:szCs w:val="22"/>
        </w:rPr>
        <w:t xml:space="preserve">in this study, closely </w:t>
      </w:r>
      <w:r w:rsidR="00CE1221">
        <w:rPr>
          <w:rFonts w:cs="Arial"/>
          <w:szCs w:val="22"/>
        </w:rPr>
        <w:t xml:space="preserve">reflect </w:t>
      </w:r>
      <w:r w:rsidR="00216B68">
        <w:rPr>
          <w:rFonts w:cs="Arial"/>
          <w:szCs w:val="22"/>
        </w:rPr>
        <w:t xml:space="preserve">the behaviour of freight operators in New Zealand. </w:t>
      </w:r>
    </w:p>
    <w:p w14:paraId="7C518BFD" w14:textId="77777777" w:rsidR="00631A84" w:rsidRDefault="00283F42" w:rsidP="00AB6A60">
      <w:pPr>
        <w:jc w:val="both"/>
        <w:outlineLvl w:val="0"/>
        <w:rPr>
          <w:rFonts w:cs="Arial"/>
          <w:szCs w:val="22"/>
        </w:rPr>
      </w:pPr>
      <w:r>
        <w:rPr>
          <w:rFonts w:cs="Arial"/>
          <w:szCs w:val="22"/>
        </w:rPr>
        <w:fldChar w:fldCharType="begin" w:fldLock="1"/>
      </w:r>
      <w:r>
        <w:rPr>
          <w:rFonts w:cs="Arial"/>
          <w:szCs w:val="22"/>
        </w:rPr>
        <w:instrText>ADDIN CSL_CITATION { "citationItems" : [ { "id" : "ITEM-1", "itemData" : { "ISBN" : "978-0-473-15733-3", "author" : [ { "dropping-particle" : "", "family" : "Richard Paling Consulting", "given" : "", "non-dropping-particle" : "", "parse-names" : false, "suffix" : "" } ], "id" : "ITEM-1", "issued" : { "date-parts" : [ [ "2009" ] ] }, "title" : "Coastal Shipping and Modal Freight Choice", "type" : "book" }, "uris" : [ "http://www.mendeley.com/documents/?uuid=207af8fc-124e-4463-8f84-fcaabf3d63fb" ] } ], "mendeley" : { "formattedCitation" : "(Richard Paling Consulting, 2009)", "manualFormatting" : "Richard Paling Consulting (2009)", "plainTextFormattedCitation" : "(Richard Paling Consulting, 2009)", "previouslyFormattedCitation" : "(Richard Paling Consulting, 2009)" }, "properties" : {  }, "schema" : "https://github.com/citation-style-language/schema/raw/master/csl-citation.json" }</w:instrText>
      </w:r>
      <w:r>
        <w:rPr>
          <w:rFonts w:cs="Arial"/>
          <w:szCs w:val="22"/>
        </w:rPr>
        <w:fldChar w:fldCharType="separate"/>
      </w:r>
      <w:r>
        <w:rPr>
          <w:rFonts w:cs="Arial"/>
          <w:noProof/>
          <w:szCs w:val="22"/>
        </w:rPr>
        <w:t>Richard Paling Consulting</w:t>
      </w:r>
      <w:r w:rsidRPr="00283F42">
        <w:rPr>
          <w:rFonts w:cs="Arial"/>
          <w:noProof/>
          <w:szCs w:val="22"/>
        </w:rPr>
        <w:t xml:space="preserve"> </w:t>
      </w:r>
      <w:r>
        <w:rPr>
          <w:rFonts w:cs="Arial"/>
          <w:noProof/>
          <w:szCs w:val="22"/>
        </w:rPr>
        <w:t>(</w:t>
      </w:r>
      <w:r w:rsidRPr="00283F42">
        <w:rPr>
          <w:rFonts w:cs="Arial"/>
          <w:noProof/>
          <w:szCs w:val="22"/>
        </w:rPr>
        <w:t>2009)</w:t>
      </w:r>
      <w:r>
        <w:rPr>
          <w:rFonts w:cs="Arial"/>
          <w:szCs w:val="22"/>
        </w:rPr>
        <w:fldChar w:fldCharType="end"/>
      </w:r>
      <w:r>
        <w:rPr>
          <w:rFonts w:cs="Arial"/>
          <w:szCs w:val="22"/>
        </w:rPr>
        <w:t xml:space="preserve"> conducted a survey with industry participants to explore what were the main determinants for freight mode choice in New Zealand</w:t>
      </w:r>
      <w:r w:rsidR="00865938">
        <w:rPr>
          <w:rFonts w:cs="Arial"/>
          <w:szCs w:val="22"/>
        </w:rPr>
        <w:t>. From most to less important</w:t>
      </w:r>
      <w:r w:rsidR="006348EB">
        <w:rPr>
          <w:rFonts w:cs="Arial"/>
          <w:szCs w:val="22"/>
        </w:rPr>
        <w:t xml:space="preserve">, with 5 being the highest possible score, </w:t>
      </w:r>
      <w:r w:rsidR="00865938">
        <w:rPr>
          <w:rFonts w:cs="Arial"/>
          <w:szCs w:val="22"/>
        </w:rPr>
        <w:t>the ranking obtained was: reliability</w:t>
      </w:r>
      <w:r w:rsidR="006348EB">
        <w:rPr>
          <w:rFonts w:cs="Arial"/>
          <w:szCs w:val="22"/>
        </w:rPr>
        <w:t xml:space="preserve"> (4.75)</w:t>
      </w:r>
      <w:r w:rsidR="00865938">
        <w:rPr>
          <w:rFonts w:cs="Arial"/>
          <w:szCs w:val="22"/>
        </w:rPr>
        <w:t>, product care</w:t>
      </w:r>
      <w:r w:rsidR="006348EB">
        <w:rPr>
          <w:rFonts w:cs="Arial"/>
          <w:szCs w:val="22"/>
        </w:rPr>
        <w:t xml:space="preserve"> (4.64)</w:t>
      </w:r>
      <w:r w:rsidR="00865938">
        <w:rPr>
          <w:rFonts w:cs="Arial"/>
          <w:szCs w:val="22"/>
        </w:rPr>
        <w:t>, safety</w:t>
      </w:r>
      <w:r w:rsidR="006348EB">
        <w:rPr>
          <w:rFonts w:cs="Arial"/>
          <w:szCs w:val="22"/>
        </w:rPr>
        <w:t xml:space="preserve"> (4.58)</w:t>
      </w:r>
      <w:r w:rsidR="00865938">
        <w:rPr>
          <w:rFonts w:cs="Arial"/>
          <w:szCs w:val="22"/>
        </w:rPr>
        <w:t>, timeliness</w:t>
      </w:r>
      <w:r w:rsidR="006348EB">
        <w:rPr>
          <w:rFonts w:cs="Arial"/>
          <w:szCs w:val="22"/>
        </w:rPr>
        <w:t xml:space="preserve"> (4.31)</w:t>
      </w:r>
      <w:r w:rsidR="00865938">
        <w:rPr>
          <w:rFonts w:cs="Arial"/>
          <w:szCs w:val="22"/>
        </w:rPr>
        <w:t xml:space="preserve"> and cost</w:t>
      </w:r>
      <w:r w:rsidR="006348EB">
        <w:rPr>
          <w:rFonts w:cs="Arial"/>
          <w:szCs w:val="22"/>
        </w:rPr>
        <w:t xml:space="preserve"> (4.23)</w:t>
      </w:r>
      <w:r w:rsidR="00865938">
        <w:rPr>
          <w:rFonts w:cs="Arial"/>
          <w:szCs w:val="22"/>
        </w:rPr>
        <w:t xml:space="preserve"> </w:t>
      </w:r>
      <w:r w:rsidR="003C0462">
        <w:rPr>
          <w:rFonts w:cs="Arial"/>
          <w:szCs w:val="22"/>
        </w:rPr>
        <w:fldChar w:fldCharType="begin"/>
      </w:r>
      <w:r w:rsidR="003C0462">
        <w:rPr>
          <w:rFonts w:cs="Arial"/>
          <w:szCs w:val="22"/>
        </w:rPr>
        <w:instrText xml:space="preserve"> ADDIN EN.CITE &lt;EndNote&gt;&lt;Cite&gt;&lt;Author&gt;Richard Paling&lt;/Author&gt;&lt;Year&gt;2009&lt;/Year&gt;&lt;RecNum&gt;21&lt;/RecNum&gt;&lt;DisplayText&gt;(Richard Paling Consulting, 2009)&lt;/DisplayText&gt;&lt;record&gt;&lt;rec-number&gt;21&lt;/rec-number&gt;&lt;foreign-keys&gt;&lt;key app="EN" db-id="zesxtzdp6atewte95fc5dr2asp25rs2rstwt" timestamp="1512945675"&gt;21&lt;/key&gt;&lt;/foreign-keys&gt;&lt;ref-type name="Report"&gt;27&lt;/ref-type&gt;&lt;contributors&gt;&lt;authors&gt;&lt;author&gt;Richard Paling Consulting,&lt;/author&gt;&lt;/authors&gt;&lt;/contributors&gt;&lt;titles&gt;&lt;title&gt;Coastal Shipping and Modal Freight Choice&lt;/title&gt;&lt;/titles&gt;&lt;dates&gt;&lt;year&gt;2009&lt;/year&gt;&lt;/dates&gt;&lt;isbn&gt;978-0-473-15733-3&lt;/isbn&gt;&lt;urls&gt;&lt;related-urls&gt;&lt;url&gt;https://www.nzta.govt.nz&lt;/url&gt;&lt;/related-urls&gt;&lt;/urls&gt;&lt;/record&gt;&lt;/Cite&gt;&lt;/EndNote&gt;</w:instrText>
      </w:r>
      <w:r w:rsidR="003C0462">
        <w:rPr>
          <w:rFonts w:cs="Arial"/>
          <w:szCs w:val="22"/>
        </w:rPr>
        <w:fldChar w:fldCharType="separate"/>
      </w:r>
      <w:r w:rsidR="003C0462">
        <w:rPr>
          <w:rFonts w:cs="Arial"/>
          <w:noProof/>
          <w:szCs w:val="22"/>
        </w:rPr>
        <w:t>(Richard Paling Consulting, 2009)</w:t>
      </w:r>
      <w:r w:rsidR="003C0462">
        <w:rPr>
          <w:rFonts w:cs="Arial"/>
          <w:szCs w:val="22"/>
        </w:rPr>
        <w:fldChar w:fldCharType="end"/>
      </w:r>
      <w:r w:rsidR="00865938">
        <w:rPr>
          <w:rFonts w:cs="Arial"/>
          <w:szCs w:val="22"/>
        </w:rPr>
        <w:t>. We considered an Alternative Specific Constant (ASC) in our model and according to our estimations, this coefficient is statistically significant</w:t>
      </w:r>
      <w:r w:rsidR="0091119F">
        <w:rPr>
          <w:rFonts w:cs="Arial"/>
          <w:szCs w:val="22"/>
        </w:rPr>
        <w:t xml:space="preserve"> (p&lt;0.01).</w:t>
      </w:r>
      <w:r w:rsidR="00865938">
        <w:rPr>
          <w:rFonts w:cs="Arial"/>
          <w:szCs w:val="22"/>
        </w:rPr>
        <w:t xml:space="preserve"> </w:t>
      </w:r>
      <w:r w:rsidR="0091119F">
        <w:rPr>
          <w:rFonts w:cs="Arial"/>
          <w:szCs w:val="22"/>
        </w:rPr>
        <w:t>I</w:t>
      </w:r>
      <w:r w:rsidR="00865938">
        <w:rPr>
          <w:rFonts w:cs="Arial"/>
          <w:szCs w:val="22"/>
        </w:rPr>
        <w:t>t seems that the</w:t>
      </w:r>
      <w:r w:rsidR="0091119F">
        <w:rPr>
          <w:rFonts w:cs="Arial"/>
          <w:szCs w:val="22"/>
        </w:rPr>
        <w:t xml:space="preserve"> ASC (</w:t>
      </w:r>
      <m:oMath>
        <m:sSub>
          <m:sSubPr>
            <m:ctrlPr>
              <w:rPr>
                <w:rFonts w:ascii="Cambria Math" w:hAnsi="Cambria Math" w:cs="Arial"/>
                <w:i/>
                <w:sz w:val="20"/>
                <w:szCs w:val="22"/>
              </w:rPr>
            </m:ctrlPr>
          </m:sSubPr>
          <m:e>
            <m:r>
              <w:rPr>
                <w:rFonts w:ascii="Cambria Math" w:hAnsi="Cambria Math" w:cs="Arial"/>
                <w:sz w:val="20"/>
                <w:szCs w:val="22"/>
              </w:rPr>
              <m:t>β</m:t>
            </m:r>
          </m:e>
          <m:sub>
            <m:r>
              <w:rPr>
                <w:rFonts w:ascii="Cambria Math" w:hAnsi="Cambria Math" w:cs="Arial"/>
                <w:sz w:val="20"/>
                <w:szCs w:val="22"/>
              </w:rPr>
              <m:t>0,rail</m:t>
            </m:r>
          </m:sub>
        </m:sSub>
      </m:oMath>
      <w:r w:rsidR="0091119F">
        <w:rPr>
          <w:rFonts w:cs="Arial"/>
          <w:sz w:val="20"/>
          <w:szCs w:val="22"/>
        </w:rPr>
        <w:t>)</w:t>
      </w:r>
      <w:r w:rsidR="0091119F">
        <w:rPr>
          <w:rFonts w:cs="Arial"/>
          <w:szCs w:val="22"/>
        </w:rPr>
        <w:t xml:space="preserve"> appropriately allows for statistical identification of mode choice</w:t>
      </w:r>
      <w:r w:rsidR="00865938">
        <w:rPr>
          <w:rFonts w:cs="Arial"/>
          <w:szCs w:val="22"/>
        </w:rPr>
        <w:t xml:space="preserve"> </w:t>
      </w:r>
      <w:r w:rsidR="0091119F">
        <w:rPr>
          <w:rFonts w:cs="Arial"/>
          <w:szCs w:val="22"/>
        </w:rPr>
        <w:t xml:space="preserve">preference </w:t>
      </w:r>
      <w:r w:rsidR="00865938">
        <w:rPr>
          <w:rFonts w:cs="Arial"/>
          <w:szCs w:val="22"/>
        </w:rPr>
        <w:t>criteria</w:t>
      </w:r>
      <w:r w:rsidR="0091119F">
        <w:rPr>
          <w:rFonts w:cs="Arial"/>
          <w:szCs w:val="22"/>
        </w:rPr>
        <w:t xml:space="preserve"> </w:t>
      </w:r>
      <w:r w:rsidR="00865938">
        <w:rPr>
          <w:rFonts w:cs="Arial"/>
          <w:szCs w:val="22"/>
        </w:rPr>
        <w:t>not considered in our model</w:t>
      </w:r>
      <w:r w:rsidR="0091119F">
        <w:rPr>
          <w:rFonts w:cs="Arial"/>
          <w:szCs w:val="22"/>
        </w:rPr>
        <w:t xml:space="preserve">. Furthermore, </w:t>
      </w:r>
      <w:r w:rsidR="00DD6224">
        <w:rPr>
          <w:rFonts w:cs="Arial"/>
          <w:szCs w:val="22"/>
        </w:rPr>
        <w:t xml:space="preserve">the mode </w:t>
      </w:r>
      <w:r w:rsidR="00DD6224">
        <w:rPr>
          <w:rFonts w:cs="Arial"/>
          <w:szCs w:val="22"/>
        </w:rPr>
        <w:lastRenderedPageBreak/>
        <w:t xml:space="preserve">coefficient estimated for rail is positive and small, suggesting a higher preference for this mode over longer trips. </w:t>
      </w:r>
    </w:p>
    <w:p w14:paraId="5908DB13" w14:textId="77777777" w:rsidR="00C65DB9" w:rsidRDefault="00895E5A" w:rsidP="00AB6A60">
      <w:pPr>
        <w:jc w:val="both"/>
        <w:outlineLvl w:val="0"/>
        <w:rPr>
          <w:rFonts w:cs="Arial"/>
          <w:szCs w:val="22"/>
        </w:rPr>
      </w:pPr>
      <w:r>
        <w:rPr>
          <w:rFonts w:cs="Arial"/>
          <w:szCs w:val="22"/>
        </w:rPr>
        <w:t>Data availability is a major limitation for the development</w:t>
      </w:r>
      <w:r w:rsidR="00631A84">
        <w:rPr>
          <w:rFonts w:cs="Arial"/>
          <w:szCs w:val="22"/>
        </w:rPr>
        <w:t xml:space="preserve"> of MRIO models</w:t>
      </w:r>
      <w:r>
        <w:rPr>
          <w:rFonts w:cs="Arial"/>
          <w:szCs w:val="22"/>
        </w:rPr>
        <w:t xml:space="preserve">. Ideally, the model requires a social accounting matrix for every region that is considered in the analysis. In our case, we had to use regional technical coefficients that were previously estimated upon a national accounting matrix and regional statistics. </w:t>
      </w:r>
      <w:r w:rsidR="00FF0F4C">
        <w:rPr>
          <w:rFonts w:cs="Arial"/>
          <w:szCs w:val="22"/>
        </w:rPr>
        <w:t>Additionally, m</w:t>
      </w:r>
      <w:r>
        <w:rPr>
          <w:rFonts w:cs="Arial"/>
          <w:szCs w:val="22"/>
        </w:rPr>
        <w:t xml:space="preserve">ode and origin choice parameters were calculated upon the execution of a logistic regression package </w:t>
      </w:r>
      <w:r w:rsidR="00FF0F4C">
        <w:rPr>
          <w:rFonts w:cs="Arial"/>
          <w:szCs w:val="22"/>
        </w:rPr>
        <w:t xml:space="preserve">over a dataset that corresponded to the observations </w:t>
      </w:r>
      <w:r w:rsidR="001218B7">
        <w:rPr>
          <w:rFonts w:cs="Arial"/>
          <w:szCs w:val="22"/>
        </w:rPr>
        <w:t>r</w:t>
      </w:r>
      <w:r w:rsidR="00FF0F4C">
        <w:rPr>
          <w:rFonts w:cs="Arial"/>
          <w:szCs w:val="22"/>
        </w:rPr>
        <w:t xml:space="preserve">eported in the NFD Study. Consequently, we were </w:t>
      </w:r>
      <w:r w:rsidR="001218B7">
        <w:rPr>
          <w:rFonts w:cs="Arial"/>
          <w:szCs w:val="22"/>
        </w:rPr>
        <w:t>forced</w:t>
      </w:r>
      <w:r w:rsidR="00FF0F4C">
        <w:rPr>
          <w:rFonts w:cs="Arial"/>
          <w:szCs w:val="22"/>
        </w:rPr>
        <w:t xml:space="preserve"> to base our analysis on observations made for the entire freight sector, that is, the study did not present sector specific observations for mode choice.</w:t>
      </w:r>
      <w:r w:rsidR="001218B7">
        <w:rPr>
          <w:rFonts w:cs="Arial"/>
          <w:szCs w:val="22"/>
        </w:rPr>
        <w:t xml:space="preserve"> Furthermore, sectors such as livestock and waste, operate entire</w:t>
      </w:r>
      <w:r w:rsidR="00F118C3">
        <w:rPr>
          <w:rFonts w:cs="Arial"/>
          <w:szCs w:val="22"/>
        </w:rPr>
        <w:t>ly through road transportation.</w:t>
      </w:r>
      <w:r w:rsidR="001218B7">
        <w:rPr>
          <w:rFonts w:cs="Arial"/>
          <w:szCs w:val="22"/>
        </w:rPr>
        <w:t xml:space="preserve"> </w:t>
      </w:r>
      <w:r w:rsidR="00F118C3">
        <w:rPr>
          <w:rFonts w:cs="Arial"/>
          <w:szCs w:val="22"/>
        </w:rPr>
        <w:t>Given these circumstances, we decided to include these sectors for the analysis assuming that they are based on the same coefficients as the remaining sectors</w:t>
      </w:r>
      <w:r w:rsidR="001218B7">
        <w:rPr>
          <w:rFonts w:cs="Arial"/>
          <w:szCs w:val="22"/>
        </w:rPr>
        <w:t xml:space="preserve">. </w:t>
      </w:r>
      <w:r w:rsidR="00713B46">
        <w:rPr>
          <w:rFonts w:cs="Arial"/>
          <w:szCs w:val="22"/>
        </w:rPr>
        <w:t>E</w:t>
      </w:r>
      <w:r w:rsidR="00F118C3">
        <w:rPr>
          <w:rFonts w:cs="Arial"/>
          <w:szCs w:val="22"/>
        </w:rPr>
        <w:t>ach sector will most likely be characterized by its own set of coefficients, given that the</w:t>
      </w:r>
      <w:r w:rsidR="00713B46">
        <w:rPr>
          <w:rFonts w:cs="Arial"/>
          <w:szCs w:val="22"/>
        </w:rPr>
        <w:t>ir</w:t>
      </w:r>
      <w:r w:rsidR="00F118C3">
        <w:rPr>
          <w:rFonts w:cs="Arial"/>
          <w:szCs w:val="22"/>
        </w:rPr>
        <w:t xml:space="preserve"> physical c</w:t>
      </w:r>
      <w:r w:rsidR="00713B46">
        <w:rPr>
          <w:rFonts w:cs="Arial"/>
          <w:szCs w:val="22"/>
        </w:rPr>
        <w:t>haracteristics</w:t>
      </w:r>
      <w:r w:rsidR="00F118C3">
        <w:rPr>
          <w:rFonts w:cs="Arial"/>
          <w:szCs w:val="22"/>
        </w:rPr>
        <w:t xml:space="preserve"> appeal for </w:t>
      </w:r>
      <w:r w:rsidR="00713B46">
        <w:rPr>
          <w:rFonts w:cs="Arial"/>
          <w:szCs w:val="22"/>
        </w:rPr>
        <w:t>choice determinants that may have more weight or importance than transportation cost. The assumption that all sectors follow the same estimated mode coefficients certainly reduces the reliability of the model in terms of predicting travel demand.</w:t>
      </w:r>
      <w:r w:rsidR="00C65DB9">
        <w:rPr>
          <w:rFonts w:cs="Arial"/>
          <w:szCs w:val="22"/>
        </w:rPr>
        <w:t xml:space="preserve"> Nevertheless, the main goal of our approach was not to provide a precise estimation of travel demand, but rather, understand the impact of transportation costs on the overall freight dispersion and the importance of relying on a strategic network that allows for modal shift given a critical and highly possible scenario.</w:t>
      </w:r>
    </w:p>
    <w:p w14:paraId="0FE8AF99" w14:textId="309DADB3" w:rsidR="00631A84" w:rsidRDefault="00C65DB9" w:rsidP="00AB6A60">
      <w:pPr>
        <w:jc w:val="both"/>
        <w:outlineLvl w:val="0"/>
        <w:rPr>
          <w:rFonts w:cs="Arial"/>
          <w:szCs w:val="22"/>
        </w:rPr>
      </w:pPr>
      <w:r>
        <w:rPr>
          <w:rFonts w:cs="Arial"/>
          <w:szCs w:val="22"/>
        </w:rPr>
        <w:t xml:space="preserve">The omission of coastal shipping as an alternative mode is also a feature that may underestimate the overall reliance of the New Zealand freight transportation network. </w:t>
      </w:r>
      <w:r w:rsidR="00E531A9">
        <w:rPr>
          <w:rFonts w:cs="Arial"/>
          <w:szCs w:val="22"/>
        </w:rPr>
        <w:t xml:space="preserve">Data availability is a recurring limitation that forced us to incur in the two mode formulation. According to the NFD study, the current modal share for coastal shipping is approximately 2% and it is almost entirely exclusive to petroleum shipments, hence it </w:t>
      </w:r>
      <w:r w:rsidR="000639F3">
        <w:rPr>
          <w:rFonts w:cs="Arial"/>
          <w:szCs w:val="22"/>
        </w:rPr>
        <w:t>was infeasible</w:t>
      </w:r>
      <w:r w:rsidR="00E531A9">
        <w:rPr>
          <w:rFonts w:cs="Arial"/>
          <w:szCs w:val="22"/>
        </w:rPr>
        <w:t xml:space="preserve"> to provide proper coefficients that will reflect sector specific preferences for this mode. Our methodology considers that transportation costs are proportional to travelled distances, however, </w:t>
      </w:r>
      <w:r w:rsidR="000639F3">
        <w:rPr>
          <w:rFonts w:cs="Arial"/>
          <w:szCs w:val="22"/>
        </w:rPr>
        <w:t>freight logistics are far more complex than that. We estimated mode choice coefficients for coastal shipping. The estimation was also based on general observations from the entire freight sectors</w:t>
      </w:r>
      <w:r w:rsidR="006B14B9">
        <w:rPr>
          <w:rFonts w:cs="Arial"/>
          <w:szCs w:val="22"/>
        </w:rPr>
        <w:t>.</w:t>
      </w:r>
      <w:r w:rsidR="000639F3">
        <w:rPr>
          <w:rFonts w:cs="Arial"/>
          <w:szCs w:val="22"/>
        </w:rPr>
        <w:t xml:space="preserve"> </w:t>
      </w:r>
      <w:r w:rsidR="006B14B9">
        <w:rPr>
          <w:rFonts w:cs="Arial"/>
          <w:szCs w:val="22"/>
        </w:rPr>
        <w:t>T</w:t>
      </w:r>
      <w:r w:rsidR="000639F3">
        <w:rPr>
          <w:rFonts w:cs="Arial"/>
          <w:szCs w:val="22"/>
        </w:rPr>
        <w:t>he</w:t>
      </w:r>
      <w:r w:rsidR="006B14B9">
        <w:rPr>
          <w:rFonts w:cs="Arial"/>
          <w:szCs w:val="22"/>
        </w:rPr>
        <w:t xml:space="preserve"> obtained</w:t>
      </w:r>
      <w:r w:rsidR="000639F3">
        <w:rPr>
          <w:rFonts w:cs="Arial"/>
          <w:szCs w:val="22"/>
        </w:rPr>
        <w:t xml:space="preserve"> coefficients were not statistically significant and the overall dispersion overestimated the share for coastal</w:t>
      </w:r>
      <w:r w:rsidR="00EF527A">
        <w:rPr>
          <w:rFonts w:cs="Arial"/>
          <w:szCs w:val="22"/>
        </w:rPr>
        <w:t>, therefore coastal shipments were not included in the analysis</w:t>
      </w:r>
      <w:r w:rsidR="000639F3">
        <w:rPr>
          <w:rFonts w:cs="Arial"/>
          <w:szCs w:val="22"/>
        </w:rPr>
        <w:t>.</w:t>
      </w:r>
      <w:r w:rsidR="006B14B9">
        <w:rPr>
          <w:rFonts w:cs="Arial"/>
          <w:szCs w:val="22"/>
        </w:rPr>
        <w:t xml:space="preserve"> This phenomenon can be explained by the complexity of the logistics, since our costing methodology is solely based on geographic data and does not account for other fees like transhipment and storage.  </w:t>
      </w:r>
      <w:r w:rsidR="000639F3">
        <w:rPr>
          <w:rFonts w:cs="Arial"/>
          <w:szCs w:val="22"/>
        </w:rPr>
        <w:t xml:space="preserve">    </w:t>
      </w:r>
      <w:r w:rsidR="00E531A9">
        <w:rPr>
          <w:rFonts w:cs="Arial"/>
          <w:szCs w:val="22"/>
        </w:rPr>
        <w:t xml:space="preserve">   </w:t>
      </w:r>
      <w:r>
        <w:rPr>
          <w:rFonts w:cs="Arial"/>
          <w:szCs w:val="22"/>
        </w:rPr>
        <w:t xml:space="preserve">     </w:t>
      </w:r>
      <w:r w:rsidR="00713B46">
        <w:rPr>
          <w:rFonts w:cs="Arial"/>
          <w:szCs w:val="22"/>
        </w:rPr>
        <w:t xml:space="preserve">  </w:t>
      </w:r>
    </w:p>
    <w:p w14:paraId="72A66D3E" w14:textId="77777777" w:rsidR="000639F3" w:rsidRDefault="000639F3" w:rsidP="00AB6A60">
      <w:pPr>
        <w:jc w:val="both"/>
        <w:outlineLvl w:val="0"/>
        <w:rPr>
          <w:rFonts w:cs="Arial"/>
          <w:szCs w:val="22"/>
        </w:rPr>
      </w:pPr>
    </w:p>
    <w:p w14:paraId="5F407196" w14:textId="5F7468E3" w:rsidR="00ED1986" w:rsidRDefault="00DD6224" w:rsidP="00AB6A60">
      <w:pPr>
        <w:jc w:val="both"/>
        <w:outlineLvl w:val="0"/>
        <w:rPr>
          <w:rFonts w:cs="Arial"/>
          <w:szCs w:val="22"/>
        </w:rPr>
      </w:pPr>
      <w:r>
        <w:rPr>
          <w:rFonts w:cs="Arial"/>
          <w:szCs w:val="22"/>
        </w:rPr>
        <w:t>It can be evidenced from</w:t>
      </w:r>
      <w:r w:rsidR="00D73AEA">
        <w:rPr>
          <w:rFonts w:cs="Arial"/>
          <w:szCs w:val="22"/>
        </w:rPr>
        <w:t xml:space="preserve"> </w:t>
      </w:r>
      <w:r w:rsidR="00D73AEA">
        <w:rPr>
          <w:rFonts w:cs="Arial"/>
          <w:szCs w:val="22"/>
        </w:rPr>
        <w:fldChar w:fldCharType="begin"/>
      </w:r>
      <w:r w:rsidR="00D73AEA">
        <w:rPr>
          <w:rFonts w:cs="Arial"/>
          <w:szCs w:val="22"/>
        </w:rPr>
        <w:instrText xml:space="preserve"> REF _Ref500660686 \h </w:instrText>
      </w:r>
      <w:r w:rsidR="00D73AEA">
        <w:rPr>
          <w:rFonts w:cs="Arial"/>
          <w:szCs w:val="22"/>
        </w:rPr>
      </w:r>
      <w:r w:rsidR="00D73AEA">
        <w:rPr>
          <w:rFonts w:cs="Arial"/>
          <w:szCs w:val="22"/>
        </w:rPr>
        <w:fldChar w:fldCharType="separate"/>
      </w:r>
      <w:r w:rsidR="00D73AEA">
        <w:t xml:space="preserve">Figure </w:t>
      </w:r>
      <w:r w:rsidR="00D73AEA">
        <w:rPr>
          <w:noProof/>
        </w:rPr>
        <w:t>2</w:t>
      </w:r>
      <w:r w:rsidR="00D73AEA">
        <w:rPr>
          <w:rFonts w:cs="Arial"/>
          <w:szCs w:val="22"/>
        </w:rPr>
        <w:fldChar w:fldCharType="end"/>
      </w:r>
      <w:r>
        <w:rPr>
          <w:rFonts w:cs="Arial"/>
          <w:szCs w:val="22"/>
        </w:rPr>
        <w:t>, that as prices increase, rail starts becoming a more attractive option</w:t>
      </w:r>
      <w:r w:rsidR="00E57396">
        <w:rPr>
          <w:rFonts w:cs="Arial"/>
          <w:szCs w:val="22"/>
        </w:rPr>
        <w:t>.</w:t>
      </w:r>
      <w:r>
        <w:rPr>
          <w:rFonts w:cs="Arial"/>
          <w:szCs w:val="22"/>
        </w:rPr>
        <w:t xml:space="preserve"> </w:t>
      </w:r>
      <w:r w:rsidR="00E57396">
        <w:rPr>
          <w:rFonts w:cs="Arial"/>
          <w:szCs w:val="22"/>
        </w:rPr>
        <w:t>Rail’s</w:t>
      </w:r>
      <w:r>
        <w:rPr>
          <w:rFonts w:cs="Arial"/>
          <w:szCs w:val="22"/>
        </w:rPr>
        <w:t xml:space="preserve"> tonnage modal share (58%</w:t>
      </w:r>
      <w:r w:rsidR="00E57396">
        <w:rPr>
          <w:rFonts w:cs="Arial"/>
          <w:szCs w:val="22"/>
        </w:rPr>
        <w:t>) supersedes</w:t>
      </w:r>
      <w:r>
        <w:rPr>
          <w:rFonts w:cs="Arial"/>
          <w:szCs w:val="22"/>
        </w:rPr>
        <w:t xml:space="preserve"> that of truck transport (42%) in the last scenario (400% fuel</w:t>
      </w:r>
      <w:r w:rsidR="00E57396">
        <w:rPr>
          <w:rFonts w:cs="Arial"/>
          <w:szCs w:val="22"/>
        </w:rPr>
        <w:t xml:space="preserve"> price increase); </w:t>
      </w:r>
      <w:r w:rsidR="00D73AEA">
        <w:rPr>
          <w:rFonts w:cs="Arial"/>
          <w:szCs w:val="22"/>
        </w:rPr>
        <w:t>we</w:t>
      </w:r>
      <w:r w:rsidR="00E57396">
        <w:rPr>
          <w:rFonts w:cs="Arial"/>
          <w:szCs w:val="22"/>
        </w:rPr>
        <w:t xml:space="preserve"> also </w:t>
      </w:r>
      <w:r w:rsidR="00D73AEA">
        <w:rPr>
          <w:rFonts w:cs="Arial"/>
          <w:szCs w:val="22"/>
        </w:rPr>
        <w:t>observed</w:t>
      </w:r>
      <w:r w:rsidR="00E57396">
        <w:rPr>
          <w:rFonts w:cs="Arial"/>
          <w:szCs w:val="22"/>
        </w:rPr>
        <w:t xml:space="preserve"> that </w:t>
      </w:r>
      <w:r w:rsidR="00C010EE">
        <w:rPr>
          <w:rFonts w:cs="Arial"/>
          <w:szCs w:val="22"/>
        </w:rPr>
        <w:t xml:space="preserve">given an extreme high price for oil, </w:t>
      </w:r>
      <w:r w:rsidR="00E57396">
        <w:rPr>
          <w:rFonts w:cs="Arial"/>
          <w:szCs w:val="22"/>
        </w:rPr>
        <w:t xml:space="preserve">the Canterbury region starts becoming an important centre of trade between islands.  </w:t>
      </w:r>
      <w:r>
        <w:rPr>
          <w:rFonts w:cs="Arial"/>
          <w:szCs w:val="22"/>
        </w:rPr>
        <w:t xml:space="preserve"> </w:t>
      </w:r>
      <w:r w:rsidR="0091119F">
        <w:rPr>
          <w:rFonts w:cs="Arial"/>
          <w:szCs w:val="22"/>
        </w:rPr>
        <w:t xml:space="preserve">   </w:t>
      </w:r>
      <w:r w:rsidR="006348EB">
        <w:rPr>
          <w:rFonts w:cs="Arial"/>
          <w:szCs w:val="22"/>
        </w:rPr>
        <w:t xml:space="preserve"> </w:t>
      </w:r>
      <w:r w:rsidR="00865938">
        <w:rPr>
          <w:rFonts w:cs="Arial"/>
          <w:szCs w:val="22"/>
        </w:rPr>
        <w:t xml:space="preserve">    </w:t>
      </w:r>
    </w:p>
    <w:p w14:paraId="6465DEA1" w14:textId="319E2634" w:rsidR="00395B1E" w:rsidRDefault="00395B1E" w:rsidP="00DD6224">
      <w:pPr>
        <w:jc w:val="center"/>
        <w:outlineLvl w:val="0"/>
        <w:rPr>
          <w:rFonts w:cs="Arial"/>
          <w:szCs w:val="22"/>
        </w:rPr>
      </w:pPr>
    </w:p>
    <w:p w14:paraId="20D5D90F" w14:textId="77777777" w:rsidR="008119A9" w:rsidRDefault="00C010EE" w:rsidP="00C010EE">
      <w:pPr>
        <w:ind w:left="2410" w:hanging="2410"/>
        <w:jc w:val="center"/>
        <w:outlineLvl w:val="0"/>
        <w:rPr>
          <w:rFonts w:cs="Arial"/>
          <w:szCs w:val="22"/>
        </w:rPr>
      </w:pPr>
      <w:r>
        <w:rPr>
          <w:rFonts w:cs="Arial"/>
          <w:noProof/>
          <w:szCs w:val="22"/>
          <w:lang w:eastAsia="en-NZ"/>
        </w:rPr>
        <w:drawing>
          <wp:inline distT="0" distB="0" distL="0" distR="0" wp14:anchorId="7B1D6107" wp14:editId="65467048">
            <wp:extent cx="4230094" cy="2779777"/>
            <wp:effectExtent l="0" t="0" r="0" b="190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Rail_Share.png"/>
                    <pic:cNvPicPr/>
                  </pic:nvPicPr>
                  <pic:blipFill>
                    <a:blip r:embed="rId10">
                      <a:extLst>
                        <a:ext uri="{28A0092B-C50C-407E-A947-70E740481C1C}">
                          <a14:useLocalDpi xmlns:a14="http://schemas.microsoft.com/office/drawing/2010/main" val="0"/>
                        </a:ext>
                      </a:extLst>
                    </a:blip>
                    <a:stretch>
                      <a:fillRect/>
                    </a:stretch>
                  </pic:blipFill>
                  <pic:spPr>
                    <a:xfrm>
                      <a:off x="0" y="0"/>
                      <a:ext cx="4280158" cy="2812677"/>
                    </a:xfrm>
                    <a:prstGeom prst="rect">
                      <a:avLst/>
                    </a:prstGeom>
                  </pic:spPr>
                </pic:pic>
              </a:graphicData>
            </a:graphic>
          </wp:inline>
        </w:drawing>
      </w:r>
    </w:p>
    <w:p w14:paraId="46F4D809" w14:textId="77777777" w:rsidR="00CA2BFF" w:rsidRDefault="00C010EE" w:rsidP="00C010EE">
      <w:pPr>
        <w:pStyle w:val="Caption"/>
        <w:rPr>
          <w:rFonts w:cs="Arial"/>
          <w:szCs w:val="22"/>
        </w:rPr>
      </w:pPr>
      <w:bookmarkStart w:id="6" w:name="_Ref500660686"/>
      <w:r>
        <w:t xml:space="preserve">Figure </w:t>
      </w:r>
      <w:r w:rsidR="00722C0F">
        <w:fldChar w:fldCharType="begin"/>
      </w:r>
      <w:r w:rsidR="00722C0F">
        <w:instrText xml:space="preserve"> SEQ Figur</w:instrText>
      </w:r>
      <w:r w:rsidR="00722C0F">
        <w:instrText xml:space="preserve">e \* ARABIC </w:instrText>
      </w:r>
      <w:r w:rsidR="00722C0F">
        <w:fldChar w:fldCharType="separate"/>
      </w:r>
      <w:r w:rsidR="00D73AEA">
        <w:rPr>
          <w:noProof/>
        </w:rPr>
        <w:t>2</w:t>
      </w:r>
      <w:r w:rsidR="00722C0F">
        <w:rPr>
          <w:noProof/>
        </w:rPr>
        <w:fldChar w:fldCharType="end"/>
      </w:r>
      <w:bookmarkEnd w:id="6"/>
      <w:r>
        <w:t xml:space="preserve"> Rail Tonnage Share as a function of fuel price multiplicative factor</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1"/>
        <w:gridCol w:w="4783"/>
      </w:tblGrid>
      <w:tr w:rsidR="00CA2BFF" w14:paraId="1E94A6D4" w14:textId="77777777" w:rsidTr="00C010EE">
        <w:tc>
          <w:tcPr>
            <w:tcW w:w="4861" w:type="dxa"/>
          </w:tcPr>
          <w:p w14:paraId="3A10A4F7" w14:textId="77777777" w:rsidR="00CA2BFF" w:rsidRDefault="00CA2BFF" w:rsidP="00467137">
            <w:pPr>
              <w:outlineLvl w:val="0"/>
              <w:rPr>
                <w:rFonts w:cs="Arial"/>
                <w:szCs w:val="22"/>
              </w:rPr>
            </w:pPr>
            <w:r>
              <w:rPr>
                <w:rFonts w:cs="Arial"/>
                <w:noProof/>
                <w:szCs w:val="22"/>
                <w:lang w:eastAsia="en-NZ"/>
              </w:rPr>
              <w:lastRenderedPageBreak/>
              <w:drawing>
                <wp:inline distT="0" distB="0" distL="0" distR="0" wp14:anchorId="3B27DF42" wp14:editId="03ACCD7C">
                  <wp:extent cx="2948873" cy="3131820"/>
                  <wp:effectExtent l="0" t="0" r="444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Energy_Truck_Sector.png"/>
                          <pic:cNvPicPr/>
                        </pic:nvPicPr>
                        <pic:blipFill>
                          <a:blip r:embed="rId11">
                            <a:extLst>
                              <a:ext uri="{28A0092B-C50C-407E-A947-70E740481C1C}">
                                <a14:useLocalDpi xmlns:a14="http://schemas.microsoft.com/office/drawing/2010/main" val="0"/>
                              </a:ext>
                            </a:extLst>
                          </a:blip>
                          <a:stretch>
                            <a:fillRect/>
                          </a:stretch>
                        </pic:blipFill>
                        <pic:spPr>
                          <a:xfrm>
                            <a:off x="0" y="0"/>
                            <a:ext cx="2960464" cy="3144130"/>
                          </a:xfrm>
                          <a:prstGeom prst="rect">
                            <a:avLst/>
                          </a:prstGeom>
                        </pic:spPr>
                      </pic:pic>
                    </a:graphicData>
                  </a:graphic>
                </wp:inline>
              </w:drawing>
            </w:r>
          </w:p>
        </w:tc>
        <w:tc>
          <w:tcPr>
            <w:tcW w:w="4783" w:type="dxa"/>
          </w:tcPr>
          <w:p w14:paraId="2B956D73" w14:textId="77777777" w:rsidR="00CA2BFF" w:rsidRDefault="00CA2BFF" w:rsidP="00467137">
            <w:pPr>
              <w:outlineLvl w:val="0"/>
              <w:rPr>
                <w:rFonts w:cs="Arial"/>
                <w:szCs w:val="22"/>
              </w:rPr>
            </w:pPr>
            <w:r>
              <w:rPr>
                <w:rFonts w:cs="Arial"/>
                <w:b/>
                <w:bCs/>
                <w:noProof/>
                <w:sz w:val="28"/>
                <w:szCs w:val="28"/>
                <w:lang w:eastAsia="en-NZ"/>
              </w:rPr>
              <w:drawing>
                <wp:inline distT="0" distB="0" distL="0" distR="0" wp14:anchorId="1753ADBF" wp14:editId="003D257F">
                  <wp:extent cx="2903076" cy="3118420"/>
                  <wp:effectExtent l="0" t="0" r="0"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Energy_Rail_Sector.png"/>
                          <pic:cNvPicPr/>
                        </pic:nvPicPr>
                        <pic:blipFill>
                          <a:blip r:embed="rId12">
                            <a:extLst>
                              <a:ext uri="{28A0092B-C50C-407E-A947-70E740481C1C}">
                                <a14:useLocalDpi xmlns:a14="http://schemas.microsoft.com/office/drawing/2010/main" val="0"/>
                              </a:ext>
                            </a:extLst>
                          </a:blip>
                          <a:stretch>
                            <a:fillRect/>
                          </a:stretch>
                        </pic:blipFill>
                        <pic:spPr>
                          <a:xfrm>
                            <a:off x="0" y="0"/>
                            <a:ext cx="2916688" cy="3133042"/>
                          </a:xfrm>
                          <a:prstGeom prst="rect">
                            <a:avLst/>
                          </a:prstGeom>
                        </pic:spPr>
                      </pic:pic>
                    </a:graphicData>
                  </a:graphic>
                </wp:inline>
              </w:drawing>
            </w:r>
          </w:p>
        </w:tc>
      </w:tr>
    </w:tbl>
    <w:p w14:paraId="47D0C285" w14:textId="77777777" w:rsidR="00CA2BFF" w:rsidRDefault="00CA2BFF" w:rsidP="00467137">
      <w:pPr>
        <w:ind w:left="2410" w:hanging="2410"/>
        <w:outlineLvl w:val="0"/>
        <w:rPr>
          <w:rFonts w:cs="Arial"/>
          <w:szCs w:val="22"/>
        </w:rPr>
      </w:pPr>
    </w:p>
    <w:p w14:paraId="2EC3484D" w14:textId="77777777" w:rsidR="00CA2BFF" w:rsidRDefault="00C010EE" w:rsidP="00C010EE">
      <w:pPr>
        <w:pStyle w:val="Caption"/>
        <w:rPr>
          <w:rFonts w:cs="Arial"/>
          <w:szCs w:val="22"/>
        </w:rPr>
      </w:pPr>
      <w:bookmarkStart w:id="7" w:name="_Ref500661258"/>
      <w:r>
        <w:t xml:space="preserve">Figure </w:t>
      </w:r>
      <w:r w:rsidR="00722C0F">
        <w:fldChar w:fldCharType="begin"/>
      </w:r>
      <w:r w:rsidR="00722C0F">
        <w:instrText xml:space="preserve"> SEQ Figure \* ARABIC </w:instrText>
      </w:r>
      <w:r w:rsidR="00722C0F">
        <w:fldChar w:fldCharType="separate"/>
      </w:r>
      <w:r w:rsidR="00D73AEA">
        <w:rPr>
          <w:noProof/>
        </w:rPr>
        <w:t>3</w:t>
      </w:r>
      <w:r w:rsidR="00722C0F">
        <w:rPr>
          <w:noProof/>
        </w:rPr>
        <w:fldChar w:fldCharType="end"/>
      </w:r>
      <w:bookmarkEnd w:id="7"/>
      <w:r>
        <w:t xml:space="preserve"> Freight Transportation Energy consumption for different fuel price scenarios</w:t>
      </w:r>
    </w:p>
    <w:p w14:paraId="14B97F9A" w14:textId="77777777" w:rsidR="00F1617D" w:rsidRDefault="00F1617D" w:rsidP="00F1617D">
      <w:pPr>
        <w:ind w:left="2410" w:hanging="2410"/>
        <w:outlineLvl w:val="0"/>
        <w:rPr>
          <w:rFonts w:cs="Arial"/>
          <w:szCs w:val="22"/>
        </w:rPr>
      </w:pPr>
    </w:p>
    <w:p w14:paraId="2B60F151" w14:textId="140DDCFF" w:rsidR="00CA2BFF" w:rsidRDefault="00C010EE" w:rsidP="00724B6C">
      <w:pPr>
        <w:jc w:val="both"/>
        <w:outlineLvl w:val="0"/>
        <w:rPr>
          <w:rFonts w:cs="Arial"/>
          <w:szCs w:val="22"/>
        </w:rPr>
      </w:pPr>
      <w:r>
        <w:rPr>
          <w:rFonts w:cs="Arial"/>
          <w:szCs w:val="22"/>
        </w:rPr>
        <w:t xml:space="preserve">The last step of the analysis refers to </w:t>
      </w:r>
      <w:r w:rsidR="00724B6C">
        <w:rPr>
          <w:rFonts w:cs="Arial"/>
          <w:szCs w:val="22"/>
        </w:rPr>
        <w:t>e</w:t>
      </w:r>
      <w:r>
        <w:rPr>
          <w:rFonts w:cs="Arial"/>
          <w:szCs w:val="22"/>
        </w:rPr>
        <w:t xml:space="preserve">nergy consumption calculations. </w:t>
      </w:r>
      <w:r w:rsidR="00F1617D">
        <w:rPr>
          <w:rFonts w:cs="Arial"/>
          <w:szCs w:val="22"/>
        </w:rPr>
        <w:t xml:space="preserve">It can be seen from </w:t>
      </w:r>
      <w:r w:rsidR="00F1617D">
        <w:rPr>
          <w:rFonts w:cs="Arial"/>
          <w:szCs w:val="22"/>
        </w:rPr>
        <w:fldChar w:fldCharType="begin"/>
      </w:r>
      <w:r w:rsidR="00F1617D">
        <w:rPr>
          <w:rFonts w:cs="Arial"/>
          <w:szCs w:val="22"/>
        </w:rPr>
        <w:instrText xml:space="preserve"> REF _Ref500661258 \h </w:instrText>
      </w:r>
      <w:r w:rsidR="00F1617D">
        <w:rPr>
          <w:rFonts w:cs="Arial"/>
          <w:szCs w:val="22"/>
        </w:rPr>
      </w:r>
      <w:r w:rsidR="00F1617D">
        <w:rPr>
          <w:rFonts w:cs="Arial"/>
          <w:szCs w:val="22"/>
        </w:rPr>
        <w:fldChar w:fldCharType="separate"/>
      </w:r>
      <w:r w:rsidR="00D73AEA">
        <w:t xml:space="preserve">Figure </w:t>
      </w:r>
      <w:r w:rsidR="00D73AEA">
        <w:rPr>
          <w:noProof/>
        </w:rPr>
        <w:t>3</w:t>
      </w:r>
      <w:r w:rsidR="00F1617D">
        <w:rPr>
          <w:rFonts w:cs="Arial"/>
          <w:szCs w:val="22"/>
        </w:rPr>
        <w:fldChar w:fldCharType="end"/>
      </w:r>
      <w:r w:rsidR="00F1617D">
        <w:rPr>
          <w:rFonts w:cs="Arial"/>
          <w:szCs w:val="22"/>
        </w:rPr>
        <w:t xml:space="preserve"> that commodities from the retail sectors are mainly shipped by </w:t>
      </w:r>
      <w:r w:rsidR="00F55999">
        <w:rPr>
          <w:rFonts w:cs="Arial"/>
          <w:szCs w:val="22"/>
        </w:rPr>
        <w:t>road</w:t>
      </w:r>
      <w:r w:rsidR="00F1617D">
        <w:rPr>
          <w:rFonts w:cs="Arial"/>
          <w:szCs w:val="22"/>
        </w:rPr>
        <w:t xml:space="preserve">. </w:t>
      </w:r>
      <w:r w:rsidR="00F1617D">
        <w:rPr>
          <w:rFonts w:cs="Arial"/>
          <w:szCs w:val="22"/>
        </w:rPr>
        <w:br/>
        <w:t>This behaviour may follow the preference for modes that are flexible enough to respond to just on time deliveries while preserving product care features during transportation. It can be deduced that when fuel prices exceed the 300%</w:t>
      </w:r>
      <w:r w:rsidR="00F76C4B">
        <w:rPr>
          <w:rFonts w:cs="Arial"/>
          <w:szCs w:val="22"/>
        </w:rPr>
        <w:t xml:space="preserve"> </w:t>
      </w:r>
      <w:r w:rsidR="00F1617D">
        <w:rPr>
          <w:rFonts w:cs="Arial"/>
          <w:szCs w:val="22"/>
        </w:rPr>
        <w:t>increase</w:t>
      </w:r>
      <w:r w:rsidR="00724B6C">
        <w:rPr>
          <w:rFonts w:cs="Arial"/>
          <w:szCs w:val="22"/>
        </w:rPr>
        <w:t xml:space="preserve"> threshold</w:t>
      </w:r>
      <w:r w:rsidR="00F1617D">
        <w:rPr>
          <w:rFonts w:cs="Arial"/>
          <w:szCs w:val="22"/>
        </w:rPr>
        <w:t xml:space="preserve">, rail starts becoming the driving force </w:t>
      </w:r>
      <w:r w:rsidR="00724B6C">
        <w:rPr>
          <w:rFonts w:cs="Arial"/>
          <w:szCs w:val="22"/>
        </w:rPr>
        <w:t>behind</w:t>
      </w:r>
      <w:r w:rsidR="00F1617D">
        <w:rPr>
          <w:rFonts w:cs="Arial"/>
          <w:szCs w:val="22"/>
        </w:rPr>
        <w:t xml:space="preserve"> trade. Even though, rail is a more energy efficient mode of transportation than trucks, the energy consumed by the entire transportation systems</w:t>
      </w:r>
      <w:r w:rsidR="00724B6C">
        <w:rPr>
          <w:rFonts w:cs="Arial"/>
          <w:szCs w:val="22"/>
        </w:rPr>
        <w:t xml:space="preserve"> rises abruptly after the aforementioned threshold. This peculiarity can be explained by the </w:t>
      </w:r>
      <w:r w:rsidR="00F55999">
        <w:rPr>
          <w:rFonts w:cs="Arial"/>
          <w:szCs w:val="22"/>
        </w:rPr>
        <w:t>ability</w:t>
      </w:r>
      <w:r w:rsidR="00724B6C">
        <w:rPr>
          <w:rFonts w:cs="Arial"/>
          <w:szCs w:val="22"/>
        </w:rPr>
        <w:t xml:space="preserve"> that railways have to develop economies of scale. In this particular case, the Canterbury region becomes a major centre for inter-island trade. Given the case that the national rail infrastructure connects the entire country, the differences for input prices between regions start dropping and it start</w:t>
      </w:r>
      <w:r w:rsidR="00096571">
        <w:rPr>
          <w:rFonts w:cs="Arial"/>
          <w:szCs w:val="22"/>
        </w:rPr>
        <w:t>s</w:t>
      </w:r>
      <w:r w:rsidR="00724B6C">
        <w:rPr>
          <w:rFonts w:cs="Arial"/>
          <w:szCs w:val="22"/>
        </w:rPr>
        <w:t xml:space="preserve"> becoming more economically feasible to purchase products from other regions.  </w:t>
      </w:r>
    </w:p>
    <w:p w14:paraId="41167702" w14:textId="77777777" w:rsidR="00724B6C" w:rsidRDefault="00724B6C" w:rsidP="00724B6C">
      <w:pPr>
        <w:jc w:val="both"/>
        <w:outlineLvl w:val="0"/>
        <w:rPr>
          <w:rFonts w:cs="Arial"/>
          <w:b/>
          <w:bCs/>
          <w:sz w:val="28"/>
          <w:szCs w:val="28"/>
        </w:rPr>
      </w:pPr>
    </w:p>
    <w:p w14:paraId="15E0659D" w14:textId="77777777" w:rsidR="009F5B23" w:rsidRDefault="009F5B23" w:rsidP="00467137">
      <w:pPr>
        <w:ind w:left="2880" w:hanging="2880"/>
        <w:outlineLvl w:val="0"/>
        <w:rPr>
          <w:rFonts w:cs="Arial"/>
          <w:b/>
          <w:bCs/>
          <w:sz w:val="28"/>
          <w:szCs w:val="28"/>
        </w:rPr>
      </w:pPr>
      <w:r>
        <w:rPr>
          <w:rFonts w:cs="Arial"/>
          <w:b/>
          <w:bCs/>
          <w:sz w:val="28"/>
          <w:szCs w:val="28"/>
        </w:rPr>
        <w:t>CONCLUSIONS</w:t>
      </w:r>
    </w:p>
    <w:p w14:paraId="5CA7025D" w14:textId="0205919D" w:rsidR="00CD5AC4" w:rsidRDefault="00293FA3" w:rsidP="00293FA3">
      <w:pPr>
        <w:jc w:val="both"/>
        <w:outlineLvl w:val="0"/>
        <w:rPr>
          <w:rFonts w:cs="Arial"/>
          <w:szCs w:val="22"/>
        </w:rPr>
      </w:pPr>
      <w:r>
        <w:rPr>
          <w:rFonts w:cs="Arial"/>
          <w:szCs w:val="22"/>
        </w:rPr>
        <w:t>A</w:t>
      </w:r>
      <w:r w:rsidRPr="00293FA3">
        <w:rPr>
          <w:rFonts w:cs="Arial"/>
          <w:szCs w:val="22"/>
        </w:rPr>
        <w:t xml:space="preserve"> recent report by the International Monetary Fund</w:t>
      </w:r>
      <w:r>
        <w:rPr>
          <w:rFonts w:cs="Arial"/>
          <w:szCs w:val="22"/>
        </w:rPr>
        <w:t xml:space="preserve"> (IMF) suggests that the current era of prolonged oil prices is likely to be followed by a period where </w:t>
      </w:r>
      <w:r w:rsidR="00994B9C">
        <w:rPr>
          <w:rFonts w:cs="Arial"/>
          <w:szCs w:val="22"/>
        </w:rPr>
        <w:t>oil prices may abruptly overshoot their long term upward trend</w:t>
      </w:r>
      <w:r w:rsidR="003C0462">
        <w:rPr>
          <w:rFonts w:cs="Arial"/>
          <w:szCs w:val="22"/>
        </w:rPr>
        <w:t xml:space="preserve"> </w:t>
      </w:r>
      <w:r w:rsidR="003C0462">
        <w:rPr>
          <w:rFonts w:cs="Arial"/>
          <w:szCs w:val="22"/>
        </w:rPr>
        <w:fldChar w:fldCharType="begin"/>
      </w:r>
      <w:r w:rsidR="00A114F8">
        <w:rPr>
          <w:rFonts w:cs="Arial"/>
          <w:szCs w:val="22"/>
        </w:rPr>
        <w:instrText xml:space="preserve"> ADDIN EN.CITE &lt;EndNote&gt;&lt;Cite&gt;&lt;Author&gt;Arezki&lt;/Author&gt;&lt;Year&gt;2017&lt;/Year&gt;&lt;RecNum&gt;2&lt;/RecNum&gt;&lt;DisplayText&gt;(Arezki et al., 2017)&lt;/DisplayText&gt;&lt;record&gt;&lt;rec-number&gt;2&lt;/rec-number&gt;&lt;foreign-keys&gt;&lt;key app="EN" db-id="zesxtzdp6atewte95fc5dr2asp25rs2rstwt" timestamp="1512945675"&gt;2&lt;/key&gt;&lt;/foreign-keys&gt;&lt;ref-type name="Unpublished Work"&gt;34&lt;/ref-type&gt;&lt;contributors&gt;&lt;authors&gt;&lt;author&gt;Arezki, Rabah&lt;/author&gt;&lt;author&gt;Jakab, Zoltan&lt;/author&gt;&lt;author&gt;Laxton, Douglas&lt;/author&gt;&lt;author&gt;Matsumoto, Akito&lt;/author&gt;&lt;/authors&gt;&lt;/contributors&gt;&lt;titles&gt;&lt;title&gt;Oil Prices and the Global Economy&lt;/title&gt;&lt;/titles&gt;&lt;keywords&gt;&lt;keyword&gt;Oil market&lt;/keyword&gt;&lt;keyword&gt;consumption efficiency&lt;/keyword&gt;&lt;keyword&gt;cycle.&lt;/keyword&gt;&lt;keyword&gt;depletion&lt;/keyword&gt;&lt;keyword&gt;macroeconomic model&lt;/keyword&gt;&lt;keyword&gt;technology&lt;/keyword&gt;&lt;/keywords&gt;&lt;dates&gt;&lt;year&gt;2017&lt;/year&gt;&lt;/dates&gt;&lt;urls&gt;&lt;related-urls&gt;&lt;url&gt;www.imf.org&lt;/url&gt;&lt;/related-urls&gt;&lt;/urls&gt;&lt;access-date&gt;10/11/2017&lt;/access-date&gt;&lt;/record&gt;&lt;/Cite&gt;&lt;/EndNote&gt;</w:instrText>
      </w:r>
      <w:r w:rsidR="003C0462">
        <w:rPr>
          <w:rFonts w:cs="Arial"/>
          <w:szCs w:val="22"/>
        </w:rPr>
        <w:fldChar w:fldCharType="separate"/>
      </w:r>
      <w:r w:rsidR="003C0462">
        <w:rPr>
          <w:rFonts w:cs="Arial"/>
          <w:noProof/>
          <w:szCs w:val="22"/>
        </w:rPr>
        <w:t>(Arezki et al., 2017)</w:t>
      </w:r>
      <w:r w:rsidR="003C0462">
        <w:rPr>
          <w:rFonts w:cs="Arial"/>
          <w:szCs w:val="22"/>
        </w:rPr>
        <w:fldChar w:fldCharType="end"/>
      </w:r>
      <w:r w:rsidR="00CF1952">
        <w:rPr>
          <w:rFonts w:cs="Arial"/>
          <w:szCs w:val="22"/>
        </w:rPr>
        <w:t xml:space="preserve">. </w:t>
      </w:r>
      <w:r w:rsidR="0033390A">
        <w:rPr>
          <w:rFonts w:cs="Arial"/>
          <w:szCs w:val="22"/>
        </w:rPr>
        <w:t xml:space="preserve">This statement is based on the idea that recent low oil prices have caused a decline in investments for oil exploration and extraction technologies. Subsequently, this behaviour contributes to a reduction in oil supply that can led to an accelerated escalation of prices. Our results suggest that beyond the 300% fuel price increase threshold, the national freight system </w:t>
      </w:r>
      <w:r w:rsidR="00282DC2">
        <w:rPr>
          <w:rFonts w:cs="Arial"/>
          <w:szCs w:val="22"/>
        </w:rPr>
        <w:t>will become vulnerable</w:t>
      </w:r>
      <w:r w:rsidR="0033390A">
        <w:rPr>
          <w:rFonts w:cs="Arial"/>
          <w:szCs w:val="22"/>
        </w:rPr>
        <w:t xml:space="preserve"> if there is not an adequate </w:t>
      </w:r>
      <w:r w:rsidR="00282DC2">
        <w:rPr>
          <w:rFonts w:cs="Arial"/>
          <w:szCs w:val="22"/>
        </w:rPr>
        <w:t>railway system</w:t>
      </w:r>
      <w:r w:rsidR="0033390A">
        <w:rPr>
          <w:rFonts w:cs="Arial"/>
          <w:szCs w:val="22"/>
        </w:rPr>
        <w:t xml:space="preserve"> </w:t>
      </w:r>
      <w:r w:rsidR="00282DC2">
        <w:rPr>
          <w:rFonts w:cs="Arial"/>
          <w:szCs w:val="22"/>
        </w:rPr>
        <w:t xml:space="preserve">to support economic trade within the region. Not so long ago, we </w:t>
      </w:r>
      <w:r w:rsidR="00F55999">
        <w:rPr>
          <w:rFonts w:cs="Arial"/>
          <w:szCs w:val="22"/>
        </w:rPr>
        <w:t>experienced</w:t>
      </w:r>
      <w:r w:rsidR="00282DC2">
        <w:rPr>
          <w:rFonts w:cs="Arial"/>
          <w:szCs w:val="22"/>
        </w:rPr>
        <w:t xml:space="preserve"> a drastic escalation of oil prices. In June of 2003, the price of an oil barrel was approximately 40.49 USD, and five years </w:t>
      </w:r>
      <w:r w:rsidR="00B92208">
        <w:rPr>
          <w:rFonts w:cs="Arial"/>
          <w:szCs w:val="22"/>
        </w:rPr>
        <w:t>later</w:t>
      </w:r>
      <w:r w:rsidR="00282DC2">
        <w:rPr>
          <w:rFonts w:cs="Arial"/>
          <w:szCs w:val="22"/>
        </w:rPr>
        <w:t xml:space="preserve"> the oil barrel reached a record price of 157.73 USD</w:t>
      </w:r>
      <w:r w:rsidR="00396FB6">
        <w:rPr>
          <w:rFonts w:cs="Arial"/>
          <w:szCs w:val="22"/>
        </w:rPr>
        <w:t xml:space="preserve"> </w:t>
      </w:r>
      <w:r w:rsidR="00396FB6">
        <w:rPr>
          <w:rFonts w:cs="Arial"/>
          <w:szCs w:val="22"/>
        </w:rPr>
        <w:fldChar w:fldCharType="begin"/>
      </w:r>
      <w:r w:rsidR="00396FB6">
        <w:rPr>
          <w:rFonts w:cs="Arial"/>
          <w:szCs w:val="22"/>
        </w:rPr>
        <w:instrText xml:space="preserve"> ADDIN EN.CITE &lt;EndNote&gt;&lt;Cite&gt;&lt;Author&gt;Macrotrends&lt;/Author&gt;&lt;Year&gt;2017&lt;/Year&gt;&lt;RecNum&gt;27&lt;/RecNum&gt;&lt;DisplayText&gt;(Macrotrends, 2017)&lt;/DisplayText&gt;&lt;record&gt;&lt;rec-number&gt;27&lt;/rec-number&gt;&lt;foreign-keys&gt;&lt;key app="EN" db-id="zesxtzdp6atewte95fc5dr2asp25rs2rstwt" timestamp="1512948968"&gt;27&lt;/key&gt;&lt;/foreign-keys&gt;&lt;ref-type name="Web Page"&gt;12&lt;/ref-type&gt;&lt;contributors&gt;&lt;authors&gt;&lt;author&gt;Macrotrends,&lt;/author&gt;&lt;/authors&gt;&lt;/contributors&gt;&lt;titles&gt;&lt;title&gt;Crude Oil Prices – 70 Year Historical Chart&lt;/title&gt;&lt;/titles&gt;&lt;number&gt;8/11/2017&lt;/number&gt;&lt;dates&gt;&lt;year&gt;2017&lt;/year&gt;&lt;/dates&gt;&lt;urls&gt;&lt;related-urls&gt;&lt;url&gt;www.macrotrends.net/1369/crude-oil-price-history-chart&lt;/url&gt;&lt;/related-urls&gt;&lt;/urls&gt;&lt;/record&gt;&lt;/Cite&gt;&lt;/EndNote&gt;</w:instrText>
      </w:r>
      <w:r w:rsidR="00396FB6">
        <w:rPr>
          <w:rFonts w:cs="Arial"/>
          <w:szCs w:val="22"/>
        </w:rPr>
        <w:fldChar w:fldCharType="separate"/>
      </w:r>
      <w:r w:rsidR="00396FB6">
        <w:rPr>
          <w:rFonts w:cs="Arial"/>
          <w:noProof/>
          <w:szCs w:val="22"/>
        </w:rPr>
        <w:t>(Macrotrends, 2017)</w:t>
      </w:r>
      <w:r w:rsidR="00396FB6">
        <w:rPr>
          <w:rFonts w:cs="Arial"/>
          <w:szCs w:val="22"/>
        </w:rPr>
        <w:fldChar w:fldCharType="end"/>
      </w:r>
      <w:r w:rsidR="00282DC2">
        <w:rPr>
          <w:rFonts w:cs="Arial"/>
          <w:szCs w:val="22"/>
        </w:rPr>
        <w:t>.</w:t>
      </w:r>
      <w:r w:rsidR="00CD5AC4">
        <w:rPr>
          <w:rFonts w:cs="Arial"/>
          <w:szCs w:val="22"/>
        </w:rPr>
        <w:t xml:space="preserve"> </w:t>
      </w:r>
    </w:p>
    <w:p w14:paraId="0E128AD2" w14:textId="77777777" w:rsidR="009F3ACF" w:rsidRDefault="009F3ACF" w:rsidP="00293FA3">
      <w:pPr>
        <w:jc w:val="both"/>
        <w:outlineLvl w:val="0"/>
        <w:rPr>
          <w:rFonts w:cs="Arial"/>
          <w:szCs w:val="22"/>
        </w:rPr>
      </w:pPr>
    </w:p>
    <w:p w14:paraId="78645661" w14:textId="20DD7E9D" w:rsidR="009F5B23" w:rsidRDefault="00CD5AC4" w:rsidP="00293FA3">
      <w:pPr>
        <w:jc w:val="both"/>
        <w:outlineLvl w:val="0"/>
        <w:rPr>
          <w:rFonts w:cs="Arial"/>
          <w:szCs w:val="22"/>
        </w:rPr>
      </w:pPr>
      <w:r>
        <w:rPr>
          <w:rFonts w:cs="Arial"/>
          <w:szCs w:val="22"/>
        </w:rPr>
        <w:t xml:space="preserve">Multiregional Input Output Models have been used in the past to estimate transport demand and assess the impact of new transportation infrastructure. In this paper, we </w:t>
      </w:r>
      <w:r w:rsidR="00F55999">
        <w:rPr>
          <w:rFonts w:cs="Arial"/>
          <w:szCs w:val="22"/>
        </w:rPr>
        <w:t>are</w:t>
      </w:r>
      <w:r>
        <w:rPr>
          <w:rFonts w:cs="Arial"/>
          <w:szCs w:val="22"/>
        </w:rPr>
        <w:t xml:space="preserve"> not focused on the precise estimation of travel demand, but rather on understanding how vulnerable the current system is, taking into account that our freight transportation system is highly dependent on </w:t>
      </w:r>
      <w:r w:rsidR="00F55999">
        <w:rPr>
          <w:rFonts w:cs="Arial"/>
          <w:szCs w:val="22"/>
        </w:rPr>
        <w:t>road</w:t>
      </w:r>
      <w:r w:rsidR="00436BAD">
        <w:rPr>
          <w:rFonts w:cs="Arial"/>
          <w:szCs w:val="22"/>
        </w:rPr>
        <w:t xml:space="preserve"> transport and on the fossil fuels that are consumed by this mode. It is worth noting that, as it is the case with any other model, it is complex to incorporate all the dynamic feedbacks that occur in reality. For instance, it would be important to analyse the impact that a drastic mode shift will have on the configuration of the entire economy. Our model relies on the assumption that technical coefficients </w:t>
      </w:r>
      <w:r w:rsidR="00436BAD">
        <w:rPr>
          <w:rFonts w:cs="Arial"/>
          <w:szCs w:val="22"/>
        </w:rPr>
        <w:lastRenderedPageBreak/>
        <w:t xml:space="preserve">remain constant during the period of analysis. However, a drastic mode shift to rail, will definitely imply that less resources will be </w:t>
      </w:r>
      <w:r w:rsidR="00F55999">
        <w:rPr>
          <w:rFonts w:cs="Arial"/>
          <w:szCs w:val="22"/>
        </w:rPr>
        <w:t>assigned</w:t>
      </w:r>
      <w:r w:rsidR="00436BAD">
        <w:rPr>
          <w:rFonts w:cs="Arial"/>
          <w:szCs w:val="22"/>
        </w:rPr>
        <w:t xml:space="preserve"> to the construction and maintenance of new roads. Furthermore, less resources will be </w:t>
      </w:r>
      <w:r w:rsidR="00F55999">
        <w:rPr>
          <w:rFonts w:cs="Arial"/>
          <w:szCs w:val="22"/>
        </w:rPr>
        <w:t>assigned</w:t>
      </w:r>
      <w:r w:rsidR="00436BAD">
        <w:rPr>
          <w:rFonts w:cs="Arial"/>
          <w:szCs w:val="22"/>
        </w:rPr>
        <w:t xml:space="preserve"> to import new vehicles from overseas. Under these circumstances, it may be appropriate to consider complementary methods to incorporate essentiality metrics over the products that are being transferred within and outside the country.  </w:t>
      </w:r>
    </w:p>
    <w:p w14:paraId="3C52BB01" w14:textId="77777777" w:rsidR="009F3ACF" w:rsidRDefault="009F3ACF" w:rsidP="00293FA3">
      <w:pPr>
        <w:jc w:val="both"/>
        <w:outlineLvl w:val="0"/>
        <w:rPr>
          <w:rFonts w:cs="Arial"/>
          <w:szCs w:val="22"/>
        </w:rPr>
      </w:pPr>
    </w:p>
    <w:p w14:paraId="4CDCE144" w14:textId="77777777" w:rsidR="00096571" w:rsidRDefault="006634F6" w:rsidP="00293FA3">
      <w:pPr>
        <w:jc w:val="both"/>
        <w:outlineLvl w:val="0"/>
        <w:rPr>
          <w:rFonts w:cs="Arial"/>
          <w:szCs w:val="22"/>
          <w:highlight w:val="yellow"/>
        </w:rPr>
      </w:pPr>
      <w:r w:rsidRPr="006634F6">
        <w:rPr>
          <w:rFonts w:cs="Arial"/>
          <w:szCs w:val="22"/>
        </w:rPr>
        <w:t xml:space="preserve">According to our </w:t>
      </w:r>
      <w:r>
        <w:rPr>
          <w:rFonts w:cs="Arial"/>
          <w:szCs w:val="22"/>
        </w:rPr>
        <w:t xml:space="preserve">calculations, beyond the 300% price increase, energy use skyrockets for the entire freight transport system. Apparently, the model has the capability to mimic what is known as the rebound effect. In other words, the introduction of energy efficient technologies leads to an overall energy demand that offsets the potential energy savings. This is a particular issue that </w:t>
      </w:r>
      <w:r w:rsidR="00620092">
        <w:rPr>
          <w:rFonts w:cs="Arial"/>
          <w:szCs w:val="22"/>
        </w:rPr>
        <w:t xml:space="preserve">strengthens the idea to include metrics for essentiality in the analysis. Besides realizing the finite nature of fossil fuels, we need to acknowledge that </w:t>
      </w:r>
      <w:r w:rsidR="00FD2D27">
        <w:rPr>
          <w:rFonts w:cs="Arial"/>
          <w:szCs w:val="22"/>
        </w:rPr>
        <w:t>our economy is subject to physical and biological laws and the assumption of unconstrained mobility is pushing our planet’s resources to the limit.</w:t>
      </w:r>
      <w:r w:rsidR="00620092">
        <w:rPr>
          <w:rFonts w:cs="Arial"/>
          <w:szCs w:val="22"/>
        </w:rPr>
        <w:t xml:space="preserve">  </w:t>
      </w:r>
      <w:r>
        <w:rPr>
          <w:rFonts w:cs="Arial"/>
          <w:szCs w:val="22"/>
        </w:rPr>
        <w:t xml:space="preserve">     </w:t>
      </w:r>
    </w:p>
    <w:p w14:paraId="50BAC79E" w14:textId="77777777" w:rsidR="00293FA3" w:rsidRDefault="00293FA3" w:rsidP="00467137">
      <w:pPr>
        <w:ind w:left="2880" w:hanging="2880"/>
        <w:outlineLvl w:val="0"/>
        <w:rPr>
          <w:rFonts w:cs="Arial"/>
          <w:b/>
          <w:bCs/>
          <w:sz w:val="28"/>
          <w:szCs w:val="28"/>
        </w:rPr>
      </w:pPr>
    </w:p>
    <w:p w14:paraId="2888D10A" w14:textId="77777777" w:rsidR="00F93651" w:rsidRDefault="008119A9" w:rsidP="00467137">
      <w:pPr>
        <w:ind w:left="2880" w:hanging="2880"/>
        <w:outlineLvl w:val="0"/>
        <w:rPr>
          <w:rFonts w:cs="Arial"/>
          <w:szCs w:val="22"/>
        </w:rPr>
      </w:pPr>
      <w:r w:rsidRPr="008119A9">
        <w:rPr>
          <w:rFonts w:cs="Arial"/>
          <w:b/>
          <w:bCs/>
          <w:sz w:val="28"/>
          <w:szCs w:val="28"/>
        </w:rPr>
        <w:t>REFERENCES</w:t>
      </w:r>
    </w:p>
    <w:p w14:paraId="04CD8A74" w14:textId="77777777" w:rsidR="00B97A54" w:rsidRPr="00B97A54" w:rsidRDefault="00DB02E2" w:rsidP="00B97A54">
      <w:pPr>
        <w:pStyle w:val="EndNoteBibliography"/>
        <w:ind w:left="720" w:hanging="720"/>
      </w:pPr>
      <w:r>
        <w:rPr>
          <w:szCs w:val="22"/>
        </w:rPr>
        <w:fldChar w:fldCharType="begin"/>
      </w:r>
      <w:r>
        <w:rPr>
          <w:szCs w:val="22"/>
        </w:rPr>
        <w:instrText xml:space="preserve"> ADDIN EN.REFLIST </w:instrText>
      </w:r>
      <w:r>
        <w:rPr>
          <w:szCs w:val="22"/>
        </w:rPr>
        <w:fldChar w:fldCharType="separate"/>
      </w:r>
      <w:r w:rsidR="00B97A54" w:rsidRPr="00B97A54">
        <w:t xml:space="preserve">ANDRÉS, L. &amp; PADILLA, E. 2015. Energy intensity in road freight transport of heavy goods vehicles in Spain. </w:t>
      </w:r>
      <w:r w:rsidR="00B97A54" w:rsidRPr="00B97A54">
        <w:rPr>
          <w:i/>
        </w:rPr>
        <w:t>Energy Policy,</w:t>
      </w:r>
      <w:r w:rsidR="00B97A54" w:rsidRPr="00B97A54">
        <w:t xml:space="preserve"> 85</w:t>
      </w:r>
      <w:r w:rsidR="00B97A54" w:rsidRPr="00B97A54">
        <w:rPr>
          <w:b/>
        </w:rPr>
        <w:t>,</w:t>
      </w:r>
      <w:r w:rsidR="00B97A54" w:rsidRPr="00B97A54">
        <w:t xml:space="preserve"> 309-321.</w:t>
      </w:r>
    </w:p>
    <w:p w14:paraId="6878E2CA" w14:textId="77777777" w:rsidR="00B97A54" w:rsidRPr="00B97A54" w:rsidRDefault="00B97A54" w:rsidP="00B97A54">
      <w:pPr>
        <w:pStyle w:val="EndNoteBibliography"/>
        <w:ind w:left="720" w:hanging="720"/>
      </w:pPr>
      <w:r w:rsidRPr="00B97A54">
        <w:t>AREZKI, R., JAKAB, Z., LAXTON, D. &amp; MATSUMOTO, A. 2017. Oil Prices and the Global Economy.</w:t>
      </w:r>
    </w:p>
    <w:p w14:paraId="0A0EB71D" w14:textId="77777777" w:rsidR="00B97A54" w:rsidRPr="00B97A54" w:rsidRDefault="00B97A54" w:rsidP="00B97A54">
      <w:pPr>
        <w:pStyle w:val="EndNoteBibliography"/>
        <w:ind w:left="720" w:hanging="720"/>
      </w:pPr>
      <w:r w:rsidRPr="00B97A54">
        <w:t xml:space="preserve">BEN-AKIVA, M. &amp; LERMAN, S. 1993. Discrete choice analysis: theory and application to travel demand. </w:t>
      </w:r>
      <w:r w:rsidRPr="00B97A54">
        <w:rPr>
          <w:i/>
        </w:rPr>
        <w:t>books.google.com</w:t>
      </w:r>
      <w:r w:rsidRPr="00B97A54">
        <w:t>.</w:t>
      </w:r>
    </w:p>
    <w:p w14:paraId="452ABEB1" w14:textId="77777777" w:rsidR="00B97A54" w:rsidRPr="00B97A54" w:rsidRDefault="00B97A54" w:rsidP="00B97A54">
      <w:pPr>
        <w:pStyle w:val="EndNoteBibliography"/>
        <w:ind w:left="720" w:hanging="720"/>
      </w:pPr>
      <w:r w:rsidRPr="00B97A54">
        <w:t xml:space="preserve">BROCKER, J. 1998. Operational spatial computable general equilibrium modeling. </w:t>
      </w:r>
      <w:r w:rsidRPr="00B97A54">
        <w:rPr>
          <w:i/>
        </w:rPr>
        <w:t>Annals of Regional Science,</w:t>
      </w:r>
      <w:r w:rsidRPr="00B97A54">
        <w:t xml:space="preserve"> 32</w:t>
      </w:r>
      <w:r w:rsidRPr="00B97A54">
        <w:rPr>
          <w:b/>
        </w:rPr>
        <w:t>,</w:t>
      </w:r>
      <w:r w:rsidRPr="00B97A54">
        <w:t xml:space="preserve"> 367-387.</w:t>
      </w:r>
    </w:p>
    <w:p w14:paraId="26739DA3" w14:textId="77777777" w:rsidR="00B97A54" w:rsidRPr="00B97A54" w:rsidRDefault="00B97A54" w:rsidP="00B97A54">
      <w:pPr>
        <w:pStyle w:val="EndNoteBibliography"/>
        <w:ind w:left="720" w:hanging="720"/>
      </w:pPr>
      <w:r w:rsidRPr="00B97A54">
        <w:t xml:space="preserve">BRÖCKER, J., KORZHENEVYCH, A. &amp; SCHÜRMANN, C. 2010. Assessing spatial equity and efficiency impacts of transport infrastructure projects. </w:t>
      </w:r>
      <w:r w:rsidRPr="00B97A54">
        <w:rPr>
          <w:i/>
        </w:rPr>
        <w:t>Transportation Research Part B: Methodological,</w:t>
      </w:r>
      <w:r w:rsidRPr="00B97A54">
        <w:t xml:space="preserve"> 44</w:t>
      </w:r>
      <w:r w:rsidRPr="00B97A54">
        <w:rPr>
          <w:b/>
        </w:rPr>
        <w:t>,</w:t>
      </w:r>
      <w:r w:rsidRPr="00B97A54">
        <w:t xml:space="preserve"> 795-811.</w:t>
      </w:r>
    </w:p>
    <w:p w14:paraId="2D744A89" w14:textId="77777777" w:rsidR="00B97A54" w:rsidRPr="00B97A54" w:rsidRDefault="00B97A54" w:rsidP="00B97A54">
      <w:pPr>
        <w:pStyle w:val="EndNoteBibliography"/>
        <w:ind w:left="720" w:hanging="720"/>
      </w:pPr>
      <w:r w:rsidRPr="00B97A54">
        <w:t>BUREAU OF TRANSPORTATION, S. 2016. Transportation Economic Trends. Washington D.C.</w:t>
      </w:r>
    </w:p>
    <w:p w14:paraId="0FC7A91D" w14:textId="77777777" w:rsidR="00B97A54" w:rsidRPr="00B97A54" w:rsidRDefault="00B97A54" w:rsidP="00B97A54">
      <w:pPr>
        <w:pStyle w:val="EndNoteBibliography"/>
        <w:ind w:left="720" w:hanging="720"/>
      </w:pPr>
      <w:r w:rsidRPr="00B97A54">
        <w:t xml:space="preserve">CASCETTA, E. 2009. </w:t>
      </w:r>
      <w:r w:rsidRPr="00B97A54">
        <w:rPr>
          <w:i/>
        </w:rPr>
        <w:t>Transportation Systems Analysis Models and Applications</w:t>
      </w:r>
      <w:r w:rsidRPr="00B97A54">
        <w:t>.</w:t>
      </w:r>
    </w:p>
    <w:p w14:paraId="64A1A802" w14:textId="77777777" w:rsidR="00B97A54" w:rsidRPr="00B97A54" w:rsidRDefault="00B97A54" w:rsidP="00B97A54">
      <w:pPr>
        <w:pStyle w:val="EndNoteBibliography"/>
        <w:ind w:left="720" w:hanging="720"/>
      </w:pPr>
      <w:r w:rsidRPr="00B97A54">
        <w:t xml:space="preserve">CASCETTA, E., MARZANO, V., PAPOLA, A. &amp; VITILLO, R. 2013. A Multimodal Elastic Trade Coefficients MRIO Model for Freight Demand in Europe. </w:t>
      </w:r>
      <w:r w:rsidRPr="00B97A54">
        <w:rPr>
          <w:i/>
        </w:rPr>
        <w:t>In:</w:t>
      </w:r>
      <w:r w:rsidRPr="00B97A54">
        <w:t xml:space="preserve"> BEN-AKIVA, M., MEERSMAN, H. &amp; VAN DE VOORDE, E. (eds.). Bingley: Emerald Group.</w:t>
      </w:r>
    </w:p>
    <w:p w14:paraId="1A95B368" w14:textId="77777777" w:rsidR="00B97A54" w:rsidRPr="00B97A54" w:rsidRDefault="00B97A54" w:rsidP="00B97A54">
      <w:pPr>
        <w:pStyle w:val="EndNoteBibliography"/>
        <w:ind w:left="720" w:hanging="720"/>
      </w:pPr>
      <w:r w:rsidRPr="00B97A54">
        <w:t>DELOITTE, RICHARD PALING CONSULTING, MURRAY KING, FRANCIS SMALL CONSULTING &amp; COOPER ASSOCIATES 2014. National Freight Demand Study. Ministry of Transport.</w:t>
      </w:r>
    </w:p>
    <w:p w14:paraId="2A4F0D19" w14:textId="77777777" w:rsidR="00B97A54" w:rsidRPr="00B97A54" w:rsidRDefault="00B97A54" w:rsidP="00B97A54">
      <w:pPr>
        <w:pStyle w:val="EndNoteBibliography"/>
        <w:ind w:left="720" w:hanging="720"/>
      </w:pPr>
      <w:r w:rsidRPr="00B97A54">
        <w:t>GRENZBACK, L. R., BROWN, A., FISHCER, M. J., HUTSON, N., LAMM, C. R., PEI, Y. L., VIMMERSTEDT, L., VYAS, A. D. &amp; WINEBRAKE, J. J. 2013. Freight Transportation Demand: Energy-Efficient Scenarios for a Low-Carbon Future. Washington.</w:t>
      </w:r>
    </w:p>
    <w:p w14:paraId="2C5C4197" w14:textId="77777777" w:rsidR="00B97A54" w:rsidRPr="00B97A54" w:rsidRDefault="00B97A54" w:rsidP="00B97A54">
      <w:pPr>
        <w:pStyle w:val="EndNoteBibliography"/>
        <w:ind w:left="720" w:hanging="720"/>
      </w:pPr>
      <w:r w:rsidRPr="00B97A54">
        <w:t xml:space="preserve">HUNT, J. D. &amp; SIMMONDS, D. C. 1993. Theory and application of an integrated land-use and transport modelling framework. </w:t>
      </w:r>
      <w:r w:rsidRPr="00B97A54">
        <w:rPr>
          <w:i/>
        </w:rPr>
        <w:t>Environment and Planning B: Planning and Design,</w:t>
      </w:r>
      <w:r w:rsidRPr="00B97A54">
        <w:t xml:space="preserve"> 20</w:t>
      </w:r>
      <w:r w:rsidRPr="00B97A54">
        <w:rPr>
          <w:b/>
        </w:rPr>
        <w:t>,</w:t>
      </w:r>
      <w:r w:rsidRPr="00B97A54">
        <w:t xml:space="preserve"> 221-244.</w:t>
      </w:r>
    </w:p>
    <w:p w14:paraId="2A425CF5" w14:textId="77777777" w:rsidR="00B97A54" w:rsidRPr="00B97A54" w:rsidRDefault="00B97A54" w:rsidP="00B97A54">
      <w:pPr>
        <w:pStyle w:val="EndNoteBibliography"/>
        <w:ind w:left="720" w:hanging="720"/>
      </w:pPr>
      <w:r w:rsidRPr="00B97A54">
        <w:t>INTERNATIONAL ENERGY AGENCY 2016. Key World Energy Statistics 2016.</w:t>
      </w:r>
    </w:p>
    <w:p w14:paraId="3375B6B0" w14:textId="77777777" w:rsidR="00B97A54" w:rsidRPr="00B97A54" w:rsidRDefault="00B97A54" w:rsidP="00B97A54">
      <w:pPr>
        <w:pStyle w:val="EndNoteBibliography"/>
        <w:ind w:left="720" w:hanging="720"/>
      </w:pPr>
      <w:r w:rsidRPr="00B97A54">
        <w:t>IVANOVA, O. 2014. Modelling Inter-Regional Freight Demand with Input–Output, Gravity and SCGE Methodologies. 13-42.</w:t>
      </w:r>
    </w:p>
    <w:p w14:paraId="01DC232A" w14:textId="77777777" w:rsidR="00B97A54" w:rsidRPr="00B97A54" w:rsidRDefault="00B97A54" w:rsidP="00B97A54">
      <w:pPr>
        <w:pStyle w:val="EndNoteBibliography"/>
        <w:ind w:left="720" w:hanging="720"/>
      </w:pPr>
      <w:r w:rsidRPr="00B97A54">
        <w:t xml:space="preserve">KOCKELMAN, K. M., JIN, L., ZHAO, Y. &amp; RUIZ-JURI, N. 2005. Tracking land use , transport , and industrial production using random-utility-based multiregional input – output models : Applications for Texas trade. </w:t>
      </w:r>
      <w:r w:rsidRPr="00B97A54">
        <w:rPr>
          <w:i/>
        </w:rPr>
        <w:t>Journal of Transport Geography,</w:t>
      </w:r>
      <w:r w:rsidRPr="00B97A54">
        <w:t xml:space="preserve"> 13</w:t>
      </w:r>
      <w:r w:rsidRPr="00B97A54">
        <w:rPr>
          <w:b/>
        </w:rPr>
        <w:t>,</w:t>
      </w:r>
      <w:r w:rsidRPr="00B97A54">
        <w:t xml:space="preserve"> 275-286.</w:t>
      </w:r>
    </w:p>
    <w:p w14:paraId="5BF03948" w14:textId="5056B620" w:rsidR="00B97A54" w:rsidRPr="00B97A54" w:rsidRDefault="00B97A54" w:rsidP="00B97A54">
      <w:pPr>
        <w:pStyle w:val="EndNoteBibliography"/>
        <w:ind w:left="720" w:hanging="720"/>
      </w:pPr>
      <w:r w:rsidRPr="00B97A54">
        <w:t xml:space="preserve">KOORDINATES. 2015a. </w:t>
      </w:r>
      <w:r w:rsidRPr="00B97A54">
        <w:rPr>
          <w:i/>
        </w:rPr>
        <w:t xml:space="preserve">NZ Railway Centrelines (Topo 1:50K) </w:t>
      </w:r>
      <w:r w:rsidRPr="00B97A54">
        <w:t xml:space="preserve">[Online]. Available: </w:t>
      </w:r>
      <w:hyperlink r:id="rId13" w:history="1">
        <w:r w:rsidRPr="00B97A54">
          <w:rPr>
            <w:rStyle w:val="Hyperlink"/>
          </w:rPr>
          <w:t>https://koordinates.com</w:t>
        </w:r>
      </w:hyperlink>
      <w:r w:rsidRPr="00B97A54">
        <w:t xml:space="preserve"> [Accessed 1/11/2017].</w:t>
      </w:r>
    </w:p>
    <w:p w14:paraId="31B0BBBE" w14:textId="322F8FEE" w:rsidR="00B97A54" w:rsidRPr="00B97A54" w:rsidRDefault="00B97A54" w:rsidP="00B97A54">
      <w:pPr>
        <w:pStyle w:val="EndNoteBibliography"/>
        <w:ind w:left="720" w:hanging="720"/>
      </w:pPr>
      <w:r w:rsidRPr="00B97A54">
        <w:t xml:space="preserve">KOORDINATES. 2015b. </w:t>
      </w:r>
      <w:r w:rsidRPr="00B97A54">
        <w:rPr>
          <w:i/>
        </w:rPr>
        <w:t xml:space="preserve">NZ Road Centrelines (Topo 1:50K) </w:t>
      </w:r>
      <w:r w:rsidRPr="00B97A54">
        <w:t xml:space="preserve">[Online]. Available: </w:t>
      </w:r>
      <w:hyperlink r:id="rId14" w:history="1">
        <w:r w:rsidRPr="00B97A54">
          <w:rPr>
            <w:rStyle w:val="Hyperlink"/>
          </w:rPr>
          <w:t>https://koordinates.com</w:t>
        </w:r>
      </w:hyperlink>
      <w:r w:rsidRPr="00B97A54">
        <w:t xml:space="preserve"> [Accessed 1/11/2017].</w:t>
      </w:r>
    </w:p>
    <w:p w14:paraId="1E42AC0E" w14:textId="77777777" w:rsidR="00B97A54" w:rsidRPr="00B97A54" w:rsidRDefault="00B97A54" w:rsidP="00B97A54">
      <w:pPr>
        <w:pStyle w:val="EndNoteBibliography"/>
        <w:ind w:left="720" w:hanging="720"/>
      </w:pPr>
      <w:r w:rsidRPr="00B97A54">
        <w:t xml:space="preserve">KOPPELMAN, F. S. &amp; BHAT, C. 2006. A self instructing course in mode choice modeling: multinomial and nested logit models. </w:t>
      </w:r>
      <w:r w:rsidRPr="00B97A54">
        <w:rPr>
          <w:i/>
        </w:rPr>
        <w:t>US Department of Transportation, Federal Transit Administration</w:t>
      </w:r>
      <w:r w:rsidRPr="00B97A54">
        <w:rPr>
          <w:b/>
        </w:rPr>
        <w:t>,</w:t>
      </w:r>
      <w:r w:rsidRPr="00B97A54">
        <w:t xml:space="preserve"> 31-31.</w:t>
      </w:r>
    </w:p>
    <w:p w14:paraId="01DEE2C9" w14:textId="77777777" w:rsidR="00B97A54" w:rsidRPr="00B97A54" w:rsidRDefault="00B97A54" w:rsidP="00B97A54">
      <w:pPr>
        <w:pStyle w:val="EndNoteBibliography"/>
        <w:ind w:left="720" w:hanging="720"/>
        <w:rPr>
          <w:i/>
        </w:rPr>
      </w:pPr>
      <w:r w:rsidRPr="00B97A54">
        <w:t xml:space="preserve">LANG, A. E. 2016. </w:t>
      </w:r>
      <w:r w:rsidRPr="00B97A54">
        <w:rPr>
          <w:i/>
        </w:rPr>
        <w:t>Assessment of Fuel Constraint Impacts on Freight Transport in New Zealand.</w:t>
      </w:r>
    </w:p>
    <w:p w14:paraId="780F91AB" w14:textId="77777777" w:rsidR="00B97A54" w:rsidRPr="00B97A54" w:rsidRDefault="00B97A54" w:rsidP="00B97A54">
      <w:pPr>
        <w:pStyle w:val="EndNoteBibliography"/>
        <w:ind w:left="720" w:hanging="720"/>
      </w:pPr>
      <w:r w:rsidRPr="00B97A54">
        <w:t xml:space="preserve">LEONTIEF, W. &amp; STROUT, A. 1963. Multiregional Input-Output Analysis. </w:t>
      </w:r>
      <w:r w:rsidRPr="00B97A54">
        <w:rPr>
          <w:i/>
        </w:rPr>
        <w:t>In:</w:t>
      </w:r>
      <w:r w:rsidRPr="00B97A54">
        <w:t xml:space="preserve"> BARNA, T. (ed.). Toronto: Palgrave McMillan.</w:t>
      </w:r>
    </w:p>
    <w:p w14:paraId="260490DE" w14:textId="77777777" w:rsidR="00B97A54" w:rsidRPr="00B97A54" w:rsidRDefault="00B97A54" w:rsidP="00B97A54">
      <w:pPr>
        <w:pStyle w:val="EndNoteBibliography"/>
        <w:ind w:left="720" w:hanging="720"/>
      </w:pPr>
      <w:r w:rsidRPr="00B97A54">
        <w:t xml:space="preserve">LIPASTO. 2017. </w:t>
      </w:r>
      <w:r w:rsidRPr="00B97A54">
        <w:rPr>
          <w:i/>
        </w:rPr>
        <w:t xml:space="preserve">Unit Emissions </w:t>
      </w:r>
      <w:r w:rsidRPr="00B97A54">
        <w:t xml:space="preserve">[Online]. Available: lipasto.vtt.fi/en/index.htm [Accessed </w:t>
      </w:r>
      <w:r w:rsidRPr="00B97A54">
        <w:lastRenderedPageBreak/>
        <w:t>10/11/2017].</w:t>
      </w:r>
    </w:p>
    <w:p w14:paraId="72849BDF" w14:textId="73F172E0" w:rsidR="00B97A54" w:rsidRPr="00B97A54" w:rsidRDefault="00B97A54" w:rsidP="00B97A54">
      <w:pPr>
        <w:pStyle w:val="EndNoteBibliography"/>
        <w:ind w:left="720" w:hanging="720"/>
      </w:pPr>
      <w:r w:rsidRPr="00B97A54">
        <w:t xml:space="preserve">MACROTRENDS. 2017. </w:t>
      </w:r>
      <w:r w:rsidRPr="00B97A54">
        <w:rPr>
          <w:i/>
        </w:rPr>
        <w:t xml:space="preserve">Crude Oil Prices – 70 Year Historical Chart </w:t>
      </w:r>
      <w:r w:rsidRPr="00B97A54">
        <w:t xml:space="preserve">[Online]. Available: </w:t>
      </w:r>
      <w:hyperlink r:id="rId15" w:history="1">
        <w:r w:rsidRPr="00B97A54">
          <w:rPr>
            <w:rStyle w:val="Hyperlink"/>
          </w:rPr>
          <w:t>www.macrotrends.net/1369/crude-oil-price-history-chart</w:t>
        </w:r>
      </w:hyperlink>
      <w:r w:rsidRPr="00B97A54">
        <w:t xml:space="preserve"> [Accessed 8/11/2017].</w:t>
      </w:r>
    </w:p>
    <w:p w14:paraId="14F1052B" w14:textId="77777777" w:rsidR="00B97A54" w:rsidRPr="00B97A54" w:rsidRDefault="00B97A54" w:rsidP="00B97A54">
      <w:pPr>
        <w:pStyle w:val="EndNoteBibliography"/>
        <w:ind w:left="720" w:hanging="720"/>
      </w:pPr>
      <w:r w:rsidRPr="00B97A54">
        <w:t xml:space="preserve">MANHEIM, M. L. 1979. </w:t>
      </w:r>
      <w:r w:rsidRPr="00B97A54">
        <w:rPr>
          <w:i/>
        </w:rPr>
        <w:t>Fundamentals of Transportation Systems Analysis: Basic Concepts</w:t>
      </w:r>
      <w:r w:rsidRPr="00B97A54">
        <w:t>, MIT Press.</w:t>
      </w:r>
    </w:p>
    <w:p w14:paraId="656B2F03" w14:textId="77777777" w:rsidR="00B97A54" w:rsidRPr="00B97A54" w:rsidRDefault="00B97A54" w:rsidP="00B97A54">
      <w:pPr>
        <w:pStyle w:val="EndNoteBibliography"/>
        <w:ind w:left="720" w:hanging="720"/>
      </w:pPr>
      <w:r w:rsidRPr="00B97A54">
        <w:t xml:space="preserve">MATTILA, T. &amp; ANTIKAINEN, R. 2011. Backcasting sustainable freight transport systems for Europe in 2050. </w:t>
      </w:r>
      <w:r w:rsidRPr="00B97A54">
        <w:rPr>
          <w:i/>
        </w:rPr>
        <w:t>Energy Policy,</w:t>
      </w:r>
      <w:r w:rsidRPr="00B97A54">
        <w:t xml:space="preserve"> 39</w:t>
      </w:r>
      <w:r w:rsidRPr="00B97A54">
        <w:rPr>
          <w:b/>
        </w:rPr>
        <w:t>,</w:t>
      </w:r>
      <w:r w:rsidRPr="00B97A54">
        <w:t xml:space="preserve"> 1241-1248.</w:t>
      </w:r>
    </w:p>
    <w:p w14:paraId="3D52F1AF" w14:textId="77777777" w:rsidR="00B97A54" w:rsidRPr="00B97A54" w:rsidRDefault="00B97A54" w:rsidP="00B97A54">
      <w:pPr>
        <w:pStyle w:val="EndNoteBibliography"/>
        <w:ind w:left="720" w:hanging="720"/>
      </w:pPr>
      <w:r w:rsidRPr="00B97A54">
        <w:t xml:space="preserve">MILLER, R. E. &amp; BLAIR, P. D. 2009. </w:t>
      </w:r>
      <w:r w:rsidRPr="00B97A54">
        <w:rPr>
          <w:i/>
        </w:rPr>
        <w:t>Input - Output Analysis: Foundations and Extensions</w:t>
      </w:r>
      <w:r w:rsidRPr="00B97A54">
        <w:t>.</w:t>
      </w:r>
    </w:p>
    <w:p w14:paraId="32F9E061" w14:textId="77777777" w:rsidR="00B97A54" w:rsidRPr="00B97A54" w:rsidRDefault="00B97A54" w:rsidP="00B97A54">
      <w:pPr>
        <w:pStyle w:val="EndNoteBibliography"/>
        <w:ind w:left="720" w:hanging="720"/>
      </w:pPr>
      <w:r w:rsidRPr="00B97A54">
        <w:t xml:space="preserve">ORTUZAR, J. D. D. &amp; WILLUMSEN, L. G. 2011. </w:t>
      </w:r>
      <w:r w:rsidRPr="00B97A54">
        <w:rPr>
          <w:i/>
        </w:rPr>
        <w:t>Modelling Transport</w:t>
      </w:r>
      <w:r w:rsidRPr="00B97A54">
        <w:t>.</w:t>
      </w:r>
    </w:p>
    <w:p w14:paraId="2403B66D" w14:textId="77777777" w:rsidR="00B97A54" w:rsidRPr="00B97A54" w:rsidRDefault="00B97A54" w:rsidP="00B97A54">
      <w:pPr>
        <w:pStyle w:val="EndNoteBibliography"/>
        <w:ind w:left="720" w:hanging="720"/>
      </w:pPr>
      <w:r w:rsidRPr="00B97A54">
        <w:t>RICHARD PALING CONSULTING 2009. Coastal Shipping and Modal Freight Choice.</w:t>
      </w:r>
    </w:p>
    <w:p w14:paraId="6CEF43E6" w14:textId="3BFAB9E2" w:rsidR="00B97A54" w:rsidRPr="00B97A54" w:rsidRDefault="00B97A54" w:rsidP="00B97A54">
      <w:pPr>
        <w:pStyle w:val="EndNoteBibliography"/>
        <w:ind w:left="720" w:hanging="720"/>
        <w:rPr>
          <w:i/>
        </w:rPr>
      </w:pPr>
      <w:r w:rsidRPr="00B97A54">
        <w:t xml:space="preserve">SIMS, R., SCHAEFFER, R., CREUTZIG, F., CRUZ-NUÑEZ, X., D AGOSTO, M., DIMITRIU, D., FIGUEROA, M., FULTON, L., KOBAYASHI, S., LAH, O., MCKINNON, A., NEWMAN, P., OUYANG, M., JAY, J., SPERLING, D. &amp; TIWARI, G. 2014. Transport. </w:t>
      </w:r>
      <w:r w:rsidRPr="00B97A54">
        <w:rPr>
          <w:i/>
        </w:rPr>
        <w:t>In:</w:t>
      </w:r>
      <w:r w:rsidRPr="00B97A54">
        <w:t xml:space="preserve"> DEAKIN, E. &amp; KAHN, S. (eds.) </w:t>
      </w:r>
      <w:r w:rsidRPr="00B97A54">
        <w:rPr>
          <w:i/>
        </w:rPr>
        <w:t>Climate Change</w:t>
      </w:r>
      <w:r w:rsidR="00E106E1">
        <w:rPr>
          <w:i/>
        </w:rPr>
        <w:t xml:space="preserve"> </w:t>
      </w:r>
      <w:r w:rsidRPr="00B97A54">
        <w:rPr>
          <w:i/>
        </w:rPr>
        <w:t>2014: Mitigation of Climate Change. Contribution of Working Group III to the Fifth Assessment Report of the Intergovernmental</w:t>
      </w:r>
    </w:p>
    <w:p w14:paraId="1A210033" w14:textId="77777777" w:rsidR="00B97A54" w:rsidRPr="00B97A54" w:rsidRDefault="00B97A54" w:rsidP="00B97A54">
      <w:pPr>
        <w:pStyle w:val="EndNoteBibliography"/>
        <w:ind w:left="720" w:hanging="720"/>
      </w:pPr>
      <w:r w:rsidRPr="00B97A54">
        <w:rPr>
          <w:i/>
        </w:rPr>
        <w:t>Panel on Climate Change.</w:t>
      </w:r>
      <w:r w:rsidRPr="00B97A54">
        <w:t xml:space="preserve"> Cambridge: Cambridge University Press.</w:t>
      </w:r>
    </w:p>
    <w:p w14:paraId="579DADB5" w14:textId="55D18F4B" w:rsidR="00B97A54" w:rsidRPr="00B97A54" w:rsidRDefault="00B97A54" w:rsidP="00B97A54">
      <w:pPr>
        <w:pStyle w:val="EndNoteBibliography"/>
        <w:ind w:left="720" w:hanging="720"/>
      </w:pPr>
      <w:r w:rsidRPr="00B97A54">
        <w:t xml:space="preserve">STATS N. Z. 2013. </w:t>
      </w:r>
      <w:r w:rsidRPr="00B97A54">
        <w:rPr>
          <w:i/>
        </w:rPr>
        <w:t xml:space="preserve">Regional Council 2013 </w:t>
      </w:r>
      <w:r w:rsidRPr="00B97A54">
        <w:t xml:space="preserve">[Online]. Available: </w:t>
      </w:r>
      <w:hyperlink r:id="rId16" w:history="1">
        <w:r w:rsidRPr="00B97A54">
          <w:rPr>
            <w:rStyle w:val="Hyperlink"/>
          </w:rPr>
          <w:t>https://datafinder.stats.govt.nz</w:t>
        </w:r>
      </w:hyperlink>
      <w:r w:rsidRPr="00B97A54">
        <w:t xml:space="preserve"> [Accessed 10/11/2017].</w:t>
      </w:r>
    </w:p>
    <w:p w14:paraId="67D4B327" w14:textId="77777777" w:rsidR="00B97A54" w:rsidRPr="00B97A54" w:rsidRDefault="00B97A54" w:rsidP="00B97A54">
      <w:pPr>
        <w:pStyle w:val="EndNoteBibliography"/>
        <w:ind w:left="720" w:hanging="720"/>
      </w:pPr>
      <w:r w:rsidRPr="00B97A54">
        <w:t xml:space="preserve">TAVASSZY, L. &amp; DE JONG, G. 2013. Introduction. </w:t>
      </w:r>
      <w:r w:rsidRPr="00B97A54">
        <w:rPr>
          <w:i/>
        </w:rPr>
        <w:t>Modelling Freight Transport.</w:t>
      </w:r>
      <w:r w:rsidRPr="00B97A54">
        <w:t xml:space="preserve"> Elsevier.</w:t>
      </w:r>
    </w:p>
    <w:p w14:paraId="57FFF31F" w14:textId="77777777" w:rsidR="00B97A54" w:rsidRPr="00B97A54" w:rsidRDefault="00B97A54" w:rsidP="00B97A54">
      <w:pPr>
        <w:pStyle w:val="EndNoteBibliography"/>
        <w:ind w:left="720" w:hanging="720"/>
      </w:pPr>
      <w:r w:rsidRPr="00B97A54">
        <w:t xml:space="preserve">ZHAO, Y. &amp; KOCKELMAN, K. M. 2004. The random-utility-based multiregional input-output model: Solution existence and uniqueness. </w:t>
      </w:r>
      <w:r w:rsidRPr="00B97A54">
        <w:rPr>
          <w:i/>
        </w:rPr>
        <w:t>Transportation Research Part B: Methodological,</w:t>
      </w:r>
      <w:r w:rsidRPr="00B97A54">
        <w:t xml:space="preserve"> 38</w:t>
      </w:r>
      <w:r w:rsidRPr="00B97A54">
        <w:rPr>
          <w:b/>
        </w:rPr>
        <w:t>,</w:t>
      </w:r>
      <w:r w:rsidRPr="00B97A54">
        <w:t xml:space="preserve"> 789-807.</w:t>
      </w:r>
    </w:p>
    <w:p w14:paraId="763B629E" w14:textId="65E9DE3F" w:rsidR="00DB02E2" w:rsidRDefault="00DB02E2" w:rsidP="00CF1952">
      <w:pPr>
        <w:rPr>
          <w:rFonts w:cs="Arial"/>
          <w:szCs w:val="22"/>
        </w:rPr>
      </w:pPr>
      <w:r>
        <w:rPr>
          <w:rFonts w:cs="Arial"/>
          <w:szCs w:val="22"/>
        </w:rPr>
        <w:fldChar w:fldCharType="end"/>
      </w:r>
    </w:p>
    <w:sectPr w:rsidR="00DB02E2" w:rsidSect="00AF55B7">
      <w:headerReference w:type="default" r:id="rId17"/>
      <w:footerReference w:type="default" r:id="rId18"/>
      <w:pgSz w:w="11907" w:h="16840" w:code="9"/>
      <w:pgMar w:top="1134" w:right="1134" w:bottom="1134" w:left="1134"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37174B" w14:textId="77777777" w:rsidR="00722C0F" w:rsidRDefault="00722C0F">
      <w:r>
        <w:separator/>
      </w:r>
    </w:p>
  </w:endnote>
  <w:endnote w:type="continuationSeparator" w:id="0">
    <w:p w14:paraId="1E563B0D" w14:textId="77777777" w:rsidR="00722C0F" w:rsidRDefault="00722C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ヒラギノ角ゴ Pro W3">
    <w:altName w:val="MS PMincho"/>
    <w:panose1 w:val="00000000000000000000"/>
    <w:charset w:val="80"/>
    <w:family w:val="roman"/>
    <w:notTrueType/>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A67521" w14:textId="77777777" w:rsidR="00E106E1" w:rsidRPr="004F1202" w:rsidRDefault="00E106E1" w:rsidP="004F1202">
    <w:pPr>
      <w:pStyle w:val="BodyText3"/>
      <w:pBdr>
        <w:top w:val="single" w:sz="4" w:space="0" w:color="auto"/>
      </w:pBdr>
      <w:ind w:right="-1"/>
      <w:rPr>
        <w:i/>
        <w:sz w:val="18"/>
        <w:szCs w:val="18"/>
      </w:rPr>
    </w:pPr>
    <w:r w:rsidRPr="004F1202">
      <w:rPr>
        <w:i/>
        <w:sz w:val="18"/>
        <w:szCs w:val="18"/>
      </w:rPr>
      <w:t xml:space="preserve">IPENZ Transportation Group </w:t>
    </w:r>
    <w:r>
      <w:rPr>
        <w:i/>
        <w:sz w:val="18"/>
        <w:szCs w:val="18"/>
      </w:rPr>
      <w:t>2018 c</w:t>
    </w:r>
    <w:r w:rsidRPr="004F1202">
      <w:rPr>
        <w:i/>
        <w:sz w:val="18"/>
        <w:szCs w:val="18"/>
      </w:rPr>
      <w:t xml:space="preserve">onference, </w:t>
    </w:r>
    <w:r>
      <w:rPr>
        <w:i/>
        <w:sz w:val="18"/>
        <w:szCs w:val="18"/>
      </w:rPr>
      <w:t>Queenstown</w:t>
    </w:r>
    <w:r w:rsidRPr="004F1202">
      <w:rPr>
        <w:i/>
        <w:sz w:val="18"/>
        <w:szCs w:val="18"/>
      </w:rPr>
      <w:t xml:space="preserve"> 2</w:t>
    </w:r>
    <w:r>
      <w:rPr>
        <w:i/>
        <w:sz w:val="18"/>
        <w:szCs w:val="18"/>
      </w:rPr>
      <w:t>1</w:t>
    </w:r>
    <w:r w:rsidRPr="004F1202">
      <w:rPr>
        <w:i/>
        <w:sz w:val="18"/>
        <w:szCs w:val="18"/>
      </w:rPr>
      <w:t xml:space="preserve"> – </w:t>
    </w:r>
    <w:r>
      <w:rPr>
        <w:i/>
        <w:sz w:val="18"/>
        <w:szCs w:val="18"/>
      </w:rPr>
      <w:t>23 March 2018</w:t>
    </w:r>
  </w:p>
  <w:p w14:paraId="0BE824AB" w14:textId="77777777" w:rsidR="00E106E1" w:rsidRPr="00AC0FED" w:rsidRDefault="00E106E1" w:rsidP="00AC0F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B4EC23" w14:textId="77777777" w:rsidR="00722C0F" w:rsidRDefault="00722C0F">
      <w:r>
        <w:separator/>
      </w:r>
    </w:p>
  </w:footnote>
  <w:footnote w:type="continuationSeparator" w:id="0">
    <w:p w14:paraId="127C5B82" w14:textId="77777777" w:rsidR="00722C0F" w:rsidRDefault="00722C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D47793" w14:textId="42D77BE9" w:rsidR="00E106E1" w:rsidRPr="00BB7E88" w:rsidRDefault="00E106E1" w:rsidP="00CF7821">
    <w:pPr>
      <w:pStyle w:val="Header"/>
      <w:pBdr>
        <w:bottom w:val="single" w:sz="4" w:space="1" w:color="auto"/>
      </w:pBdr>
      <w:tabs>
        <w:tab w:val="left" w:pos="360"/>
        <w:tab w:val="right" w:pos="9071"/>
      </w:tabs>
      <w:rPr>
        <w:rFonts w:cs="Arial"/>
        <w:i/>
        <w:sz w:val="18"/>
        <w:szCs w:val="18"/>
      </w:rPr>
    </w:pPr>
    <w:r>
      <w:rPr>
        <w:rStyle w:val="PageNumber"/>
        <w:i/>
        <w:sz w:val="18"/>
        <w:szCs w:val="18"/>
      </w:rPr>
      <w:t>GEA</w:t>
    </w:r>
    <w:r w:rsidRPr="00B973DF">
      <w:rPr>
        <w:rStyle w:val="PageNumber"/>
        <w:i/>
        <w:sz w:val="18"/>
        <w:szCs w:val="18"/>
      </w:rPr>
      <w:t xml:space="preserve"> for freight transport</w:t>
    </w:r>
    <w:r>
      <w:rPr>
        <w:rStyle w:val="PageNumber"/>
        <w:i/>
        <w:sz w:val="18"/>
        <w:szCs w:val="18"/>
      </w:rPr>
      <w:t xml:space="preserve">      </w:t>
    </w:r>
    <w:r w:rsidR="0075686B">
      <w:rPr>
        <w:rStyle w:val="PageNumber"/>
        <w:i/>
        <w:sz w:val="18"/>
        <w:szCs w:val="18"/>
      </w:rPr>
      <w:t xml:space="preserve">                Gallardo P., Leó</w:t>
    </w:r>
    <w:r>
      <w:rPr>
        <w:rStyle w:val="PageNumber"/>
        <w:i/>
        <w:sz w:val="18"/>
        <w:szCs w:val="18"/>
      </w:rPr>
      <w:t xml:space="preserve">n P., Murray R., </w:t>
    </w:r>
    <w:proofErr w:type="spellStart"/>
    <w:r>
      <w:rPr>
        <w:rStyle w:val="PageNumber"/>
        <w:i/>
        <w:sz w:val="18"/>
        <w:szCs w:val="18"/>
      </w:rPr>
      <w:t>Krumdieck</w:t>
    </w:r>
    <w:proofErr w:type="spellEnd"/>
    <w:r>
      <w:rPr>
        <w:rStyle w:val="PageNumber"/>
        <w:i/>
        <w:sz w:val="18"/>
        <w:szCs w:val="18"/>
      </w:rPr>
      <w:t>, S.</w:t>
    </w:r>
    <w:r>
      <w:rPr>
        <w:rStyle w:val="PageNumber"/>
        <w:rFonts w:cs="Arial"/>
        <w:i/>
        <w:sz w:val="18"/>
        <w:szCs w:val="18"/>
      </w:rPr>
      <w:t xml:space="preserve">                                           Page</w:t>
    </w:r>
    <w:r w:rsidRPr="00BB7E88">
      <w:rPr>
        <w:rStyle w:val="PageNumber"/>
        <w:rFonts w:cs="Arial"/>
        <w:i/>
        <w:sz w:val="18"/>
        <w:szCs w:val="18"/>
      </w:rPr>
      <w:t xml:space="preserve"> </w:t>
    </w:r>
    <w:r w:rsidRPr="00BB7E88">
      <w:rPr>
        <w:rStyle w:val="PageNumber"/>
        <w:rFonts w:cs="Arial"/>
        <w:i/>
        <w:sz w:val="18"/>
        <w:szCs w:val="18"/>
      </w:rPr>
      <w:fldChar w:fldCharType="begin"/>
    </w:r>
    <w:r w:rsidRPr="00BB7E88">
      <w:rPr>
        <w:rStyle w:val="PageNumber"/>
        <w:rFonts w:cs="Arial"/>
        <w:i/>
        <w:sz w:val="18"/>
        <w:szCs w:val="18"/>
      </w:rPr>
      <w:instrText xml:space="preserve"> PAGE </w:instrText>
    </w:r>
    <w:r w:rsidRPr="00BB7E88">
      <w:rPr>
        <w:rStyle w:val="PageNumber"/>
        <w:rFonts w:cs="Arial"/>
        <w:i/>
        <w:sz w:val="18"/>
        <w:szCs w:val="18"/>
      </w:rPr>
      <w:fldChar w:fldCharType="separate"/>
    </w:r>
    <w:r w:rsidR="0075686B">
      <w:rPr>
        <w:rStyle w:val="PageNumber"/>
        <w:rFonts w:cs="Arial"/>
        <w:i/>
        <w:noProof/>
        <w:sz w:val="18"/>
        <w:szCs w:val="18"/>
      </w:rPr>
      <w:t>14</w:t>
    </w:r>
    <w:r w:rsidRPr="00BB7E88">
      <w:rPr>
        <w:rStyle w:val="PageNumber"/>
        <w:rFonts w:cs="Arial"/>
        <w:i/>
        <w:sz w:val="18"/>
        <w:szCs w:val="18"/>
      </w:rPr>
      <w:fldChar w:fldCharType="end"/>
    </w:r>
  </w:p>
  <w:p w14:paraId="12FC0ED5" w14:textId="77777777" w:rsidR="00E106E1" w:rsidRDefault="00E106E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3D03FD"/>
    <w:multiLevelType w:val="hybridMultilevel"/>
    <w:tmpl w:val="69A8D7C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5520077F"/>
    <w:multiLevelType w:val="hybridMultilevel"/>
    <w:tmpl w:val="21D8BBD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Harvard&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esxtzdp6atewte95fc5dr2asp25rs2rstwt&quot;&gt;references_ipenz&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37&lt;/item&gt;&lt;item&gt;39&lt;/item&gt;&lt;item&gt;40&lt;/item&gt;&lt;/record-ids&gt;&lt;/item&gt;&lt;/Libraries&gt;"/>
  </w:docVars>
  <w:rsids>
    <w:rsidRoot w:val="00F62E24"/>
    <w:rsid w:val="0000051C"/>
    <w:rsid w:val="000269C7"/>
    <w:rsid w:val="00043F98"/>
    <w:rsid w:val="000472F5"/>
    <w:rsid w:val="00054B1E"/>
    <w:rsid w:val="000577C4"/>
    <w:rsid w:val="0006334A"/>
    <w:rsid w:val="000639F3"/>
    <w:rsid w:val="00063AA6"/>
    <w:rsid w:val="000645C2"/>
    <w:rsid w:val="00072D80"/>
    <w:rsid w:val="00082CA5"/>
    <w:rsid w:val="00085C5F"/>
    <w:rsid w:val="00092759"/>
    <w:rsid w:val="00096571"/>
    <w:rsid w:val="000C000B"/>
    <w:rsid w:val="000C10BB"/>
    <w:rsid w:val="000C6196"/>
    <w:rsid w:val="000D6899"/>
    <w:rsid w:val="000E5C83"/>
    <w:rsid w:val="000E5F92"/>
    <w:rsid w:val="000F11F3"/>
    <w:rsid w:val="00102CE0"/>
    <w:rsid w:val="001218B7"/>
    <w:rsid w:val="00125E17"/>
    <w:rsid w:val="00134C6E"/>
    <w:rsid w:val="001501FD"/>
    <w:rsid w:val="00160E40"/>
    <w:rsid w:val="00181CC1"/>
    <w:rsid w:val="00182E7A"/>
    <w:rsid w:val="001847E9"/>
    <w:rsid w:val="00184A92"/>
    <w:rsid w:val="0019543C"/>
    <w:rsid w:val="00197422"/>
    <w:rsid w:val="001A1CCE"/>
    <w:rsid w:val="001C2BE3"/>
    <w:rsid w:val="001D40E8"/>
    <w:rsid w:val="001E29DB"/>
    <w:rsid w:val="001E6A82"/>
    <w:rsid w:val="001F4884"/>
    <w:rsid w:val="002055E7"/>
    <w:rsid w:val="002163EA"/>
    <w:rsid w:val="00216B68"/>
    <w:rsid w:val="00217D5F"/>
    <w:rsid w:val="00237007"/>
    <w:rsid w:val="00251885"/>
    <w:rsid w:val="00251D2E"/>
    <w:rsid w:val="00254BCB"/>
    <w:rsid w:val="00263929"/>
    <w:rsid w:val="002670DB"/>
    <w:rsid w:val="00271505"/>
    <w:rsid w:val="00282DC2"/>
    <w:rsid w:val="00283F42"/>
    <w:rsid w:val="00293FA3"/>
    <w:rsid w:val="002A24B5"/>
    <w:rsid w:val="002D4B02"/>
    <w:rsid w:val="002E1ED6"/>
    <w:rsid w:val="002E3D4B"/>
    <w:rsid w:val="002E523F"/>
    <w:rsid w:val="002F2150"/>
    <w:rsid w:val="00326D14"/>
    <w:rsid w:val="003277D5"/>
    <w:rsid w:val="00331756"/>
    <w:rsid w:val="0033390A"/>
    <w:rsid w:val="00352508"/>
    <w:rsid w:val="00381A55"/>
    <w:rsid w:val="003870B2"/>
    <w:rsid w:val="00393B8E"/>
    <w:rsid w:val="00395B1E"/>
    <w:rsid w:val="00396FB6"/>
    <w:rsid w:val="003A5BCF"/>
    <w:rsid w:val="003B7A8E"/>
    <w:rsid w:val="003C0462"/>
    <w:rsid w:val="003C2EBC"/>
    <w:rsid w:val="003C594F"/>
    <w:rsid w:val="003C7A1D"/>
    <w:rsid w:val="003F1826"/>
    <w:rsid w:val="003F2AD8"/>
    <w:rsid w:val="00403697"/>
    <w:rsid w:val="00405E3D"/>
    <w:rsid w:val="00406247"/>
    <w:rsid w:val="004360C3"/>
    <w:rsid w:val="00436BAD"/>
    <w:rsid w:val="00436FE6"/>
    <w:rsid w:val="00441628"/>
    <w:rsid w:val="00443505"/>
    <w:rsid w:val="00445EA2"/>
    <w:rsid w:val="00455D4F"/>
    <w:rsid w:val="00467137"/>
    <w:rsid w:val="0047443D"/>
    <w:rsid w:val="00474C2D"/>
    <w:rsid w:val="00476FE8"/>
    <w:rsid w:val="004837E1"/>
    <w:rsid w:val="0049668C"/>
    <w:rsid w:val="004C0B96"/>
    <w:rsid w:val="004D6929"/>
    <w:rsid w:val="004F04BA"/>
    <w:rsid w:val="004F1202"/>
    <w:rsid w:val="004F5498"/>
    <w:rsid w:val="004F77C0"/>
    <w:rsid w:val="0050300C"/>
    <w:rsid w:val="00527D9D"/>
    <w:rsid w:val="00540047"/>
    <w:rsid w:val="00554FC9"/>
    <w:rsid w:val="00595A0F"/>
    <w:rsid w:val="005B4422"/>
    <w:rsid w:val="005E2A76"/>
    <w:rsid w:val="005F4FCF"/>
    <w:rsid w:val="00603B7C"/>
    <w:rsid w:val="00620092"/>
    <w:rsid w:val="00631A84"/>
    <w:rsid w:val="006348EB"/>
    <w:rsid w:val="00634EF7"/>
    <w:rsid w:val="006439B3"/>
    <w:rsid w:val="0064646B"/>
    <w:rsid w:val="006634F6"/>
    <w:rsid w:val="00671524"/>
    <w:rsid w:val="00682046"/>
    <w:rsid w:val="00682ED9"/>
    <w:rsid w:val="006865F7"/>
    <w:rsid w:val="006916BC"/>
    <w:rsid w:val="0069683F"/>
    <w:rsid w:val="006B14B9"/>
    <w:rsid w:val="006D13A1"/>
    <w:rsid w:val="006E43D1"/>
    <w:rsid w:val="006E4C68"/>
    <w:rsid w:val="007008EC"/>
    <w:rsid w:val="00704538"/>
    <w:rsid w:val="00710D17"/>
    <w:rsid w:val="00713B46"/>
    <w:rsid w:val="00722C0F"/>
    <w:rsid w:val="00724B6C"/>
    <w:rsid w:val="00731DA8"/>
    <w:rsid w:val="007421F2"/>
    <w:rsid w:val="00753A65"/>
    <w:rsid w:val="0075686B"/>
    <w:rsid w:val="0076646E"/>
    <w:rsid w:val="007776D0"/>
    <w:rsid w:val="00780D7B"/>
    <w:rsid w:val="007C08B6"/>
    <w:rsid w:val="007D61FC"/>
    <w:rsid w:val="007D6A41"/>
    <w:rsid w:val="007E6774"/>
    <w:rsid w:val="007E6C08"/>
    <w:rsid w:val="007F24F6"/>
    <w:rsid w:val="008119A9"/>
    <w:rsid w:val="00812A74"/>
    <w:rsid w:val="0081394B"/>
    <w:rsid w:val="00813DDA"/>
    <w:rsid w:val="00816B14"/>
    <w:rsid w:val="008249BB"/>
    <w:rsid w:val="008251D3"/>
    <w:rsid w:val="00832321"/>
    <w:rsid w:val="008361D9"/>
    <w:rsid w:val="0084285F"/>
    <w:rsid w:val="0085419A"/>
    <w:rsid w:val="00865938"/>
    <w:rsid w:val="0087599A"/>
    <w:rsid w:val="008918FD"/>
    <w:rsid w:val="00895E5A"/>
    <w:rsid w:val="008A169A"/>
    <w:rsid w:val="008C01A3"/>
    <w:rsid w:val="008C107E"/>
    <w:rsid w:val="008D01C2"/>
    <w:rsid w:val="008E57F8"/>
    <w:rsid w:val="008F273F"/>
    <w:rsid w:val="0090268C"/>
    <w:rsid w:val="0091119F"/>
    <w:rsid w:val="00922A86"/>
    <w:rsid w:val="00936AFC"/>
    <w:rsid w:val="00945B19"/>
    <w:rsid w:val="009777B4"/>
    <w:rsid w:val="009813BB"/>
    <w:rsid w:val="00982308"/>
    <w:rsid w:val="00994B9C"/>
    <w:rsid w:val="009B34D8"/>
    <w:rsid w:val="009B35F6"/>
    <w:rsid w:val="009B69CA"/>
    <w:rsid w:val="009C501E"/>
    <w:rsid w:val="009C6776"/>
    <w:rsid w:val="009E74D1"/>
    <w:rsid w:val="009E7F3F"/>
    <w:rsid w:val="009F3ACF"/>
    <w:rsid w:val="009F5B23"/>
    <w:rsid w:val="009F75A0"/>
    <w:rsid w:val="00A114F8"/>
    <w:rsid w:val="00A11BE6"/>
    <w:rsid w:val="00A154B7"/>
    <w:rsid w:val="00A27C03"/>
    <w:rsid w:val="00A304F1"/>
    <w:rsid w:val="00A406D0"/>
    <w:rsid w:val="00A44B74"/>
    <w:rsid w:val="00A45169"/>
    <w:rsid w:val="00A46E3B"/>
    <w:rsid w:val="00A47196"/>
    <w:rsid w:val="00A535F2"/>
    <w:rsid w:val="00A62F4F"/>
    <w:rsid w:val="00A66932"/>
    <w:rsid w:val="00A67795"/>
    <w:rsid w:val="00A81FFE"/>
    <w:rsid w:val="00A83A5C"/>
    <w:rsid w:val="00AB0377"/>
    <w:rsid w:val="00AB1253"/>
    <w:rsid w:val="00AB181B"/>
    <w:rsid w:val="00AB6A60"/>
    <w:rsid w:val="00AC0FED"/>
    <w:rsid w:val="00AD15E4"/>
    <w:rsid w:val="00AE0009"/>
    <w:rsid w:val="00AE315B"/>
    <w:rsid w:val="00AE71B6"/>
    <w:rsid w:val="00AF55B7"/>
    <w:rsid w:val="00B02358"/>
    <w:rsid w:val="00B11ED8"/>
    <w:rsid w:val="00B14C85"/>
    <w:rsid w:val="00B33567"/>
    <w:rsid w:val="00B60EBB"/>
    <w:rsid w:val="00B65B38"/>
    <w:rsid w:val="00B749E5"/>
    <w:rsid w:val="00B75CA2"/>
    <w:rsid w:val="00B77759"/>
    <w:rsid w:val="00B8358D"/>
    <w:rsid w:val="00B92208"/>
    <w:rsid w:val="00B9573F"/>
    <w:rsid w:val="00B973DF"/>
    <w:rsid w:val="00B97A54"/>
    <w:rsid w:val="00BA0304"/>
    <w:rsid w:val="00BA17F8"/>
    <w:rsid w:val="00BB1213"/>
    <w:rsid w:val="00BB7E88"/>
    <w:rsid w:val="00BE0290"/>
    <w:rsid w:val="00BE1621"/>
    <w:rsid w:val="00BE323C"/>
    <w:rsid w:val="00BF1F15"/>
    <w:rsid w:val="00C010EE"/>
    <w:rsid w:val="00C014D6"/>
    <w:rsid w:val="00C052B6"/>
    <w:rsid w:val="00C065C6"/>
    <w:rsid w:val="00C07EB6"/>
    <w:rsid w:val="00C11DDA"/>
    <w:rsid w:val="00C12096"/>
    <w:rsid w:val="00C21A5B"/>
    <w:rsid w:val="00C24A4E"/>
    <w:rsid w:val="00C420A7"/>
    <w:rsid w:val="00C50201"/>
    <w:rsid w:val="00C52662"/>
    <w:rsid w:val="00C630B0"/>
    <w:rsid w:val="00C630F3"/>
    <w:rsid w:val="00C652A5"/>
    <w:rsid w:val="00C65DB9"/>
    <w:rsid w:val="00C918D5"/>
    <w:rsid w:val="00C948B9"/>
    <w:rsid w:val="00C94D52"/>
    <w:rsid w:val="00C9570A"/>
    <w:rsid w:val="00CA2BFF"/>
    <w:rsid w:val="00CA6A1D"/>
    <w:rsid w:val="00CA7FF0"/>
    <w:rsid w:val="00CB5456"/>
    <w:rsid w:val="00CD3A35"/>
    <w:rsid w:val="00CD5AC4"/>
    <w:rsid w:val="00CE1221"/>
    <w:rsid w:val="00CE7D1D"/>
    <w:rsid w:val="00CF1952"/>
    <w:rsid w:val="00CF2F05"/>
    <w:rsid w:val="00CF6962"/>
    <w:rsid w:val="00CF7821"/>
    <w:rsid w:val="00D059C1"/>
    <w:rsid w:val="00D15C6E"/>
    <w:rsid w:val="00D22917"/>
    <w:rsid w:val="00D25DA6"/>
    <w:rsid w:val="00D2666B"/>
    <w:rsid w:val="00D272F0"/>
    <w:rsid w:val="00D43CBD"/>
    <w:rsid w:val="00D73AEA"/>
    <w:rsid w:val="00D75901"/>
    <w:rsid w:val="00D83529"/>
    <w:rsid w:val="00D85F7E"/>
    <w:rsid w:val="00D9773F"/>
    <w:rsid w:val="00DB02E2"/>
    <w:rsid w:val="00DC6934"/>
    <w:rsid w:val="00DC6E4C"/>
    <w:rsid w:val="00DD1298"/>
    <w:rsid w:val="00DD6224"/>
    <w:rsid w:val="00DE1393"/>
    <w:rsid w:val="00DF1E4F"/>
    <w:rsid w:val="00DF5C0E"/>
    <w:rsid w:val="00DF749E"/>
    <w:rsid w:val="00E0128C"/>
    <w:rsid w:val="00E01FCD"/>
    <w:rsid w:val="00E02B9E"/>
    <w:rsid w:val="00E106E1"/>
    <w:rsid w:val="00E20363"/>
    <w:rsid w:val="00E500C2"/>
    <w:rsid w:val="00E531A9"/>
    <w:rsid w:val="00E57396"/>
    <w:rsid w:val="00E605C2"/>
    <w:rsid w:val="00E61A85"/>
    <w:rsid w:val="00E6315E"/>
    <w:rsid w:val="00E73D07"/>
    <w:rsid w:val="00E80B42"/>
    <w:rsid w:val="00E823DA"/>
    <w:rsid w:val="00E84FFC"/>
    <w:rsid w:val="00E87ED7"/>
    <w:rsid w:val="00E9567A"/>
    <w:rsid w:val="00EB32D9"/>
    <w:rsid w:val="00EB5B9A"/>
    <w:rsid w:val="00ED1986"/>
    <w:rsid w:val="00EF19A0"/>
    <w:rsid w:val="00EF527A"/>
    <w:rsid w:val="00EF66EC"/>
    <w:rsid w:val="00F118C3"/>
    <w:rsid w:val="00F11C9C"/>
    <w:rsid w:val="00F15DCE"/>
    <w:rsid w:val="00F1617D"/>
    <w:rsid w:val="00F17FEE"/>
    <w:rsid w:val="00F256FF"/>
    <w:rsid w:val="00F26173"/>
    <w:rsid w:val="00F37D58"/>
    <w:rsid w:val="00F4091B"/>
    <w:rsid w:val="00F54A51"/>
    <w:rsid w:val="00F55999"/>
    <w:rsid w:val="00F62E24"/>
    <w:rsid w:val="00F63B95"/>
    <w:rsid w:val="00F72E2D"/>
    <w:rsid w:val="00F76C4B"/>
    <w:rsid w:val="00F927D3"/>
    <w:rsid w:val="00F93651"/>
    <w:rsid w:val="00FB400C"/>
    <w:rsid w:val="00FD10B3"/>
    <w:rsid w:val="00FD2D27"/>
    <w:rsid w:val="00FD3ADD"/>
    <w:rsid w:val="00FD4700"/>
    <w:rsid w:val="00FE4858"/>
    <w:rsid w:val="00FF0F4C"/>
    <w:rsid w:val="00FF287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D2AF6A"/>
  <w15:chartTrackingRefBased/>
  <w15:docId w15:val="{25FAE0B8-94A2-47A6-B86B-413A8DB72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23DA"/>
    <w:pPr>
      <w:widowControl w:val="0"/>
      <w:autoSpaceDE w:val="0"/>
      <w:autoSpaceDN w:val="0"/>
      <w:adjustRightInd w:val="0"/>
    </w:pPr>
    <w:rPr>
      <w:rFonts w:ascii="Arial" w:hAnsi="Arial"/>
      <w:sz w:val="22"/>
      <w:szCs w:val="24"/>
      <w:lang w:eastAsia="en-US"/>
    </w:rPr>
  </w:style>
  <w:style w:type="paragraph" w:styleId="Heading1">
    <w:name w:val="heading 1"/>
    <w:basedOn w:val="Normal"/>
    <w:next w:val="Normal"/>
    <w:link w:val="Heading1Char"/>
    <w:uiPriority w:val="9"/>
    <w:qFormat/>
    <w:rsid w:val="0033390A"/>
    <w:pPr>
      <w:keepNext/>
      <w:keepLines/>
      <w:widowControl/>
      <w:autoSpaceDE/>
      <w:autoSpaceDN/>
      <w:adjustRightInd/>
      <w:spacing w:before="240" w:line="259" w:lineRule="auto"/>
      <w:outlineLvl w:val="0"/>
    </w:pPr>
    <w:rPr>
      <w:rFonts w:asciiTheme="majorHAnsi" w:eastAsiaTheme="majorEastAsia" w:hAnsiTheme="majorHAnsi" w:cstheme="majorBidi"/>
      <w:color w:val="2E74B5"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9683F"/>
    <w:rPr>
      <w:rFonts w:ascii="Tahoma" w:hAnsi="Tahoma" w:cs="Tahoma"/>
      <w:sz w:val="16"/>
      <w:szCs w:val="16"/>
    </w:rPr>
  </w:style>
  <w:style w:type="character" w:styleId="Hyperlink">
    <w:name w:val="Hyperlink"/>
    <w:rsid w:val="0069683F"/>
    <w:rPr>
      <w:color w:val="0000FF"/>
      <w:u w:val="single"/>
    </w:rPr>
  </w:style>
  <w:style w:type="paragraph" w:styleId="Header">
    <w:name w:val="header"/>
    <w:basedOn w:val="Normal"/>
    <w:rsid w:val="00BB7E88"/>
    <w:pPr>
      <w:tabs>
        <w:tab w:val="center" w:pos="4320"/>
        <w:tab w:val="right" w:pos="8640"/>
      </w:tabs>
    </w:pPr>
  </w:style>
  <w:style w:type="paragraph" w:styleId="Footer">
    <w:name w:val="footer"/>
    <w:basedOn w:val="Normal"/>
    <w:rsid w:val="00BB7E88"/>
    <w:pPr>
      <w:tabs>
        <w:tab w:val="center" w:pos="4320"/>
        <w:tab w:val="right" w:pos="8640"/>
      </w:tabs>
    </w:pPr>
  </w:style>
  <w:style w:type="paragraph" w:styleId="BodyText3">
    <w:name w:val="Body Text 3"/>
    <w:basedOn w:val="Normal"/>
    <w:link w:val="BodyText3Char"/>
    <w:rsid w:val="00BB7E88"/>
    <w:pPr>
      <w:widowControl/>
    </w:pPr>
    <w:rPr>
      <w:rFonts w:cs="Arial"/>
      <w:sz w:val="20"/>
      <w:szCs w:val="20"/>
    </w:rPr>
  </w:style>
  <w:style w:type="character" w:customStyle="1" w:styleId="BodyText3Char">
    <w:name w:val="Body Text 3 Char"/>
    <w:link w:val="BodyText3"/>
    <w:rsid w:val="00BB7E88"/>
    <w:rPr>
      <w:rFonts w:ascii="Arial" w:hAnsi="Arial" w:cs="Arial"/>
      <w:lang w:val="en-NZ" w:eastAsia="en-US" w:bidi="ar-SA"/>
    </w:rPr>
  </w:style>
  <w:style w:type="character" w:styleId="PageNumber">
    <w:name w:val="page number"/>
    <w:basedOn w:val="DefaultParagraphFont"/>
    <w:rsid w:val="00BB7E88"/>
  </w:style>
  <w:style w:type="paragraph" w:styleId="DocumentMap">
    <w:name w:val="Document Map"/>
    <w:basedOn w:val="Normal"/>
    <w:semiHidden/>
    <w:pPr>
      <w:shd w:val="clear" w:color="auto" w:fill="000080"/>
    </w:pPr>
    <w:rPr>
      <w:rFonts w:ascii="Tahoma" w:hAnsi="Tahoma" w:cs="Tahoma"/>
      <w:sz w:val="20"/>
      <w:szCs w:val="20"/>
    </w:rPr>
  </w:style>
  <w:style w:type="paragraph" w:styleId="ListParagraph">
    <w:name w:val="List Paragraph"/>
    <w:basedOn w:val="Normal"/>
    <w:uiPriority w:val="34"/>
    <w:qFormat/>
    <w:rsid w:val="00A27C03"/>
    <w:pPr>
      <w:widowControl/>
      <w:autoSpaceDE/>
      <w:autoSpaceDN/>
      <w:adjustRightInd/>
      <w:ind w:left="720"/>
    </w:pPr>
    <w:rPr>
      <w:rFonts w:eastAsia="Calibri"/>
      <w:lang w:eastAsia="en-NZ"/>
    </w:rPr>
  </w:style>
  <w:style w:type="character" w:styleId="CommentReference">
    <w:name w:val="annotation reference"/>
    <w:rsid w:val="00085C5F"/>
    <w:rPr>
      <w:sz w:val="16"/>
      <w:szCs w:val="16"/>
    </w:rPr>
  </w:style>
  <w:style w:type="paragraph" w:styleId="CommentText">
    <w:name w:val="annotation text"/>
    <w:basedOn w:val="Normal"/>
    <w:link w:val="CommentTextChar"/>
    <w:rsid w:val="00085C5F"/>
    <w:rPr>
      <w:sz w:val="20"/>
      <w:szCs w:val="20"/>
    </w:rPr>
  </w:style>
  <w:style w:type="character" w:customStyle="1" w:styleId="CommentTextChar">
    <w:name w:val="Comment Text Char"/>
    <w:link w:val="CommentText"/>
    <w:rsid w:val="00085C5F"/>
    <w:rPr>
      <w:lang w:eastAsia="en-US"/>
    </w:rPr>
  </w:style>
  <w:style w:type="paragraph" w:styleId="CommentSubject">
    <w:name w:val="annotation subject"/>
    <w:basedOn w:val="CommentText"/>
    <w:next w:val="CommentText"/>
    <w:link w:val="CommentSubjectChar"/>
    <w:rsid w:val="00085C5F"/>
    <w:rPr>
      <w:b/>
      <w:bCs/>
    </w:rPr>
  </w:style>
  <w:style w:type="character" w:customStyle="1" w:styleId="CommentSubjectChar">
    <w:name w:val="Comment Subject Char"/>
    <w:link w:val="CommentSubject"/>
    <w:rsid w:val="00085C5F"/>
    <w:rPr>
      <w:b/>
      <w:bCs/>
      <w:lang w:eastAsia="en-US"/>
    </w:rPr>
  </w:style>
  <w:style w:type="paragraph" w:customStyle="1" w:styleId="BodyText1">
    <w:name w:val="Body Text1"/>
    <w:qFormat/>
    <w:rsid w:val="00F26173"/>
    <w:pPr>
      <w:tabs>
        <w:tab w:val="right" w:pos="9000"/>
      </w:tabs>
      <w:spacing w:before="120"/>
      <w:ind w:left="567"/>
      <w:jc w:val="both"/>
    </w:pPr>
    <w:rPr>
      <w:rFonts w:ascii="Arial" w:eastAsia="ヒラギノ角ゴ Pro W3" w:hAnsi="Arial"/>
      <w:color w:val="000000"/>
      <w:lang w:val="en-AU"/>
    </w:rPr>
  </w:style>
  <w:style w:type="table" w:styleId="TableGrid">
    <w:name w:val="Table Grid"/>
    <w:basedOn w:val="TableNormal"/>
    <w:rsid w:val="00CF78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81FFE"/>
    <w:rPr>
      <w:color w:val="808080"/>
    </w:rPr>
  </w:style>
  <w:style w:type="paragraph" w:styleId="Caption">
    <w:name w:val="caption"/>
    <w:basedOn w:val="Normal"/>
    <w:next w:val="Normal"/>
    <w:unhideWhenUsed/>
    <w:qFormat/>
    <w:rsid w:val="00395B1E"/>
    <w:pPr>
      <w:spacing w:after="200"/>
      <w:jc w:val="center"/>
    </w:pPr>
    <w:rPr>
      <w:i/>
      <w:iCs/>
      <w:color w:val="44546A" w:themeColor="text2"/>
      <w:sz w:val="18"/>
      <w:szCs w:val="18"/>
    </w:rPr>
  </w:style>
  <w:style w:type="table" w:styleId="TableList3">
    <w:name w:val="Table List 3"/>
    <w:basedOn w:val="TableNormal"/>
    <w:rsid w:val="00E823DA"/>
    <w:pPr>
      <w:widowControl w:val="0"/>
      <w:autoSpaceDE w:val="0"/>
      <w:autoSpaceDN w:val="0"/>
      <w:adjustRightInd w:val="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PlainTable2">
    <w:name w:val="Plain Table 2"/>
    <w:basedOn w:val="TableNormal"/>
    <w:uiPriority w:val="42"/>
    <w:rsid w:val="009E74D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33390A"/>
    <w:rPr>
      <w:rFonts w:asciiTheme="majorHAnsi" w:eastAsiaTheme="majorEastAsia" w:hAnsiTheme="majorHAnsi" w:cstheme="majorBidi"/>
      <w:color w:val="2E74B5" w:themeColor="accent1" w:themeShade="BF"/>
      <w:sz w:val="32"/>
      <w:szCs w:val="32"/>
      <w:lang w:val="en-US" w:eastAsia="en-US"/>
    </w:rPr>
  </w:style>
  <w:style w:type="paragraph" w:styleId="Bibliography">
    <w:name w:val="Bibliography"/>
    <w:basedOn w:val="Normal"/>
    <w:next w:val="Normal"/>
    <w:uiPriority w:val="37"/>
    <w:unhideWhenUsed/>
    <w:rsid w:val="0033390A"/>
  </w:style>
  <w:style w:type="paragraph" w:customStyle="1" w:styleId="EndNoteBibliographyTitle">
    <w:name w:val="EndNote Bibliography Title"/>
    <w:basedOn w:val="Normal"/>
    <w:link w:val="EndNoteBibliographyTitleChar"/>
    <w:rsid w:val="00DB02E2"/>
    <w:pPr>
      <w:jc w:val="center"/>
    </w:pPr>
    <w:rPr>
      <w:rFonts w:cs="Arial"/>
      <w:noProof/>
      <w:lang w:val="en-US"/>
    </w:rPr>
  </w:style>
  <w:style w:type="character" w:customStyle="1" w:styleId="EndNoteBibliographyTitleChar">
    <w:name w:val="EndNote Bibliography Title Char"/>
    <w:basedOn w:val="DefaultParagraphFont"/>
    <w:link w:val="EndNoteBibliographyTitle"/>
    <w:rsid w:val="00DB02E2"/>
    <w:rPr>
      <w:rFonts w:ascii="Arial" w:hAnsi="Arial" w:cs="Arial"/>
      <w:noProof/>
      <w:sz w:val="22"/>
      <w:szCs w:val="24"/>
      <w:lang w:val="en-US" w:eastAsia="en-US"/>
    </w:rPr>
  </w:style>
  <w:style w:type="paragraph" w:customStyle="1" w:styleId="EndNoteBibliography">
    <w:name w:val="EndNote Bibliography"/>
    <w:basedOn w:val="Normal"/>
    <w:link w:val="EndNoteBibliographyChar"/>
    <w:rsid w:val="00DB02E2"/>
    <w:rPr>
      <w:rFonts w:cs="Arial"/>
      <w:noProof/>
      <w:lang w:val="en-US"/>
    </w:rPr>
  </w:style>
  <w:style w:type="character" w:customStyle="1" w:styleId="EndNoteBibliographyChar">
    <w:name w:val="EndNote Bibliography Char"/>
    <w:basedOn w:val="DefaultParagraphFont"/>
    <w:link w:val="EndNoteBibliography"/>
    <w:rsid w:val="00DB02E2"/>
    <w:rPr>
      <w:rFonts w:ascii="Arial" w:hAnsi="Arial" w:cs="Arial"/>
      <w:noProof/>
      <w:sz w:val="22"/>
      <w:szCs w:val="24"/>
      <w:lang w:val="en-US" w:eastAsia="en-US"/>
    </w:rPr>
  </w:style>
  <w:style w:type="character" w:styleId="FollowedHyperlink">
    <w:name w:val="FollowedHyperlink"/>
    <w:basedOn w:val="DefaultParagraphFont"/>
    <w:rsid w:val="0076646E"/>
    <w:rPr>
      <w:color w:val="954F72" w:themeColor="followedHyperlink"/>
      <w:u w:val="single"/>
    </w:rPr>
  </w:style>
  <w:style w:type="paragraph" w:styleId="Revision">
    <w:name w:val="Revision"/>
    <w:hidden/>
    <w:uiPriority w:val="99"/>
    <w:semiHidden/>
    <w:rsid w:val="00F55999"/>
    <w:rPr>
      <w:rFonts w:ascii="Arial" w:hAnsi="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2955466">
      <w:bodyDiv w:val="1"/>
      <w:marLeft w:val="0"/>
      <w:marRight w:val="0"/>
      <w:marTop w:val="0"/>
      <w:marBottom w:val="0"/>
      <w:divBdr>
        <w:top w:val="none" w:sz="0" w:space="0" w:color="auto"/>
        <w:left w:val="none" w:sz="0" w:space="0" w:color="auto"/>
        <w:bottom w:val="none" w:sz="0" w:space="0" w:color="auto"/>
        <w:right w:val="none" w:sz="0" w:space="0" w:color="auto"/>
      </w:divBdr>
    </w:div>
    <w:div w:id="443233019">
      <w:bodyDiv w:val="1"/>
      <w:marLeft w:val="0"/>
      <w:marRight w:val="0"/>
      <w:marTop w:val="0"/>
      <w:marBottom w:val="0"/>
      <w:divBdr>
        <w:top w:val="none" w:sz="0" w:space="0" w:color="auto"/>
        <w:left w:val="none" w:sz="0" w:space="0" w:color="auto"/>
        <w:bottom w:val="none" w:sz="0" w:space="0" w:color="auto"/>
        <w:right w:val="none" w:sz="0" w:space="0" w:color="auto"/>
      </w:divBdr>
    </w:div>
    <w:div w:id="472408981">
      <w:bodyDiv w:val="1"/>
      <w:marLeft w:val="0"/>
      <w:marRight w:val="0"/>
      <w:marTop w:val="0"/>
      <w:marBottom w:val="0"/>
      <w:divBdr>
        <w:top w:val="none" w:sz="0" w:space="0" w:color="auto"/>
        <w:left w:val="none" w:sz="0" w:space="0" w:color="auto"/>
        <w:bottom w:val="none" w:sz="0" w:space="0" w:color="auto"/>
        <w:right w:val="none" w:sz="0" w:space="0" w:color="auto"/>
      </w:divBdr>
    </w:div>
    <w:div w:id="795871163">
      <w:bodyDiv w:val="1"/>
      <w:marLeft w:val="0"/>
      <w:marRight w:val="0"/>
      <w:marTop w:val="0"/>
      <w:marBottom w:val="0"/>
      <w:divBdr>
        <w:top w:val="none" w:sz="0" w:space="0" w:color="auto"/>
        <w:left w:val="none" w:sz="0" w:space="0" w:color="auto"/>
        <w:bottom w:val="none" w:sz="0" w:space="0" w:color="auto"/>
        <w:right w:val="none" w:sz="0" w:space="0" w:color="auto"/>
      </w:divBdr>
    </w:div>
    <w:div w:id="929460608">
      <w:bodyDiv w:val="1"/>
      <w:marLeft w:val="0"/>
      <w:marRight w:val="0"/>
      <w:marTop w:val="0"/>
      <w:marBottom w:val="0"/>
      <w:divBdr>
        <w:top w:val="none" w:sz="0" w:space="0" w:color="auto"/>
        <w:left w:val="none" w:sz="0" w:space="0" w:color="auto"/>
        <w:bottom w:val="none" w:sz="0" w:space="0" w:color="auto"/>
        <w:right w:val="none" w:sz="0" w:space="0" w:color="auto"/>
      </w:divBdr>
    </w:div>
    <w:div w:id="959341908">
      <w:bodyDiv w:val="1"/>
      <w:marLeft w:val="0"/>
      <w:marRight w:val="0"/>
      <w:marTop w:val="0"/>
      <w:marBottom w:val="0"/>
      <w:divBdr>
        <w:top w:val="none" w:sz="0" w:space="0" w:color="auto"/>
        <w:left w:val="none" w:sz="0" w:space="0" w:color="auto"/>
        <w:bottom w:val="none" w:sz="0" w:space="0" w:color="auto"/>
        <w:right w:val="none" w:sz="0" w:space="0" w:color="auto"/>
      </w:divBdr>
    </w:div>
    <w:div w:id="1267734117">
      <w:bodyDiv w:val="1"/>
      <w:marLeft w:val="0"/>
      <w:marRight w:val="0"/>
      <w:marTop w:val="0"/>
      <w:marBottom w:val="0"/>
      <w:divBdr>
        <w:top w:val="none" w:sz="0" w:space="0" w:color="auto"/>
        <w:left w:val="none" w:sz="0" w:space="0" w:color="auto"/>
        <w:bottom w:val="none" w:sz="0" w:space="0" w:color="auto"/>
        <w:right w:val="none" w:sz="0" w:space="0" w:color="auto"/>
      </w:divBdr>
    </w:div>
    <w:div w:id="1282568025">
      <w:bodyDiv w:val="1"/>
      <w:marLeft w:val="0"/>
      <w:marRight w:val="0"/>
      <w:marTop w:val="0"/>
      <w:marBottom w:val="0"/>
      <w:divBdr>
        <w:top w:val="none" w:sz="0" w:space="0" w:color="auto"/>
        <w:left w:val="none" w:sz="0" w:space="0" w:color="auto"/>
        <w:bottom w:val="none" w:sz="0" w:space="0" w:color="auto"/>
        <w:right w:val="none" w:sz="0" w:space="0" w:color="auto"/>
      </w:divBdr>
    </w:div>
    <w:div w:id="1396320237">
      <w:bodyDiv w:val="1"/>
      <w:marLeft w:val="0"/>
      <w:marRight w:val="0"/>
      <w:marTop w:val="0"/>
      <w:marBottom w:val="0"/>
      <w:divBdr>
        <w:top w:val="none" w:sz="0" w:space="0" w:color="auto"/>
        <w:left w:val="none" w:sz="0" w:space="0" w:color="auto"/>
        <w:bottom w:val="none" w:sz="0" w:space="0" w:color="auto"/>
        <w:right w:val="none" w:sz="0" w:space="0" w:color="auto"/>
      </w:divBdr>
    </w:div>
    <w:div w:id="1482231638">
      <w:bodyDiv w:val="1"/>
      <w:marLeft w:val="0"/>
      <w:marRight w:val="0"/>
      <w:marTop w:val="0"/>
      <w:marBottom w:val="0"/>
      <w:divBdr>
        <w:top w:val="none" w:sz="0" w:space="0" w:color="auto"/>
        <w:left w:val="none" w:sz="0" w:space="0" w:color="auto"/>
        <w:bottom w:val="none" w:sz="0" w:space="0" w:color="auto"/>
        <w:right w:val="none" w:sz="0" w:space="0" w:color="auto"/>
      </w:divBdr>
    </w:div>
    <w:div w:id="1512527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koordinates.co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atafinder.stats.govt.nz"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www.macrotrends.net/1369/crude-oil-price-history-chart"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koordinat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Are17</b:Tag>
    <b:SourceType>Report</b:SourceType>
    <b:Guid>{AF78A1F8-29EA-4119-B58D-9C20E11347AA}</b:Guid>
    <b:Title>Oil Prices and the Global Economy</b:Title>
    <b:Year>2017</b:Year>
    <b:Publisher>International Monetary fund</b:Publisher>
    <b:Author>
      <b:Author>
        <b:NameList>
          <b:Person>
            <b:Last>Arezki</b:Last>
            <b:First>Rabah</b:First>
          </b:Person>
          <b:Person>
            <b:Last>Jakab</b:Last>
            <b:First>Zoltan</b:First>
          </b:Person>
          <b:Person>
            <b:Last>Laxton</b:Last>
            <b:First>Douglas</b:First>
          </b:Person>
          <b:Person>
            <b:Last>Matsumoto</b:Last>
            <b:First>Akito</b:First>
          </b:Person>
          <b:Person>
            <b:Last>Nurbekyan</b:Last>
            <b:First>Armen</b:First>
          </b:Person>
          <b:Person>
            <b:Last>Wang</b:Last>
            <b:First>Hou</b:First>
          </b:Person>
          <b:Person>
            <b:Last>Yao</b:Last>
            <b:First>Jiaxiong</b:First>
          </b:Person>
        </b:NameList>
      </b:Author>
    </b:Author>
    <b:RefOrder>1</b:RefOrder>
  </b:Source>
  <b:Source>
    <b:Tag>mac17</b:Tag>
    <b:SourceType>InternetSite</b:SourceType>
    <b:Guid>{582C24A1-861B-4FFD-838D-335D8481317E}</b:Guid>
    <b:Title>Crude Oil Prices - 70 Year Historical Chart</b:Title>
    <b:Year>2017</b:Year>
    <b:Author>
      <b:Author>
        <b:Corporate>macrotrends</b:Corporate>
      </b:Author>
    </b:Author>
    <b:YearAccessed>2017</b:YearAccessed>
    <b:MonthAccessed>12</b:MonthAccessed>
    <b:DayAccessed>7</b:DayAccessed>
    <b:URL>www.macrotrends.net/1369/crude-oil-price-history-chart</b:URL>
    <b:RefOrder>2</b:RefOrder>
  </b:Source>
</b:Sources>
</file>

<file path=customXml/itemProps1.xml><?xml version="1.0" encoding="utf-8"?>
<ds:datastoreItem xmlns:ds="http://schemas.openxmlformats.org/officeDocument/2006/customXml" ds:itemID="{18BA89EB-7FC9-4596-BBA4-2370ABFB7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12523</Words>
  <Characters>71382</Characters>
  <Application>Microsoft Office Word</Application>
  <DocSecurity>0</DocSecurity>
  <Lines>594</Lines>
  <Paragraphs>167</Paragraphs>
  <ScaleCrop>false</ScaleCrop>
  <HeadingPairs>
    <vt:vector size="2" baseType="variant">
      <vt:variant>
        <vt:lpstr>Title</vt:lpstr>
      </vt:variant>
      <vt:variant>
        <vt:i4>1</vt:i4>
      </vt:variant>
    </vt:vector>
  </HeadingPairs>
  <TitlesOfParts>
    <vt:vector size="1" baseType="lpstr">
      <vt:lpstr>PAPER FORMAT INSTRUCTIONS</vt:lpstr>
    </vt:vector>
  </TitlesOfParts>
  <Company>The University of Auckland</Company>
  <LinksUpToDate>false</LinksUpToDate>
  <CharactersWithSpaces>83738</CharactersWithSpaces>
  <SharedDoc>false</SharedDoc>
  <HLinks>
    <vt:vector size="18" baseType="variant">
      <vt:variant>
        <vt:i4>589943</vt:i4>
      </vt:variant>
      <vt:variant>
        <vt:i4>6</vt:i4>
      </vt:variant>
      <vt:variant>
        <vt:i4>0</vt:i4>
      </vt:variant>
      <vt:variant>
        <vt:i4>5</vt:i4>
      </vt:variant>
      <vt:variant>
        <vt:lpwstr>mailto:glenda@hardingconsultants.co.nz</vt:lpwstr>
      </vt:variant>
      <vt:variant>
        <vt:lpwstr/>
      </vt:variant>
      <vt:variant>
        <vt:i4>6488103</vt:i4>
      </vt:variant>
      <vt:variant>
        <vt:i4>3</vt:i4>
      </vt:variant>
      <vt:variant>
        <vt:i4>0</vt:i4>
      </vt:variant>
      <vt:variant>
        <vt:i4>5</vt:i4>
      </vt:variant>
      <vt:variant>
        <vt:lpwstr>http://libguides.scu.edu.au/content.php?pid=269507&amp;sid=2223205</vt:lpwstr>
      </vt:variant>
      <vt:variant>
        <vt:lpwstr/>
      </vt:variant>
      <vt:variant>
        <vt:i4>589943</vt:i4>
      </vt:variant>
      <vt:variant>
        <vt:i4>0</vt:i4>
      </vt:variant>
      <vt:variant>
        <vt:i4>0</vt:i4>
      </vt:variant>
      <vt:variant>
        <vt:i4>5</vt:i4>
      </vt:variant>
      <vt:variant>
        <vt:lpwstr>mailto:glenda@hardingconsultants.co.nz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FORMAT INSTRUCTIONS</dc:title>
  <dc:subject/>
  <dc:creator>rdun028</dc:creator>
  <cp:keywords/>
  <cp:lastModifiedBy>Patricio Gallardo Ocampo</cp:lastModifiedBy>
  <cp:revision>2</cp:revision>
  <cp:lastPrinted>2018-01-17T02:08:00Z</cp:lastPrinted>
  <dcterms:created xsi:type="dcterms:W3CDTF">2018-02-13T20:17:00Z</dcterms:created>
  <dcterms:modified xsi:type="dcterms:W3CDTF">2018-02-13T20:17:00Z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Unable to retrieve uuid - error: 0. Server error 'Network access is disabled.'</vt:lpwstr>
  </property>
  <property fmtid="{D5CDD505-2E9C-101B-9397-08002B2CF9AE}" pid="24" name="Mendeley Citation Style_1">
    <vt:lpwstr>Can't get selected citation style id - error: 0. Server error 'Network access is disabled.'</vt:lpwstr>
  </property>
</Properties>
</file>