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0E11F" w14:textId="6F9D4437" w:rsidR="00714297" w:rsidRPr="00703B3C" w:rsidRDefault="00106B5C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Pedestrian Road Trauma in Aotearoa</w:t>
      </w:r>
    </w:p>
    <w:p w14:paraId="2098793A" w14:textId="43566286" w:rsidR="00106B5C" w:rsidRPr="002F5933" w:rsidRDefault="00106B5C" w:rsidP="000841C6">
      <w:pPr>
        <w:spacing w:after="120"/>
        <w:ind w:right="709"/>
        <w:rPr>
          <w:rFonts w:ascii="Graphik Regular" w:hAnsi="Graphik Regular" w:cs="Circular Std Book"/>
          <w:bCs/>
        </w:rPr>
      </w:pPr>
      <w:r w:rsidRPr="002F5933">
        <w:rPr>
          <w:rFonts w:ascii="Graphik Regular" w:hAnsi="Graphik Regular" w:cs="Circular Std Book"/>
          <w:bCs/>
        </w:rPr>
        <w:t xml:space="preserve">Rebekah </w:t>
      </w:r>
      <w:proofErr w:type="spellStart"/>
      <w:r w:rsidRPr="002F5933">
        <w:rPr>
          <w:rFonts w:ascii="Graphik Regular" w:hAnsi="Graphik Regular" w:cs="Circular Std Book"/>
          <w:bCs/>
        </w:rPr>
        <w:t>Thorne</w:t>
      </w:r>
      <w:r w:rsidRPr="002F5933">
        <w:rPr>
          <w:rFonts w:ascii="Graphik Regular" w:hAnsi="Graphik Regular" w:cs="Circular Std Book"/>
          <w:bCs/>
          <w:vertAlign w:val="superscript"/>
        </w:rPr>
        <w:t>a</w:t>
      </w:r>
      <w:proofErr w:type="spellEnd"/>
      <w:r w:rsidRPr="002F5933">
        <w:rPr>
          <w:rFonts w:ascii="Graphik Regular" w:hAnsi="Graphik Regular" w:cs="Circular Std Book"/>
          <w:bCs/>
        </w:rPr>
        <w:t xml:space="preserve">, Lily </w:t>
      </w:r>
      <w:proofErr w:type="spellStart"/>
      <w:r w:rsidRPr="002F5933">
        <w:rPr>
          <w:rFonts w:ascii="Graphik Regular" w:hAnsi="Graphik Regular" w:cs="Circular Std Book"/>
          <w:bCs/>
        </w:rPr>
        <w:t>Hirsch</w:t>
      </w:r>
      <w:r w:rsidRPr="002F5933">
        <w:rPr>
          <w:rFonts w:ascii="Graphik Regular" w:hAnsi="Graphik Regular" w:cs="Circular Std Book"/>
          <w:bCs/>
          <w:vertAlign w:val="superscript"/>
        </w:rPr>
        <w:t>a</w:t>
      </w:r>
      <w:proofErr w:type="spellEnd"/>
      <w:r w:rsidRPr="002F5933">
        <w:rPr>
          <w:rFonts w:ascii="Graphik Regular" w:hAnsi="Graphik Regular" w:cs="Circular Std Book"/>
          <w:bCs/>
        </w:rPr>
        <w:t xml:space="preserve">, Hamish </w:t>
      </w:r>
      <w:proofErr w:type="spellStart"/>
      <w:r w:rsidRPr="002F5933">
        <w:rPr>
          <w:rFonts w:ascii="Graphik Regular" w:hAnsi="Graphik Regular" w:cs="Circular Std Book"/>
          <w:bCs/>
        </w:rPr>
        <w:t>Mackie</w:t>
      </w:r>
      <w:r w:rsidRPr="002F5933">
        <w:rPr>
          <w:rFonts w:ascii="Graphik Regular" w:hAnsi="Graphik Regular" w:cs="Circular Std Book"/>
          <w:bCs/>
          <w:vertAlign w:val="superscript"/>
        </w:rPr>
        <w:t>a</w:t>
      </w:r>
      <w:proofErr w:type="spellEnd"/>
      <w:r w:rsidRPr="002F5933">
        <w:rPr>
          <w:rFonts w:ascii="Graphik Regular" w:hAnsi="Graphik Regular" w:cs="Circular Std Book"/>
          <w:bCs/>
        </w:rPr>
        <w:t xml:space="preserve">, Iain </w:t>
      </w:r>
      <w:proofErr w:type="spellStart"/>
      <w:r w:rsidRPr="002F5933">
        <w:rPr>
          <w:rFonts w:ascii="Graphik Regular" w:hAnsi="Graphik Regular" w:cs="Circular Std Book"/>
          <w:bCs/>
        </w:rPr>
        <w:t>McAuley</w:t>
      </w:r>
      <w:r w:rsidRPr="002F5933">
        <w:rPr>
          <w:rFonts w:ascii="Graphik Regular" w:hAnsi="Graphik Regular" w:cs="Circular Std Book"/>
          <w:bCs/>
          <w:vertAlign w:val="superscript"/>
        </w:rPr>
        <w:t>b</w:t>
      </w:r>
      <w:proofErr w:type="spellEnd"/>
      <w:r w:rsidRPr="002F5933">
        <w:rPr>
          <w:rFonts w:ascii="Graphik Regular" w:hAnsi="Graphik Regular" w:cs="Circular Std Book"/>
          <w:bCs/>
        </w:rPr>
        <w:t xml:space="preserve">, Irene </w:t>
      </w:r>
      <w:proofErr w:type="spellStart"/>
      <w:r w:rsidRPr="002F5933">
        <w:rPr>
          <w:rFonts w:ascii="Graphik Regular" w:hAnsi="Graphik Regular" w:cs="Circular Std Book"/>
          <w:bCs/>
        </w:rPr>
        <w:t>Tse</w:t>
      </w:r>
      <w:r w:rsidRPr="002F5933">
        <w:rPr>
          <w:rFonts w:ascii="Graphik Regular" w:hAnsi="Graphik Regular" w:cs="Circular Std Book"/>
          <w:bCs/>
          <w:vertAlign w:val="superscript"/>
        </w:rPr>
        <w:t>c</w:t>
      </w:r>
      <w:proofErr w:type="spellEnd"/>
    </w:p>
    <w:p w14:paraId="02292BFF" w14:textId="4220CEA5" w:rsidR="00DF7B85" w:rsidRPr="002F5933" w:rsidRDefault="00106B5C" w:rsidP="000841C6">
      <w:pPr>
        <w:spacing w:after="480"/>
        <w:ind w:right="709"/>
        <w:rPr>
          <w:rFonts w:ascii="Graphik Regular" w:hAnsi="Graphik Regular" w:cs="Circular Std Book"/>
          <w:bCs/>
          <w:sz w:val="20"/>
          <w:szCs w:val="20"/>
        </w:rPr>
      </w:pPr>
      <w:proofErr w:type="spellStart"/>
      <w:r w:rsidRPr="002F5933">
        <w:rPr>
          <w:rFonts w:ascii="Graphik Regular" w:hAnsi="Graphik Regular" w:cs="Circular Std Book"/>
          <w:bCs/>
          <w:sz w:val="20"/>
          <w:szCs w:val="20"/>
          <w:vertAlign w:val="superscript"/>
        </w:rPr>
        <w:t>a</w:t>
      </w:r>
      <w:r w:rsidRPr="002F5933">
        <w:rPr>
          <w:rFonts w:ascii="Graphik Regular" w:hAnsi="Graphik Regular" w:cs="Circular Std Book"/>
          <w:bCs/>
          <w:sz w:val="20"/>
          <w:szCs w:val="20"/>
        </w:rPr>
        <w:t>Mackie</w:t>
      </w:r>
      <w:proofErr w:type="spellEnd"/>
      <w:r w:rsidRPr="002F5933">
        <w:rPr>
          <w:rFonts w:ascii="Graphik Regular" w:hAnsi="Graphik Regular" w:cs="Circular Std Book"/>
          <w:bCs/>
          <w:sz w:val="20"/>
          <w:szCs w:val="20"/>
        </w:rPr>
        <w:t xml:space="preserve"> Research, </w:t>
      </w:r>
      <w:proofErr w:type="spellStart"/>
      <w:r w:rsidRPr="002F5933">
        <w:rPr>
          <w:rFonts w:ascii="Graphik Regular" w:hAnsi="Graphik Regular" w:cs="Circular Std Book"/>
          <w:bCs/>
          <w:sz w:val="20"/>
          <w:szCs w:val="20"/>
          <w:vertAlign w:val="superscript"/>
        </w:rPr>
        <w:t>b</w:t>
      </w:r>
      <w:r w:rsidRPr="002F5933">
        <w:rPr>
          <w:rFonts w:ascii="Graphik Regular" w:hAnsi="Graphik Regular" w:cs="Circular Std Book"/>
          <w:bCs/>
          <w:sz w:val="20"/>
          <w:szCs w:val="20"/>
        </w:rPr>
        <w:t>NZ</w:t>
      </w:r>
      <w:proofErr w:type="spellEnd"/>
      <w:r w:rsidRPr="002F5933">
        <w:rPr>
          <w:rFonts w:ascii="Graphik Regular" w:hAnsi="Graphik Regular" w:cs="Circular Std Book"/>
          <w:bCs/>
          <w:sz w:val="20"/>
          <w:szCs w:val="20"/>
        </w:rPr>
        <w:t xml:space="preserve"> Transport Agency, </w:t>
      </w:r>
      <w:proofErr w:type="spellStart"/>
      <w:r w:rsidRPr="002F5933">
        <w:rPr>
          <w:rFonts w:ascii="Graphik Regular" w:hAnsi="Graphik Regular" w:cs="Circular Std Book"/>
          <w:bCs/>
          <w:sz w:val="20"/>
          <w:szCs w:val="20"/>
          <w:vertAlign w:val="superscript"/>
        </w:rPr>
        <w:t>c</w:t>
      </w:r>
      <w:r w:rsidRPr="002F5933">
        <w:rPr>
          <w:rFonts w:ascii="Graphik Regular" w:hAnsi="Graphik Regular" w:cs="Circular Std Book"/>
          <w:bCs/>
          <w:sz w:val="20"/>
          <w:szCs w:val="20"/>
        </w:rPr>
        <w:t>Auckland</w:t>
      </w:r>
      <w:proofErr w:type="spellEnd"/>
      <w:r w:rsidRPr="002F5933">
        <w:rPr>
          <w:rFonts w:ascii="Graphik Regular" w:hAnsi="Graphik Regular" w:cs="Circular Std Book"/>
          <w:bCs/>
          <w:sz w:val="20"/>
          <w:szCs w:val="20"/>
        </w:rPr>
        <w:t xml:space="preserve"> Transport</w:t>
      </w: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9411E6" w14:paraId="35D700CC" w14:textId="77777777" w:rsidTr="005A66DB">
        <w:trPr>
          <w:trHeight w:val="6946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76C51CE" w14:textId="77777777" w:rsidR="00106B5C" w:rsidRDefault="005A66DB" w:rsidP="00F11AE9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Most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77564">
              <w:rPr>
                <w:rFonts w:ascii="Graphik Regular" w:hAnsi="Graphik Regular" w:cs="Circular Std Book"/>
                <w:bCs/>
                <w:sz w:val="22"/>
                <w:szCs w:val="22"/>
              </w:rPr>
              <w:t>people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will be a pedestrian at least once a day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</w:t>
            </w:r>
            <w:r w:rsidR="007775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w</w:t>
            </w:r>
            <w:r w:rsidR="00777564">
              <w:rPr>
                <w:rFonts w:ascii="Graphik Regular" w:hAnsi="Graphik Regular" w:cs="Circular Std Book"/>
                <w:bCs/>
                <w:sz w:val="22"/>
                <w:szCs w:val="22"/>
              </w:rPr>
              <w:t>hilst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walking for transport causes the least harm to other people, it is not always easy or safe. In 201</w:t>
            </w:r>
            <w:r w:rsidR="000C7CC5">
              <w:rPr>
                <w:rFonts w:ascii="Graphik Regular" w:hAnsi="Graphik Regular" w:cs="Circular Std Book"/>
                <w:bCs/>
                <w:sz w:val="22"/>
                <w:szCs w:val="22"/>
              </w:rPr>
              <w:t>9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</w:t>
            </w:r>
            <w:r w:rsidR="00777564">
              <w:rPr>
                <w:rFonts w:ascii="Graphik Regular" w:hAnsi="Graphik Regular" w:cs="Circular Std Book"/>
                <w:bCs/>
                <w:sz w:val="22"/>
                <w:szCs w:val="22"/>
              </w:rPr>
              <w:t>Aotearoa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>, pedestrians accounted for 7.</w:t>
            </w:r>
            <w:r w:rsidR="000C7CC5">
              <w:rPr>
                <w:rFonts w:ascii="Graphik Regular" w:hAnsi="Graphik Regular" w:cs="Circular Std Book"/>
                <w:bCs/>
                <w:sz w:val="22"/>
                <w:szCs w:val="22"/>
              </w:rPr>
              <w:t>9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>% (n=2</w:t>
            </w:r>
            <w:r w:rsidR="000C7CC5">
              <w:rPr>
                <w:rFonts w:ascii="Graphik Regular" w:hAnsi="Graphik Regular" w:cs="Circular Std Book"/>
                <w:bCs/>
                <w:sz w:val="22"/>
                <w:szCs w:val="22"/>
              </w:rPr>
              <w:t>8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) of all road fatalities and </w:t>
            </w:r>
            <w:r w:rsidR="000C7CC5">
              <w:rPr>
                <w:rFonts w:ascii="Graphik Regular" w:hAnsi="Graphik Regular" w:cs="Circular Std Book"/>
                <w:bCs/>
                <w:sz w:val="22"/>
                <w:szCs w:val="22"/>
              </w:rPr>
              <w:t>9.3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>% (n=2</w:t>
            </w:r>
            <w:r w:rsidR="000C7CC5">
              <w:rPr>
                <w:rFonts w:ascii="Graphik Regular" w:hAnsi="Graphik Regular" w:cs="Circular Std Book"/>
                <w:bCs/>
                <w:sz w:val="22"/>
                <w:szCs w:val="22"/>
              </w:rPr>
              <w:t>31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>) of serious injuries.</w:t>
            </w:r>
            <w:r w:rsidR="00106B5C" w:rsidRPr="002F5933">
              <w:rPr>
                <w:rStyle w:val="FootnoteReference"/>
              </w:rPr>
              <w:footnoteReference w:id="1"/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2018 in Auckland, pedestrians accounted for 30%</w:t>
            </w:r>
            <w:r w:rsidR="007775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(n=13)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 all </w:t>
            </w:r>
            <w:r w:rsidR="006242D2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road 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fatalities and 18% </w:t>
            </w:r>
            <w:r w:rsidR="007775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(n=100) 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>of serious injuries</w:t>
            </w:r>
            <w:r w:rsidR="006242D2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106B5C" w:rsidRPr="002F5933">
              <w:rPr>
                <w:rStyle w:val="FootnoteReference"/>
              </w:rPr>
              <w:footnoteReference w:id="2"/>
            </w:r>
            <w:r w:rsidR="00F11AE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9411E6" w:rsidRPr="00E828B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aim of this research was to understand the range and pattern of Safe System factors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present </w:t>
            </w:r>
            <w:r w:rsidR="009411E6" w:rsidRPr="00E828B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</w:t>
            </w:r>
            <w:r w:rsidR="00FC3C7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pedestrian </w:t>
            </w:r>
            <w:r w:rsidR="009411E6" w:rsidRPr="00E828BD">
              <w:rPr>
                <w:rFonts w:ascii="Graphik Regular" w:hAnsi="Graphik Regular" w:cs="Circular Std Book"/>
                <w:bCs/>
                <w:sz w:val="22"/>
                <w:szCs w:val="22"/>
              </w:rPr>
              <w:t>crashes</w:t>
            </w:r>
            <w:r w:rsidR="00B101B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across</w:t>
            </w:r>
            <w:r w:rsidR="007775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Aotearoa</w:t>
            </w:r>
            <w:r w:rsidR="00B101B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Auckland, and </w:t>
            </w:r>
            <w:r w:rsidR="009411E6" w:rsidRPr="00E828BD">
              <w:rPr>
                <w:rFonts w:ascii="Graphik Regular" w:hAnsi="Graphik Regular" w:cs="Circular Std Book"/>
                <w:bCs/>
                <w:sz w:val="22"/>
                <w:szCs w:val="22"/>
              </w:rPr>
              <w:t>how these factors connect</w:t>
            </w:r>
            <w:r w:rsidR="00B101BB">
              <w:rPr>
                <w:rFonts w:ascii="Graphik Regular" w:hAnsi="Graphik Regular" w:cs="Circular Std Book"/>
                <w:bCs/>
                <w:sz w:val="22"/>
                <w:szCs w:val="22"/>
              </w:rPr>
              <w:t>ed</w:t>
            </w:r>
            <w:r w:rsidR="009411E6" w:rsidRPr="00E828B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actual harm situations</w:t>
            </w:r>
            <w:r w:rsidR="00B101BB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F11AE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the </w:t>
            </w:r>
            <w:r w:rsidR="006242D2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>national study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a </w:t>
            </w:r>
            <w:r w:rsidR="00FC3C7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random 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>sample of</w:t>
            </w:r>
            <w:r w:rsidR="00776B7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775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NZ Police </w:t>
            </w:r>
            <w:r w:rsidR="00776B77">
              <w:rPr>
                <w:rFonts w:ascii="Graphik Regular" w:hAnsi="Graphik Regular" w:cs="Circular Std Book"/>
                <w:bCs/>
                <w:sz w:val="22"/>
                <w:szCs w:val="22"/>
              </w:rPr>
              <w:t>Traffic C</w:t>
            </w:r>
            <w:r w:rsidR="00776B77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rash </w:t>
            </w:r>
            <w:r w:rsidR="00776B77">
              <w:rPr>
                <w:rFonts w:ascii="Graphik Regular" w:hAnsi="Graphik Regular" w:cs="Circular Std Book"/>
                <w:bCs/>
                <w:sz w:val="22"/>
                <w:szCs w:val="22"/>
              </w:rPr>
              <w:t>R</w:t>
            </w:r>
            <w:r w:rsidR="00776B77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>eports</w:t>
            </w:r>
            <w:r w:rsidR="00776B7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(TCR) from 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100 </w:t>
            </w:r>
            <w:r w:rsidR="007775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randomly selected 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>pedestrian fatality and 200 serious injury</w:t>
            </w:r>
            <w:r w:rsidR="00776B7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cases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from 2013-2017 were analysed. In the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Auckland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study, </w:t>
            </w:r>
            <w:r w:rsidR="00B101BB">
              <w:rPr>
                <w:rFonts w:ascii="Graphik Regular" w:hAnsi="Graphik Regular" w:cs="Circular Std Book"/>
                <w:bCs/>
                <w:sz w:val="22"/>
                <w:szCs w:val="22"/>
              </w:rPr>
              <w:t>TCR</w:t>
            </w:r>
            <w:r w:rsidR="003C18EF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B101B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from </w:t>
            </w:r>
            <w:r w:rsidR="003C18EF">
              <w:rPr>
                <w:rFonts w:ascii="Graphik Regular" w:hAnsi="Graphik Regular" w:cs="Circular Std Book"/>
                <w:bCs/>
                <w:sz w:val="22"/>
                <w:szCs w:val="22"/>
              </w:rPr>
              <w:t>all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113 pedestrian deaths and serious injuries </w:t>
            </w:r>
            <w:r w:rsidR="00B101B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(DSI)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that occurred in 2018</w:t>
            </w:r>
            <w:r w:rsidR="00106B5C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were analysed. </w:t>
            </w:r>
            <w:r w:rsidR="00776B77">
              <w:rPr>
                <w:rFonts w:ascii="Graphik Regular" w:hAnsi="Graphik Regular" w:cs="Circular Std Book"/>
                <w:bCs/>
                <w:sz w:val="22"/>
                <w:szCs w:val="22"/>
              </w:rPr>
              <w:t>T</w:t>
            </w:r>
            <w:r w:rsidR="00343E60" w:rsidRPr="00E828B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he analysis protocol – </w:t>
            </w:r>
            <w:r w:rsidR="00776B77">
              <w:rPr>
                <w:rFonts w:ascii="Graphik Regular" w:hAnsi="Graphik Regular" w:cs="Circular Std Book"/>
                <w:bCs/>
                <w:sz w:val="22"/>
                <w:szCs w:val="22"/>
              </w:rPr>
              <w:t>adapted</w:t>
            </w:r>
            <w:r w:rsidR="00776B77" w:rsidRPr="00E828B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343E60" w:rsidRPr="00E828BD">
              <w:rPr>
                <w:rFonts w:ascii="Graphik Regular" w:hAnsi="Graphik Regular" w:cs="Circular Std Book"/>
                <w:bCs/>
                <w:sz w:val="22"/>
                <w:szCs w:val="22"/>
              </w:rPr>
              <w:t>from previous research</w:t>
            </w:r>
            <w:r w:rsidR="00C41D98" w:rsidRPr="002F5933">
              <w:rPr>
                <w:rStyle w:val="FootnoteReference"/>
              </w:rPr>
              <w:footnoteReference w:id="3"/>
            </w:r>
            <w:r w:rsidR="00426F42" w:rsidRPr="000841C6">
              <w:rPr>
                <w:rFonts w:ascii="Graphik Regular" w:hAnsi="Graphik Regular" w:cs="Circular Std Book"/>
                <w:bCs/>
                <w:sz w:val="22"/>
                <w:szCs w:val="22"/>
                <w:vertAlign w:val="superscript"/>
              </w:rPr>
              <w:t>,</w:t>
            </w:r>
            <w:r w:rsidR="00426F42" w:rsidRPr="002F5933">
              <w:rPr>
                <w:rStyle w:val="FootnoteReference"/>
              </w:rPr>
              <w:footnoteReference w:id="4"/>
            </w:r>
            <w:r w:rsidR="00343E60" w:rsidRPr="00E828B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–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343E60" w:rsidRPr="00E828BD">
              <w:rPr>
                <w:rFonts w:ascii="Graphik Regular" w:hAnsi="Graphik Regular" w:cs="Circular Std Book"/>
                <w:bCs/>
                <w:sz w:val="22"/>
                <w:szCs w:val="22"/>
              </w:rPr>
              <w:t>ascertain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ed</w:t>
            </w:r>
            <w:r w:rsidR="00343E60" w:rsidRPr="00E828B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involvement of the Safe System pillars (Roads and Roadsides, Speed, Vehicle, User) in each crash case. The ‘User’ pillar was split to </w:t>
            </w:r>
            <w:proofErr w:type="gramStart"/>
            <w:r w:rsidR="00343E60" w:rsidRPr="00E828BD">
              <w:rPr>
                <w:rFonts w:ascii="Graphik Regular" w:hAnsi="Graphik Regular" w:cs="Circular Std Book"/>
                <w:bCs/>
                <w:sz w:val="22"/>
                <w:szCs w:val="22"/>
              </w:rPr>
              <w:t>more equally represent drivers and pedestrians</w:t>
            </w:r>
            <w:proofErr w:type="gramEnd"/>
            <w:r w:rsidR="00343E60" w:rsidRPr="00E828B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3C18EF">
              <w:rPr>
                <w:rFonts w:ascii="Graphik Regular" w:hAnsi="Graphik Regular" w:cs="Circular Std Book"/>
                <w:bCs/>
                <w:sz w:val="22"/>
                <w:szCs w:val="22"/>
              </w:rPr>
              <w:t>Coded d</w:t>
            </w:r>
            <w:r w:rsidR="006D663A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ata were </w:t>
            </w:r>
            <w:r w:rsidR="00776B77">
              <w:rPr>
                <w:rFonts w:ascii="Graphik Regular" w:hAnsi="Graphik Regular" w:cs="Circular Std Book"/>
                <w:bCs/>
                <w:sz w:val="22"/>
                <w:szCs w:val="22"/>
              </w:rPr>
              <w:t>tested for</w:t>
            </w:r>
            <w:r w:rsidR="00776B77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6D663A" w:rsidRPr="009411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inter-rater reliability. </w:t>
            </w:r>
            <w:r w:rsidR="00173753">
              <w:rPr>
                <w:rFonts w:ascii="Graphik Regular" w:hAnsi="Graphik Regular" w:cs="Circular Std Book"/>
                <w:bCs/>
                <w:sz w:val="22"/>
                <w:szCs w:val="22"/>
              </w:rPr>
              <w:t>Results from both studies were compared</w:t>
            </w:r>
            <w:r w:rsidR="00630E71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F11AE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76B77">
              <w:rPr>
                <w:rFonts w:ascii="Graphik Regular" w:hAnsi="Graphik Regular" w:cs="Circular Std Book"/>
                <w:bCs/>
                <w:sz w:val="22"/>
                <w:szCs w:val="22"/>
              </w:rPr>
              <w:t>B</w:t>
            </w:r>
            <w:r w:rsidR="00FF008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oth studies </w:t>
            </w:r>
            <w:r w:rsidR="0089434D" w:rsidRPr="002A032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demonstrated that multiple Safe System factors are often implicated in pedestrian </w:t>
            </w:r>
            <w:r w:rsidR="00B101BB">
              <w:rPr>
                <w:rFonts w:ascii="Graphik Regular" w:hAnsi="Graphik Regular" w:cs="Circular Std Book"/>
                <w:bCs/>
                <w:sz w:val="22"/>
                <w:szCs w:val="22"/>
              </w:rPr>
              <w:t>DSIs</w:t>
            </w:r>
            <w:r w:rsidR="002A032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</w:t>
            </w:r>
            <w:r w:rsidR="0089434D" w:rsidRPr="002A032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more so in fatal crashes. </w:t>
            </w:r>
            <w:r w:rsidR="002A032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Key factors associated with </w:t>
            </w:r>
            <w:r w:rsidR="00B101BB">
              <w:rPr>
                <w:rFonts w:ascii="Graphik Regular" w:hAnsi="Graphik Regular" w:cs="Circular Std Book"/>
                <w:bCs/>
                <w:sz w:val="22"/>
                <w:szCs w:val="22"/>
              </w:rPr>
              <w:t>DSI</w:t>
            </w:r>
            <w:r w:rsidR="002A032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crashes included: m</w:t>
            </w:r>
            <w:r w:rsidR="002A0324" w:rsidRPr="002A0324">
              <w:rPr>
                <w:rFonts w:ascii="Graphik Regular" w:hAnsi="Graphik Regular" w:cs="Circular Std Book"/>
                <w:bCs/>
                <w:sz w:val="22"/>
                <w:szCs w:val="22"/>
              </w:rPr>
              <w:t>id-block crossing</w:t>
            </w:r>
            <w:r w:rsidR="002A032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movements; </w:t>
            </w:r>
            <w:r w:rsidR="00C36A2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driver or pedestrian </w:t>
            </w:r>
            <w:r w:rsidR="002A0324">
              <w:rPr>
                <w:rFonts w:ascii="Graphik Regular" w:hAnsi="Graphik Regular" w:cs="Circular Std Book"/>
                <w:bCs/>
                <w:sz w:val="22"/>
                <w:szCs w:val="22"/>
              </w:rPr>
              <w:t>distraction or inattention; and young male drivers. Fatalities occurred more frequently in crashes where: vehicle speeds exceeded 40km/h; large mass vehicles were involved; and pedestrians were hit on</w:t>
            </w:r>
            <w:r w:rsidR="00B101B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 priority crossing</w:t>
            </w:r>
            <w:r w:rsidR="00776B7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that did not conform with Safe System principles</w:t>
            </w:r>
            <w:r w:rsidR="002A0324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F11AE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B101BB">
              <w:rPr>
                <w:rFonts w:ascii="Graphik Regular" w:hAnsi="Graphik Regular" w:cs="Circular Std Book"/>
                <w:bCs/>
                <w:sz w:val="22"/>
                <w:szCs w:val="22"/>
              </w:rPr>
              <w:t>A</w:t>
            </w:r>
            <w:r w:rsidR="00B01B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Safe System approach to addressing pedestrian safety and working towards Vision Zero </w:t>
            </w:r>
            <w:r w:rsidR="002D0A51">
              <w:rPr>
                <w:rFonts w:ascii="Graphik Regular" w:hAnsi="Graphik Regular" w:cs="Circular Std Book"/>
                <w:bCs/>
                <w:sz w:val="22"/>
                <w:szCs w:val="22"/>
              </w:rPr>
              <w:t>mean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33163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Pr="00B66C51">
              <w:rPr>
                <w:rFonts w:ascii="Graphik Regular" w:hAnsi="Graphik Regular" w:cs="Circular Std Book"/>
                <w:bCs/>
                <w:sz w:val="22"/>
                <w:szCs w:val="22"/>
              </w:rPr>
              <w:t>a paradigm shift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within the transport system so that policies </w:t>
            </w:r>
            <w:r w:rsidR="0033163E">
              <w:rPr>
                <w:rFonts w:ascii="Graphik Regular" w:hAnsi="Graphik Regular" w:cs="Circular Std Book"/>
                <w:bCs/>
                <w:sz w:val="22"/>
                <w:szCs w:val="22"/>
              </w:rPr>
              <w:t>giv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</w:t>
            </w:r>
            <w:r w:rsidR="0033163E" w:rsidRPr="00B66C5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pedestrian safety and access higher priority in road safety planning, design</w:t>
            </w:r>
            <w:r w:rsidR="0033163E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33163E" w:rsidRPr="00B66C5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investment</w:t>
            </w:r>
            <w:r w:rsidR="000841C6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14:paraId="2C8B5092" w14:textId="77777777" w:rsidR="00B5351E" w:rsidRDefault="00B5351E" w:rsidP="00F11AE9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0897EED" w14:textId="618AFFFC" w:rsidR="00B5351E" w:rsidRPr="000841C6" w:rsidRDefault="00B5351E" w:rsidP="00F11AE9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</w:tc>
      </w:tr>
    </w:tbl>
    <w:p w14:paraId="7D72862B" w14:textId="0A03270F" w:rsidR="00A33D8F" w:rsidRPr="00657112" w:rsidRDefault="00A33D8F" w:rsidP="00CA69DA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A33D8F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740F5" w14:textId="77777777" w:rsidR="00896E9B" w:rsidRDefault="00896E9B">
      <w:r>
        <w:separator/>
      </w:r>
    </w:p>
  </w:endnote>
  <w:endnote w:type="continuationSeparator" w:id="0">
    <w:p w14:paraId="69DC29BA" w14:textId="77777777" w:rsidR="00896E9B" w:rsidRDefault="0089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49108" w14:textId="77777777" w:rsidR="00896E9B" w:rsidRDefault="00896E9B">
      <w:r>
        <w:separator/>
      </w:r>
    </w:p>
  </w:footnote>
  <w:footnote w:type="continuationSeparator" w:id="0">
    <w:p w14:paraId="7289D2D8" w14:textId="77777777" w:rsidR="00896E9B" w:rsidRDefault="00896E9B">
      <w:r>
        <w:continuationSeparator/>
      </w:r>
    </w:p>
  </w:footnote>
  <w:footnote w:id="1">
    <w:p w14:paraId="35A47694" w14:textId="28D8AB9E" w:rsidR="00106B5C" w:rsidRPr="002F5933" w:rsidRDefault="00106B5C" w:rsidP="002F5933">
      <w:pPr>
        <w:autoSpaceDE w:val="0"/>
        <w:autoSpaceDN w:val="0"/>
        <w:adjustRightInd w:val="0"/>
        <w:spacing w:after="60"/>
        <w:ind w:left="567" w:hanging="567"/>
        <w:jc w:val="both"/>
        <w:rPr>
          <w:rFonts w:ascii="Graphik Regular" w:hAnsi="Graphik Regular" w:cs="Circular Std Book"/>
          <w:bCs/>
          <w:sz w:val="18"/>
          <w:szCs w:val="18"/>
        </w:rPr>
      </w:pPr>
      <w:r w:rsidRPr="002F5933">
        <w:rPr>
          <w:rFonts w:ascii="Graphik Regular" w:hAnsi="Graphik Regular" w:cs="Circular Std Book"/>
          <w:bCs/>
          <w:sz w:val="18"/>
          <w:szCs w:val="18"/>
          <w:vertAlign w:val="superscript"/>
        </w:rPr>
        <w:footnoteRef/>
      </w:r>
      <w:r w:rsidRPr="002F5933">
        <w:rPr>
          <w:rFonts w:ascii="Graphik Regular" w:hAnsi="Graphik Regular" w:cs="Circular Std Book"/>
          <w:bCs/>
          <w:sz w:val="18"/>
          <w:szCs w:val="18"/>
        </w:rPr>
        <w:t xml:space="preserve"> </w:t>
      </w:r>
      <w:r w:rsidR="00733A1E">
        <w:rPr>
          <w:rFonts w:ascii="Graphik Regular" w:hAnsi="Graphik Regular" w:cs="Circular Std Book"/>
          <w:bCs/>
          <w:sz w:val="18"/>
          <w:szCs w:val="18"/>
        </w:rPr>
        <w:t>New Zealand Transport Agency (7 May 2020) Personal Correspondence.</w:t>
      </w:r>
    </w:p>
  </w:footnote>
  <w:footnote w:id="2">
    <w:p w14:paraId="5344F94E" w14:textId="77777777" w:rsidR="00106B5C" w:rsidRPr="002F5933" w:rsidRDefault="00106B5C" w:rsidP="002F5933">
      <w:pPr>
        <w:pStyle w:val="FootnoteText"/>
        <w:spacing w:after="60"/>
        <w:rPr>
          <w:rFonts w:ascii="Graphik Regular" w:eastAsia="MS Mincho" w:hAnsi="Graphik Regular" w:cs="Circular Std Book"/>
          <w:bCs/>
          <w:sz w:val="18"/>
          <w:szCs w:val="18"/>
          <w:lang w:val="en-GB" w:eastAsia="ja-JP"/>
        </w:rPr>
      </w:pPr>
      <w:r w:rsidRPr="002F5933">
        <w:rPr>
          <w:rFonts w:ascii="Graphik Regular" w:eastAsia="MS Mincho" w:hAnsi="Graphik Regular" w:cs="Circular Std Book"/>
          <w:bCs/>
          <w:sz w:val="18"/>
          <w:szCs w:val="18"/>
          <w:vertAlign w:val="superscript"/>
          <w:lang w:val="en-GB" w:eastAsia="ja-JP"/>
        </w:rPr>
        <w:footnoteRef/>
      </w:r>
      <w:r w:rsidRPr="002F5933">
        <w:rPr>
          <w:rFonts w:ascii="Graphik Regular" w:eastAsia="MS Mincho" w:hAnsi="Graphik Regular" w:cs="Circular Std Book"/>
          <w:bCs/>
          <w:sz w:val="18"/>
          <w:szCs w:val="18"/>
          <w:lang w:val="en-GB" w:eastAsia="ja-JP"/>
        </w:rPr>
        <w:t xml:space="preserve"> Auckland Transport (2019) Monthly crash statistics – Road deaths and serious injuries. Retrieved from: https://at.govt.nz/driving-parking/road-safety/monthly-crash-statistics-road-deaths-and-serious-injuries/</w:t>
      </w:r>
    </w:p>
  </w:footnote>
  <w:footnote w:id="3">
    <w:p w14:paraId="48D5E8BE" w14:textId="167E7E25" w:rsidR="00C41D98" w:rsidRPr="002F5933" w:rsidRDefault="00C41D98" w:rsidP="002F5933">
      <w:pPr>
        <w:pStyle w:val="FootnoteText"/>
        <w:spacing w:after="60"/>
        <w:rPr>
          <w:rFonts w:ascii="Graphik Regular" w:eastAsia="MS Mincho" w:hAnsi="Graphik Regular" w:cs="Circular Std Book"/>
          <w:bCs/>
          <w:sz w:val="18"/>
          <w:szCs w:val="18"/>
          <w:lang w:val="en-GB" w:eastAsia="ja-JP"/>
        </w:rPr>
      </w:pPr>
      <w:r w:rsidRPr="002F5933">
        <w:rPr>
          <w:rFonts w:ascii="Graphik Regular" w:eastAsia="MS Mincho" w:hAnsi="Graphik Regular" w:cs="Circular Std Book"/>
          <w:bCs/>
          <w:sz w:val="18"/>
          <w:szCs w:val="18"/>
          <w:vertAlign w:val="superscript"/>
          <w:lang w:val="en-GB" w:eastAsia="ja-JP"/>
        </w:rPr>
        <w:footnoteRef/>
      </w:r>
      <w:r w:rsidRPr="002F5933">
        <w:rPr>
          <w:rFonts w:ascii="Graphik Regular" w:eastAsia="MS Mincho" w:hAnsi="Graphik Regular" w:cs="Circular Std Book"/>
          <w:bCs/>
          <w:sz w:val="18"/>
          <w:szCs w:val="18"/>
          <w:lang w:val="en-GB" w:eastAsia="ja-JP"/>
        </w:rPr>
        <w:t xml:space="preserve"> Mackie, H. W., P. Gulliver, R. A. Scott, L. Hirsch, S. </w:t>
      </w:r>
      <w:proofErr w:type="spellStart"/>
      <w:r w:rsidRPr="002F5933">
        <w:rPr>
          <w:rFonts w:ascii="Graphik Regular" w:eastAsia="MS Mincho" w:hAnsi="Graphik Regular" w:cs="Circular Std Book"/>
          <w:bCs/>
          <w:sz w:val="18"/>
          <w:szCs w:val="18"/>
          <w:lang w:val="en-GB" w:eastAsia="ja-JP"/>
        </w:rPr>
        <w:t>Ameratunga</w:t>
      </w:r>
      <w:proofErr w:type="spellEnd"/>
      <w:r w:rsidRPr="002F5933">
        <w:rPr>
          <w:rFonts w:ascii="Graphik Regular" w:eastAsia="MS Mincho" w:hAnsi="Graphik Regular" w:cs="Circular Std Book"/>
          <w:bCs/>
          <w:sz w:val="18"/>
          <w:szCs w:val="18"/>
          <w:lang w:val="en-GB" w:eastAsia="ja-JP"/>
        </w:rPr>
        <w:t xml:space="preserve"> and J. de Pont (2017). Serious injury crashes: How do they differ from fatal crashes? What is the nature of injuries resulting from them? Mackie Research, The University of Auckland, and TERNZ prepared for the AA Research Council</w:t>
      </w:r>
    </w:p>
  </w:footnote>
  <w:footnote w:id="4">
    <w:p w14:paraId="60AD8BEF" w14:textId="77777777" w:rsidR="00426F42" w:rsidRPr="002F5933" w:rsidRDefault="00426F42" w:rsidP="002F5933">
      <w:pPr>
        <w:autoSpaceDE w:val="0"/>
        <w:autoSpaceDN w:val="0"/>
        <w:adjustRightInd w:val="0"/>
        <w:spacing w:after="60"/>
        <w:ind w:left="142" w:hanging="142"/>
        <w:jc w:val="both"/>
        <w:rPr>
          <w:rFonts w:ascii="Graphik Regular" w:hAnsi="Graphik Regular" w:cs="Circular Std Book"/>
          <w:bCs/>
          <w:sz w:val="18"/>
          <w:szCs w:val="18"/>
        </w:rPr>
      </w:pPr>
      <w:r w:rsidRPr="002F5933">
        <w:rPr>
          <w:rFonts w:ascii="Graphik Regular" w:hAnsi="Graphik Regular" w:cs="Circular Std Book"/>
          <w:bCs/>
          <w:sz w:val="18"/>
          <w:szCs w:val="18"/>
          <w:vertAlign w:val="superscript"/>
        </w:rPr>
        <w:footnoteRef/>
      </w:r>
      <w:r w:rsidRPr="002F5933">
        <w:rPr>
          <w:rFonts w:ascii="Graphik Regular" w:hAnsi="Graphik Regular" w:cs="Circular Std Book"/>
          <w:bCs/>
          <w:sz w:val="18"/>
          <w:szCs w:val="18"/>
        </w:rPr>
        <w:t xml:space="preserve"> </w:t>
      </w:r>
      <w:proofErr w:type="spellStart"/>
      <w:r w:rsidRPr="002F5933">
        <w:rPr>
          <w:rFonts w:ascii="Graphik Regular" w:hAnsi="Graphik Regular" w:cs="Circular Std Book"/>
          <w:bCs/>
          <w:sz w:val="18"/>
          <w:szCs w:val="18"/>
        </w:rPr>
        <w:t>Stigson</w:t>
      </w:r>
      <w:proofErr w:type="spellEnd"/>
      <w:r w:rsidRPr="002F5933">
        <w:rPr>
          <w:rFonts w:ascii="Graphik Regular" w:hAnsi="Graphik Regular" w:cs="Circular Std Book"/>
          <w:bCs/>
          <w:sz w:val="18"/>
          <w:szCs w:val="18"/>
        </w:rPr>
        <w:t xml:space="preserve">, H., M. </w:t>
      </w:r>
      <w:proofErr w:type="spellStart"/>
      <w:r w:rsidRPr="002F5933">
        <w:rPr>
          <w:rFonts w:ascii="Graphik Regular" w:hAnsi="Graphik Regular" w:cs="Circular Std Book"/>
          <w:bCs/>
          <w:sz w:val="18"/>
          <w:szCs w:val="18"/>
        </w:rPr>
        <w:t>Krafft</w:t>
      </w:r>
      <w:proofErr w:type="spellEnd"/>
      <w:r w:rsidRPr="002F5933">
        <w:rPr>
          <w:rFonts w:ascii="Graphik Regular" w:hAnsi="Graphik Regular" w:cs="Circular Std Book"/>
          <w:bCs/>
          <w:sz w:val="18"/>
          <w:szCs w:val="18"/>
        </w:rPr>
        <w:t xml:space="preserve"> and C. </w:t>
      </w:r>
      <w:proofErr w:type="spellStart"/>
      <w:r w:rsidRPr="002F5933">
        <w:rPr>
          <w:rFonts w:ascii="Graphik Regular" w:hAnsi="Graphik Regular" w:cs="Circular Std Book"/>
          <w:bCs/>
          <w:sz w:val="18"/>
          <w:szCs w:val="18"/>
        </w:rPr>
        <w:t>Tingvall</w:t>
      </w:r>
      <w:proofErr w:type="spellEnd"/>
      <w:r w:rsidRPr="002F5933">
        <w:rPr>
          <w:rFonts w:ascii="Graphik Regular" w:hAnsi="Graphik Regular" w:cs="Circular Std Book"/>
          <w:bCs/>
          <w:sz w:val="18"/>
          <w:szCs w:val="18"/>
        </w:rPr>
        <w:t xml:space="preserve"> (2008). "Use of fatal real-life crashes to </w:t>
      </w:r>
      <w:proofErr w:type="spellStart"/>
      <w:r w:rsidRPr="002F5933">
        <w:rPr>
          <w:rFonts w:ascii="Graphik Regular" w:hAnsi="Graphik Regular" w:cs="Circular Std Book"/>
          <w:bCs/>
          <w:sz w:val="18"/>
          <w:szCs w:val="18"/>
        </w:rPr>
        <w:t>analyze</w:t>
      </w:r>
      <w:proofErr w:type="spellEnd"/>
      <w:r w:rsidRPr="002F5933">
        <w:rPr>
          <w:rFonts w:ascii="Graphik Regular" w:hAnsi="Graphik Regular" w:cs="Circular Std Book"/>
          <w:bCs/>
          <w:sz w:val="18"/>
          <w:szCs w:val="18"/>
        </w:rPr>
        <w:t xml:space="preserve"> a safe road transport system model, including the road user, the vehicle, and the road." Traffic Injury Prevention 9(5): 463-471.</w:t>
      </w:r>
    </w:p>
    <w:p w14:paraId="1EE767F6" w14:textId="7CDE49A7" w:rsidR="00426F42" w:rsidRDefault="00426F42" w:rsidP="002F5933">
      <w:pPr>
        <w:pStyle w:val="FootnoteText"/>
        <w:spacing w:after="6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D7E84" w14:textId="39D1AB90" w:rsidR="004F7FFB" w:rsidRDefault="00703B3C" w:rsidP="00703B3C">
    <w:pPr>
      <w:pStyle w:val="Header"/>
      <w:jc w:val="center"/>
    </w:pPr>
    <w:r>
      <w:rPr>
        <w:noProof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96" type="#_x0000_t75" style="width:100pt;height:83.5pt" o:bullet="t">
        <v:imagedata r:id="rId1" o:title="Bullet Point"/>
      </v:shape>
    </w:pict>
  </w:numPicBullet>
  <w:numPicBullet w:numPicBulletId="1">
    <w:pict>
      <v:shape id="_x0000_i1797" type="#_x0000_t75" style="width:178pt;height:170pt" o:bullet="t">
        <v:imagedata r:id="rId2" o:title="Conf-Icon"/>
      </v:shape>
    </w:pict>
  </w:numPicBullet>
  <w:numPicBullet w:numPicBulletId="2">
    <w:pict>
      <v:shape id="_x0000_i1798" type="#_x0000_t75" style="width:151.5pt;height:145pt" o:bullet="t">
        <v:imagedata r:id="rId3" o:title="Conf-Icon"/>
      </v:shape>
    </w:pict>
  </w:numPicBullet>
  <w:numPicBullet w:numPicBulletId="3">
    <w:pict>
      <v:shape id="_x0000_i1799" type="#_x0000_t75" style="width:122.5pt;height:113pt" o:bullet="t">
        <v:imagedata r:id="rId4" o:title="Bullet Point"/>
      </v:shape>
    </w:pict>
  </w:numPicBullet>
  <w:numPicBullet w:numPicBulletId="4">
    <w:pict>
      <v:shape id="_x0000_i1800" type="#_x0000_t75" style="width:109.5pt;height:107.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97756"/>
    <w:multiLevelType w:val="hybridMultilevel"/>
    <w:tmpl w:val="D6C6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F3071"/>
    <w:multiLevelType w:val="hybridMultilevel"/>
    <w:tmpl w:val="F250B11E"/>
    <w:lvl w:ilvl="0" w:tplc="73ECB3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2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1"/>
  </w:num>
  <w:num w:numId="10">
    <w:abstractNumId w:val="16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30"/>
  </w:num>
  <w:num w:numId="32">
    <w:abstractNumId w:val="2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841C6"/>
    <w:rsid w:val="00092424"/>
    <w:rsid w:val="00094515"/>
    <w:rsid w:val="00094623"/>
    <w:rsid w:val="000A7AE1"/>
    <w:rsid w:val="000C7C27"/>
    <w:rsid w:val="000C7CC5"/>
    <w:rsid w:val="000D3492"/>
    <w:rsid w:val="000D37C9"/>
    <w:rsid w:val="000D3D9A"/>
    <w:rsid w:val="000D797B"/>
    <w:rsid w:val="000E74CF"/>
    <w:rsid w:val="000F104B"/>
    <w:rsid w:val="000F2141"/>
    <w:rsid w:val="00106B5C"/>
    <w:rsid w:val="0011226E"/>
    <w:rsid w:val="001153ED"/>
    <w:rsid w:val="00121A58"/>
    <w:rsid w:val="0013591E"/>
    <w:rsid w:val="001362A4"/>
    <w:rsid w:val="00142CEB"/>
    <w:rsid w:val="0016393A"/>
    <w:rsid w:val="0016453E"/>
    <w:rsid w:val="00173753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0324"/>
    <w:rsid w:val="002A1203"/>
    <w:rsid w:val="002A21A9"/>
    <w:rsid w:val="002A4E2F"/>
    <w:rsid w:val="002B5CB6"/>
    <w:rsid w:val="002B661D"/>
    <w:rsid w:val="002C7540"/>
    <w:rsid w:val="002D0A51"/>
    <w:rsid w:val="002E041E"/>
    <w:rsid w:val="002E14DE"/>
    <w:rsid w:val="002E334F"/>
    <w:rsid w:val="002E5C69"/>
    <w:rsid w:val="002F5169"/>
    <w:rsid w:val="002F5933"/>
    <w:rsid w:val="0030225C"/>
    <w:rsid w:val="00304226"/>
    <w:rsid w:val="00306A34"/>
    <w:rsid w:val="00311C11"/>
    <w:rsid w:val="003136AA"/>
    <w:rsid w:val="00320F8A"/>
    <w:rsid w:val="003244F7"/>
    <w:rsid w:val="003266F2"/>
    <w:rsid w:val="0033163E"/>
    <w:rsid w:val="003349C4"/>
    <w:rsid w:val="003371E0"/>
    <w:rsid w:val="00343E60"/>
    <w:rsid w:val="003557E9"/>
    <w:rsid w:val="003573AD"/>
    <w:rsid w:val="00384673"/>
    <w:rsid w:val="00385036"/>
    <w:rsid w:val="003874B0"/>
    <w:rsid w:val="003959E1"/>
    <w:rsid w:val="003A05C3"/>
    <w:rsid w:val="003C18EF"/>
    <w:rsid w:val="003E27EF"/>
    <w:rsid w:val="00424CC0"/>
    <w:rsid w:val="00426508"/>
    <w:rsid w:val="00426F42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A66DB"/>
    <w:rsid w:val="005C014E"/>
    <w:rsid w:val="005C31CE"/>
    <w:rsid w:val="005D75C6"/>
    <w:rsid w:val="005E35E4"/>
    <w:rsid w:val="005F69B7"/>
    <w:rsid w:val="0060147A"/>
    <w:rsid w:val="006029B3"/>
    <w:rsid w:val="00606880"/>
    <w:rsid w:val="00612D8D"/>
    <w:rsid w:val="0061707E"/>
    <w:rsid w:val="006242D2"/>
    <w:rsid w:val="00630E71"/>
    <w:rsid w:val="00643465"/>
    <w:rsid w:val="00643678"/>
    <w:rsid w:val="00657112"/>
    <w:rsid w:val="006617E3"/>
    <w:rsid w:val="00672785"/>
    <w:rsid w:val="006729CF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D663A"/>
    <w:rsid w:val="006E2643"/>
    <w:rsid w:val="006F545D"/>
    <w:rsid w:val="00702E85"/>
    <w:rsid w:val="00703B3C"/>
    <w:rsid w:val="00711926"/>
    <w:rsid w:val="00714297"/>
    <w:rsid w:val="0072033D"/>
    <w:rsid w:val="007249F0"/>
    <w:rsid w:val="00733126"/>
    <w:rsid w:val="00733A1E"/>
    <w:rsid w:val="00745540"/>
    <w:rsid w:val="00755E06"/>
    <w:rsid w:val="00763C93"/>
    <w:rsid w:val="00775A9A"/>
    <w:rsid w:val="00776B77"/>
    <w:rsid w:val="00777564"/>
    <w:rsid w:val="00794863"/>
    <w:rsid w:val="007958CF"/>
    <w:rsid w:val="00796AED"/>
    <w:rsid w:val="007A25BC"/>
    <w:rsid w:val="007A5B04"/>
    <w:rsid w:val="007B434A"/>
    <w:rsid w:val="007B5CC6"/>
    <w:rsid w:val="007D1481"/>
    <w:rsid w:val="007E3BD6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34D"/>
    <w:rsid w:val="00894760"/>
    <w:rsid w:val="00896E9B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11E6"/>
    <w:rsid w:val="00942D6D"/>
    <w:rsid w:val="00943A5E"/>
    <w:rsid w:val="00953ACD"/>
    <w:rsid w:val="00960F5F"/>
    <w:rsid w:val="009671F0"/>
    <w:rsid w:val="0096760A"/>
    <w:rsid w:val="00973ADB"/>
    <w:rsid w:val="00980A78"/>
    <w:rsid w:val="009826C9"/>
    <w:rsid w:val="009861A8"/>
    <w:rsid w:val="00992E68"/>
    <w:rsid w:val="009A17EF"/>
    <w:rsid w:val="009D1BC8"/>
    <w:rsid w:val="009D3E21"/>
    <w:rsid w:val="009D7496"/>
    <w:rsid w:val="009E1061"/>
    <w:rsid w:val="009E23F2"/>
    <w:rsid w:val="009E5A5F"/>
    <w:rsid w:val="009F381C"/>
    <w:rsid w:val="00A01EFD"/>
    <w:rsid w:val="00A110A0"/>
    <w:rsid w:val="00A1384F"/>
    <w:rsid w:val="00A13A39"/>
    <w:rsid w:val="00A15CD4"/>
    <w:rsid w:val="00A17E7D"/>
    <w:rsid w:val="00A21E9C"/>
    <w:rsid w:val="00A2420B"/>
    <w:rsid w:val="00A33D8F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01B2D"/>
    <w:rsid w:val="00B0541A"/>
    <w:rsid w:val="00B101BB"/>
    <w:rsid w:val="00B248AE"/>
    <w:rsid w:val="00B257FB"/>
    <w:rsid w:val="00B34D63"/>
    <w:rsid w:val="00B51C59"/>
    <w:rsid w:val="00B5351E"/>
    <w:rsid w:val="00B66C51"/>
    <w:rsid w:val="00B745C8"/>
    <w:rsid w:val="00B7484F"/>
    <w:rsid w:val="00B76BF5"/>
    <w:rsid w:val="00B8097D"/>
    <w:rsid w:val="00B81ED2"/>
    <w:rsid w:val="00B838B0"/>
    <w:rsid w:val="00BA214A"/>
    <w:rsid w:val="00BA2F05"/>
    <w:rsid w:val="00BA3206"/>
    <w:rsid w:val="00BB26CE"/>
    <w:rsid w:val="00BB36E1"/>
    <w:rsid w:val="00BC6341"/>
    <w:rsid w:val="00BD6ED8"/>
    <w:rsid w:val="00BE3A75"/>
    <w:rsid w:val="00BF1252"/>
    <w:rsid w:val="00BF1648"/>
    <w:rsid w:val="00C31339"/>
    <w:rsid w:val="00C32978"/>
    <w:rsid w:val="00C35A98"/>
    <w:rsid w:val="00C36A24"/>
    <w:rsid w:val="00C41D98"/>
    <w:rsid w:val="00C43D41"/>
    <w:rsid w:val="00C56FE6"/>
    <w:rsid w:val="00C602BB"/>
    <w:rsid w:val="00C62828"/>
    <w:rsid w:val="00C7440C"/>
    <w:rsid w:val="00C93D31"/>
    <w:rsid w:val="00CA531A"/>
    <w:rsid w:val="00CA652B"/>
    <w:rsid w:val="00CA69DA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652E8"/>
    <w:rsid w:val="00D719B5"/>
    <w:rsid w:val="00D73AF4"/>
    <w:rsid w:val="00D7455A"/>
    <w:rsid w:val="00D835B0"/>
    <w:rsid w:val="00D86796"/>
    <w:rsid w:val="00D87B29"/>
    <w:rsid w:val="00DA3906"/>
    <w:rsid w:val="00DD774D"/>
    <w:rsid w:val="00DE685C"/>
    <w:rsid w:val="00DF1C67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8B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1AE9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C3C79"/>
    <w:rsid w:val="00FD4335"/>
    <w:rsid w:val="00FE3E13"/>
    <w:rsid w:val="00FE4525"/>
    <w:rsid w:val="00FE5E10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RSRPE13Sectionheader">
    <w:name w:val="RSRPE13 Section header"/>
    <w:basedOn w:val="Normal"/>
    <w:rsid w:val="00106B5C"/>
    <w:pPr>
      <w:spacing w:after="240"/>
      <w:jc w:val="both"/>
    </w:pPr>
    <w:rPr>
      <w:rFonts w:ascii="Times New (W1)" w:eastAsia="Times New Roman" w:hAnsi="Times New (W1)"/>
      <w:b/>
      <w:lang w:val="en-AU" w:eastAsia="en-AU"/>
    </w:rPr>
  </w:style>
  <w:style w:type="paragraph" w:customStyle="1" w:styleId="RSRPE13Figureheader">
    <w:name w:val="RSRPE13 Figure header"/>
    <w:basedOn w:val="Normal"/>
    <w:rsid w:val="00106B5C"/>
    <w:pPr>
      <w:spacing w:after="120"/>
      <w:jc w:val="center"/>
    </w:pPr>
    <w:rPr>
      <w:rFonts w:ascii="Times New (W1)" w:eastAsia="Times New Roman" w:hAnsi="Times New (W1)"/>
      <w:b/>
      <w:i/>
      <w:lang w:val="en-AU" w:eastAsia="en-AU"/>
    </w:rPr>
  </w:style>
  <w:style w:type="paragraph" w:customStyle="1" w:styleId="SmallSubheadingwithoutnumbers">
    <w:name w:val="Small Subheading without numbers"/>
    <w:basedOn w:val="Normal"/>
    <w:next w:val="Normal"/>
    <w:qFormat/>
    <w:rsid w:val="00106B5C"/>
    <w:pPr>
      <w:spacing w:before="240" w:after="120"/>
    </w:pPr>
    <w:rPr>
      <w:rFonts w:ascii="Calibri Light" w:eastAsia="Times New Roman" w:hAnsi="Calibri Light" w:cs="Calibri Light"/>
      <w:b/>
      <w:color w:val="1F497D" w:themeColor="text2"/>
      <w:sz w:val="28"/>
      <w:szCs w:val="28"/>
      <w:lang w:val="en-NZ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06B5C"/>
    <w:rPr>
      <w:rFonts w:ascii="Calibri Light" w:eastAsia="Times New Roman" w:hAnsi="Calibri Light" w:cs="Calibri Light"/>
      <w:sz w:val="20"/>
      <w:szCs w:val="20"/>
      <w:lang w:val="en-NZ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6B5C"/>
    <w:rPr>
      <w:rFonts w:ascii="Calibri Light" w:eastAsia="Times New Roman" w:hAnsi="Calibri Light" w:cs="Calibri Light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06B5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06B5C"/>
    <w:pPr>
      <w:numPr>
        <w:numId w:val="3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6B5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dnoteReference">
    <w:name w:val="endnote reference"/>
    <w:basedOn w:val="DefaultParagraphFont"/>
    <w:semiHidden/>
    <w:unhideWhenUsed/>
    <w:rsid w:val="002F5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947C7-7D0A-4863-9CDF-CD1FA850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2184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Lily Hirsch</cp:lastModifiedBy>
  <cp:revision>34</cp:revision>
  <cp:lastPrinted>2017-09-24T23:53:00Z</cp:lastPrinted>
  <dcterms:created xsi:type="dcterms:W3CDTF">2020-03-16T23:37:00Z</dcterms:created>
  <dcterms:modified xsi:type="dcterms:W3CDTF">2020-05-07T00:22:00Z</dcterms:modified>
</cp:coreProperties>
</file>