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74B0C" w14:textId="32FC4D6D" w:rsidR="00714297" w:rsidRPr="00F37C39" w:rsidRDefault="00945EEC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Transport electrification for sustainable urban networks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7C92B76" w14:textId="36106054" w:rsidR="00A131BB" w:rsidRPr="00A131BB" w:rsidRDefault="00945EEC" w:rsidP="00945EEC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  <w:lang w:val="en-NZ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Although transportation has long been recognized as one of the key factors for economic development, it is responsible for a significant amount of global greenhouse gas emissions and major pollutants that cause serious health problem, especially in urban areas. Besides, the rapid development of transportation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also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brings a great concern on the energy security. </w:t>
            </w:r>
            <w:r w:rsidR="00A131B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order to reduce the side effects of transportation system, </w:t>
            </w:r>
            <w:r w:rsidR="00DF01CC" w:rsidRPr="00DF01CC">
              <w:rPr>
                <w:rFonts w:ascii="Graphik Regular" w:hAnsi="Graphik Regular" w:cs="Circular Std Book"/>
                <w:bCs/>
                <w:sz w:val="22"/>
                <w:szCs w:val="22"/>
              </w:rPr>
              <w:t>Electric vehicles (EVs) have emerged as a promising solution toward the sustainable transportation due to their positive effects on the environmental issues and energy crisis. However,</w:t>
            </w:r>
            <w:r w:rsidR="00D870C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adoption of EVs still be very limited compared to conventional gasoline vehicles due to the lack of appropriate charging infrastructure. Furthermore, </w:t>
            </w:r>
            <w:r w:rsidR="00DF01CC" w:rsidRPr="00DF01CC">
              <w:rPr>
                <w:rFonts w:ascii="Graphik Regular" w:hAnsi="Graphik Regular" w:cs="Circular Std Book"/>
                <w:bCs/>
                <w:sz w:val="22"/>
                <w:szCs w:val="22"/>
              </w:rPr>
              <w:t>the electrification of transportation may</w:t>
            </w:r>
            <w:r w:rsidR="001C35A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1C35AC" w:rsidRPr="00DF01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cost a significant amount of money </w:t>
            </w:r>
            <w:r w:rsidR="001C35AC">
              <w:rPr>
                <w:rFonts w:ascii="Graphik Regular" w:hAnsi="Graphik Regular" w:cs="Circular Std Book"/>
                <w:bCs/>
                <w:sz w:val="22"/>
                <w:szCs w:val="22"/>
              </w:rPr>
              <w:t>and</w:t>
            </w:r>
            <w:r w:rsidR="00DF01CC" w:rsidRPr="00DF01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also result in more congestion (i.e., </w:t>
            </w:r>
            <w:proofErr w:type="spellStart"/>
            <w:r w:rsidR="00DF01CC" w:rsidRPr="00DF01CC">
              <w:rPr>
                <w:rFonts w:ascii="Graphik Regular" w:hAnsi="Graphik Regular" w:cs="Circular Std Book"/>
                <w:bCs/>
                <w:sz w:val="22"/>
                <w:szCs w:val="22"/>
              </w:rPr>
              <w:t>en</w:t>
            </w:r>
            <w:proofErr w:type="spellEnd"/>
            <w:r w:rsidR="00DF01CC" w:rsidRPr="00DF01CC">
              <w:rPr>
                <w:rFonts w:ascii="Graphik Regular" w:hAnsi="Graphik Regular" w:cs="Circular Std Book"/>
                <w:bCs/>
                <w:sz w:val="22"/>
                <w:szCs w:val="22"/>
              </w:rPr>
              <w:t>-ro</w:t>
            </w:r>
            <w:r w:rsidR="001C35AC">
              <w:rPr>
                <w:rFonts w:ascii="Graphik Regular" w:hAnsi="Graphik Regular" w:cs="Circular Std Book"/>
                <w:bCs/>
                <w:sz w:val="22"/>
                <w:szCs w:val="22"/>
              </w:rPr>
              <w:t>ute and charging congestion) due to the routing and charging behaviours of EVs’ drivers</w:t>
            </w:r>
            <w:r w:rsidR="00DF01CC" w:rsidRPr="00DF01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</w:p>
          <w:p w14:paraId="602A6A13" w14:textId="77777777" w:rsidR="00A131BB" w:rsidRDefault="00A131BB" w:rsidP="00945EEC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381743C5" w:rsidR="00657112" w:rsidRPr="00AC2F42" w:rsidRDefault="00D870C1" w:rsidP="00D870C1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Having</w:t>
            </w:r>
            <w:r w:rsidR="00301A3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ese</w:t>
            </w:r>
            <w:r w:rsidR="00301A3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concern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301A3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mind, i</w:t>
            </w:r>
            <w:r w:rsidR="00DF01CC" w:rsidRPr="00DF01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 this study, we focus on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answering the questions where and how to deploy </w:t>
            </w:r>
            <w:r w:rsidR="00DF01CC" w:rsidRPr="00DF01CC">
              <w:rPr>
                <w:rFonts w:ascii="Graphik Regular" w:hAnsi="Graphik Regular" w:cs="Circular Std Book"/>
                <w:bCs/>
                <w:sz w:val="22"/>
                <w:szCs w:val="22"/>
              </w:rPr>
              <w:t>the charging facilities in order to promote the widespread adoption of EVs and improve the system performance in the presence of EVs.</w:t>
            </w:r>
            <w:r w:rsidR="00DF01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objective is not only minimizing the investment cost of charging infrastructure but also minimizing the </w:t>
            </w:r>
            <w:proofErr w:type="spellStart"/>
            <w:r w:rsidR="00DF01CC">
              <w:rPr>
                <w:rFonts w:ascii="Graphik Regular" w:hAnsi="Graphik Regular" w:cs="Circular Std Book"/>
                <w:bCs/>
                <w:sz w:val="22"/>
                <w:szCs w:val="22"/>
              </w:rPr>
              <w:t>en</w:t>
            </w:r>
            <w:proofErr w:type="spellEnd"/>
            <w:r w:rsidR="00DF01CC">
              <w:rPr>
                <w:rFonts w:ascii="Graphik Regular" w:hAnsi="Graphik Regular" w:cs="Circular Std Book"/>
                <w:bCs/>
                <w:sz w:val="22"/>
                <w:szCs w:val="22"/>
              </w:rPr>
              <w:t>-route and charging congestion by capturing routing choice behaviours of travellers with stoch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astic demand and driving range.</w:t>
            </w:r>
            <w:r w:rsidR="00DF01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In order to consider the mutual interaction between planning decision and traffic flow pattern on the network, t</w:t>
            </w:r>
            <w:r w:rsidR="00301A37">
              <w:rPr>
                <w:rFonts w:ascii="Graphik Regular" w:hAnsi="Graphik Regular" w:cs="Circular Std Book"/>
                <w:bCs/>
                <w:sz w:val="22"/>
                <w:szCs w:val="22"/>
              </w:rPr>
              <w:t>he problem is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firstly</w:t>
            </w:r>
            <w:r w:rsidR="00301A3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formulated as a bi-level optimization problem and then solved by a meta-heuristic.</w:t>
            </w:r>
            <w:r w:rsidR="00DF01C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301A37">
              <w:rPr>
                <w:rFonts w:ascii="Graphik Regular" w:hAnsi="Graphik Regular" w:cs="Circular Std Book"/>
                <w:bCs/>
                <w:sz w:val="22"/>
                <w:szCs w:val="22"/>
              </w:rPr>
              <w:t>Finally, the proposed framework is tested through numerical test and some managerial insights into the facility planning and system performance also be provided.</w:t>
            </w:r>
            <w:bookmarkStart w:id="0" w:name="_GoBack"/>
            <w:bookmarkEnd w:id="0"/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65A7A" w14:textId="77777777" w:rsidR="00704421" w:rsidRDefault="00704421">
      <w:r>
        <w:separator/>
      </w:r>
    </w:p>
  </w:endnote>
  <w:endnote w:type="continuationSeparator" w:id="0">
    <w:p w14:paraId="4A8EABC4" w14:textId="77777777" w:rsidR="00704421" w:rsidRDefault="0070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39D66" w14:textId="77777777" w:rsidR="00704421" w:rsidRDefault="00704421">
      <w:r>
        <w:separator/>
      </w:r>
    </w:p>
  </w:footnote>
  <w:footnote w:type="continuationSeparator" w:id="0">
    <w:p w14:paraId="60764DF3" w14:textId="77777777" w:rsidR="00704421" w:rsidRDefault="0070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A422" w14:textId="5B2A84E4" w:rsidR="00F37C39" w:rsidRDefault="00F37C39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9.5pt;height:83pt" o:bullet="t">
        <v:imagedata r:id="rId1" o:title="Bullet Point"/>
      </v:shape>
    </w:pict>
  </w:numPicBullet>
  <w:numPicBullet w:numPicBulletId="1">
    <w:pict>
      <v:shape id="_x0000_i1052" type="#_x0000_t75" style="width:177pt;height:169.5pt" o:bullet="t">
        <v:imagedata r:id="rId2" o:title="Conf-Icon"/>
      </v:shape>
    </w:pict>
  </w:numPicBullet>
  <w:numPicBullet w:numPicBulletId="2">
    <w:pict>
      <v:shape id="_x0000_i1053" type="#_x0000_t75" style="width:151.5pt;height:144.5pt" o:bullet="t">
        <v:imagedata r:id="rId3" o:title="Conf-Icon"/>
      </v:shape>
    </w:pict>
  </w:numPicBullet>
  <w:numPicBullet w:numPicBulletId="3">
    <w:pict>
      <v:shape id="_x0000_i1054" type="#_x0000_t75" style="width:122pt;height:112.5pt" o:bullet="t">
        <v:imagedata r:id="rId4" o:title="Bullet Point"/>
      </v:shape>
    </w:pict>
  </w:numPicBullet>
  <w:numPicBullet w:numPicBulletId="4">
    <w:pict>
      <v:shape id="_x0000_i1055" type="#_x0000_t75" style="width:109.5pt;height:107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C35AC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1A37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64B89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4421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45EEC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1BB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3E11"/>
    <w:rsid w:val="00D870C1"/>
    <w:rsid w:val="00D87B29"/>
    <w:rsid w:val="00DA3906"/>
    <w:rsid w:val="00DE685C"/>
    <w:rsid w:val="00DF01C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F251A-8DA2-4F9E-94D0-3F6C2A05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1891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Cong Tran</cp:lastModifiedBy>
  <cp:revision>5</cp:revision>
  <cp:lastPrinted>2017-09-24T23:53:00Z</cp:lastPrinted>
  <dcterms:created xsi:type="dcterms:W3CDTF">2020-09-03T01:08:00Z</dcterms:created>
  <dcterms:modified xsi:type="dcterms:W3CDTF">2020-10-05T00:23:00Z</dcterms:modified>
</cp:coreProperties>
</file>