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DC6B" w14:textId="65E6ECD4" w:rsidR="00960407" w:rsidRPr="00960407" w:rsidRDefault="00960407" w:rsidP="00960407">
      <w:pPr>
        <w:rPr>
          <w:b/>
          <w:bCs/>
          <w:lang w:val="en-GB"/>
        </w:rPr>
      </w:pPr>
      <w:r w:rsidRPr="00960407">
        <w:rPr>
          <w:b/>
          <w:bCs/>
          <w:lang w:val="en-GB"/>
        </w:rPr>
        <w:t xml:space="preserve">Mobility parking: </w:t>
      </w:r>
      <w:r w:rsidR="004C7167">
        <w:rPr>
          <w:b/>
          <w:bCs/>
          <w:lang w:val="en-GB"/>
        </w:rPr>
        <w:t>a practical guide</w:t>
      </w:r>
    </w:p>
    <w:p w14:paraId="6ABA8945" w14:textId="77777777" w:rsidR="004C7167" w:rsidRDefault="004C7167" w:rsidP="004C7167">
      <w:pPr>
        <w:rPr>
          <w:rFonts w:ascii="Aptos" w:eastAsia="Aptos" w:hAnsi="Aptos" w:cs="Aptos"/>
          <w:color w:val="000000" w:themeColor="text1"/>
        </w:rPr>
      </w:pPr>
      <w:r w:rsidRPr="642AB749">
        <w:rPr>
          <w:rFonts w:ascii="Aptos" w:eastAsia="Aptos" w:hAnsi="Aptos" w:cs="Aptos"/>
          <w:color w:val="000000" w:themeColor="text1"/>
          <w:lang w:val="en-GB"/>
        </w:rPr>
        <w:t>There are over 190,000 mobility parking permit holders in New Zealand, and that number is projected to increase by 65% by the 2040s. However, there is a dearth of data to inform mobility parking provision in Aotearoa. While parking is required at set ratios at private facilities, there is no known rationale for these ratios. Neither are there any known insights into how many mobility parking spaces are a ‘good’ number to provide on public streets, in different contexts.</w:t>
      </w:r>
    </w:p>
    <w:p w14:paraId="1130FAB4" w14:textId="77777777" w:rsidR="004C7167" w:rsidRDefault="004C7167" w:rsidP="004C7167">
      <w:pPr>
        <w:rPr>
          <w:rFonts w:ascii="Aptos" w:eastAsia="Aptos" w:hAnsi="Aptos" w:cs="Aptos"/>
          <w:color w:val="000000" w:themeColor="text1"/>
        </w:rPr>
      </w:pPr>
      <w:r w:rsidRPr="642AB749">
        <w:rPr>
          <w:rFonts w:ascii="Aptos" w:eastAsia="Aptos" w:hAnsi="Aptos" w:cs="Aptos"/>
          <w:color w:val="000000" w:themeColor="text1"/>
          <w:lang w:val="en-GB"/>
        </w:rPr>
        <w:t xml:space="preserve">This paper describes mobility parking in the context of New Zealand legislation and then summarises research into </w:t>
      </w:r>
    </w:p>
    <w:p w14:paraId="1F0E8EAE" w14:textId="77777777" w:rsidR="004C7167" w:rsidRDefault="004C7167" w:rsidP="004C7167">
      <w:pPr>
        <w:pStyle w:val="ListParagraph"/>
        <w:numPr>
          <w:ilvl w:val="0"/>
          <w:numId w:val="2"/>
        </w:numPr>
        <w:spacing w:after="0" w:line="278" w:lineRule="auto"/>
        <w:contextualSpacing w:val="0"/>
        <w:rPr>
          <w:rFonts w:ascii="Aptos" w:eastAsia="Aptos" w:hAnsi="Aptos" w:cs="Aptos"/>
          <w:color w:val="000000" w:themeColor="text1"/>
        </w:rPr>
      </w:pPr>
      <w:r w:rsidRPr="642AB749">
        <w:rPr>
          <w:rFonts w:ascii="Aptos" w:eastAsia="Aptos" w:hAnsi="Aptos" w:cs="Aptos"/>
          <w:color w:val="000000" w:themeColor="text1"/>
          <w:lang w:val="en-GB"/>
        </w:rPr>
        <w:t xml:space="preserve">the changing, growing population of permit holders, including projected numbers in coming </w:t>
      </w:r>
      <w:proofErr w:type="gramStart"/>
      <w:r w:rsidRPr="642AB749">
        <w:rPr>
          <w:rFonts w:ascii="Aptos" w:eastAsia="Aptos" w:hAnsi="Aptos" w:cs="Aptos"/>
          <w:color w:val="000000" w:themeColor="text1"/>
          <w:lang w:val="en-GB"/>
        </w:rPr>
        <w:t>decades;</w:t>
      </w:r>
      <w:proofErr w:type="gramEnd"/>
    </w:p>
    <w:p w14:paraId="0C846109" w14:textId="77777777" w:rsidR="004C7167" w:rsidRDefault="004C7167" w:rsidP="004C7167">
      <w:pPr>
        <w:pStyle w:val="ListParagraph"/>
        <w:numPr>
          <w:ilvl w:val="0"/>
          <w:numId w:val="2"/>
        </w:numPr>
        <w:spacing w:after="0" w:line="278" w:lineRule="auto"/>
        <w:contextualSpacing w:val="0"/>
        <w:rPr>
          <w:rFonts w:ascii="Aptos" w:eastAsia="Aptos" w:hAnsi="Aptos" w:cs="Aptos"/>
          <w:color w:val="000000" w:themeColor="text1"/>
          <w:lang w:val="en-GB"/>
        </w:rPr>
      </w:pPr>
      <w:r w:rsidRPr="642AB749">
        <w:rPr>
          <w:rFonts w:ascii="Aptos" w:eastAsia="Aptos" w:hAnsi="Aptos" w:cs="Aptos"/>
          <w:color w:val="000000" w:themeColor="text1"/>
          <w:lang w:val="en-GB"/>
        </w:rPr>
        <w:t xml:space="preserve">demand for mobility parking by trip purpose and how it varies, according to surveys of permit </w:t>
      </w:r>
      <w:proofErr w:type="gramStart"/>
      <w:r w:rsidRPr="642AB749">
        <w:rPr>
          <w:rFonts w:ascii="Aptos" w:eastAsia="Aptos" w:hAnsi="Aptos" w:cs="Aptos"/>
          <w:color w:val="000000" w:themeColor="text1"/>
          <w:lang w:val="en-GB"/>
        </w:rPr>
        <w:t>holders;</w:t>
      </w:r>
      <w:proofErr w:type="gramEnd"/>
    </w:p>
    <w:p w14:paraId="4D8B561C" w14:textId="77777777" w:rsidR="004C7167" w:rsidRDefault="004C7167" w:rsidP="004C7167">
      <w:pPr>
        <w:pStyle w:val="ListParagraph"/>
        <w:numPr>
          <w:ilvl w:val="0"/>
          <w:numId w:val="2"/>
        </w:numPr>
        <w:spacing w:after="0" w:line="278" w:lineRule="auto"/>
        <w:contextualSpacing w:val="0"/>
        <w:rPr>
          <w:rFonts w:ascii="Aptos" w:eastAsia="Aptos" w:hAnsi="Aptos" w:cs="Aptos"/>
          <w:color w:val="000000" w:themeColor="text1"/>
        </w:rPr>
      </w:pPr>
      <w:r w:rsidRPr="642AB749">
        <w:rPr>
          <w:rFonts w:ascii="Aptos" w:eastAsia="Aptos" w:hAnsi="Aptos" w:cs="Aptos"/>
          <w:color w:val="000000" w:themeColor="text1"/>
          <w:lang w:val="en-GB"/>
        </w:rPr>
        <w:t>common barriers to access faced by people using a mobility park, including their access between the park and the nearest public footpath; and</w:t>
      </w:r>
    </w:p>
    <w:p w14:paraId="757340B8" w14:textId="77777777" w:rsidR="004C7167" w:rsidRDefault="004C7167" w:rsidP="004C7167">
      <w:pPr>
        <w:pStyle w:val="ListParagraph"/>
        <w:numPr>
          <w:ilvl w:val="0"/>
          <w:numId w:val="2"/>
        </w:numPr>
        <w:spacing w:after="0" w:line="278" w:lineRule="auto"/>
        <w:contextualSpacing w:val="0"/>
        <w:rPr>
          <w:rFonts w:ascii="Aptos" w:eastAsia="Aptos" w:hAnsi="Aptos" w:cs="Aptos"/>
          <w:color w:val="000000" w:themeColor="text1"/>
        </w:rPr>
      </w:pPr>
      <w:r w:rsidRPr="642AB749">
        <w:rPr>
          <w:rFonts w:ascii="Aptos" w:eastAsia="Aptos" w:hAnsi="Aptos" w:cs="Aptos"/>
          <w:color w:val="000000" w:themeColor="text1"/>
          <w:lang w:val="en-GB"/>
        </w:rPr>
        <w:t xml:space="preserve">advice for </w:t>
      </w:r>
      <w:r>
        <w:rPr>
          <w:rFonts w:ascii="Aptos" w:eastAsia="Aptos" w:hAnsi="Aptos" w:cs="Aptos"/>
          <w:color w:val="000000" w:themeColor="text1"/>
          <w:lang w:val="en-GB"/>
        </w:rPr>
        <w:t>c</w:t>
      </w:r>
      <w:r w:rsidRPr="642AB749">
        <w:rPr>
          <w:rFonts w:ascii="Aptos" w:eastAsia="Aptos" w:hAnsi="Aptos" w:cs="Aptos"/>
          <w:color w:val="000000" w:themeColor="text1"/>
          <w:lang w:val="en-GB"/>
        </w:rPr>
        <w:t>ouncils in terms of how to decide on the number, location, and layout of mobility parking spaces.</w:t>
      </w:r>
    </w:p>
    <w:p w14:paraId="6186B6CC" w14:textId="77777777" w:rsidR="004C7167" w:rsidRDefault="004C7167" w:rsidP="004C7167">
      <w:pPr>
        <w:rPr>
          <w:rFonts w:ascii="Aptos" w:eastAsia="Aptos" w:hAnsi="Aptos" w:cs="Aptos"/>
          <w:color w:val="000000" w:themeColor="text1"/>
        </w:rPr>
      </w:pPr>
      <w:r w:rsidRPr="642AB749">
        <w:rPr>
          <w:rFonts w:ascii="Aptos" w:eastAsia="Aptos" w:hAnsi="Aptos" w:cs="Aptos"/>
          <w:color w:val="000000" w:themeColor="text1"/>
          <w:lang w:val="en-GB"/>
        </w:rPr>
        <w:t>The paper fills a gap in nationwide understanding of mobility parking demand and supply. It can help councils shift from a largely reactive, request-based approach to provision of mobility parking, towards a more objective assessment of how to allocate public space in ways that demonstrably meet people’s needs as much as possible. Known trade-offs and limitations are also described.</w:t>
      </w:r>
    </w:p>
    <w:p w14:paraId="081F95F1" w14:textId="77777777" w:rsidR="004C7167" w:rsidRDefault="004C7167" w:rsidP="004C7167">
      <w:pPr>
        <w:rPr>
          <w:rFonts w:ascii="Aptos" w:eastAsia="Aptos" w:hAnsi="Aptos" w:cs="Aptos"/>
        </w:rPr>
      </w:pPr>
      <w:r w:rsidRPr="642AB749">
        <w:rPr>
          <w:rFonts w:ascii="Aptos" w:eastAsia="Aptos" w:hAnsi="Aptos" w:cs="Aptos"/>
          <w:color w:val="000000" w:themeColor="text1"/>
          <w:lang w:val="en-GB"/>
        </w:rPr>
        <w:t>This practice paper is about understanding the role of mobility parking in inclusive urban places. By understanding who is excluded, why, where, and when, investment can best be justified and prioritised where it’s needed most.</w:t>
      </w:r>
    </w:p>
    <w:p w14:paraId="1330BD50" w14:textId="1EF45F2D" w:rsidR="00B242F0" w:rsidRPr="00967EB5" w:rsidRDefault="00B242F0" w:rsidP="006415E6"/>
    <w:sectPr w:rsidR="00B242F0" w:rsidRPr="00967EB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8137" w14:textId="77777777" w:rsidR="00D65BCF" w:rsidRDefault="00D65BCF" w:rsidP="00C11ED7">
      <w:pPr>
        <w:spacing w:after="0" w:line="240" w:lineRule="auto"/>
      </w:pPr>
      <w:r>
        <w:separator/>
      </w:r>
    </w:p>
  </w:endnote>
  <w:endnote w:type="continuationSeparator" w:id="0">
    <w:p w14:paraId="396DE69B" w14:textId="77777777" w:rsidR="00D65BCF" w:rsidRDefault="00D65BCF"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C9FC" w14:textId="77777777" w:rsidR="00D65BCF" w:rsidRDefault="00D65BCF" w:rsidP="00C11ED7">
      <w:pPr>
        <w:spacing w:after="0" w:line="240" w:lineRule="auto"/>
      </w:pPr>
      <w:r>
        <w:separator/>
      </w:r>
    </w:p>
  </w:footnote>
  <w:footnote w:type="continuationSeparator" w:id="0">
    <w:p w14:paraId="6132C1F3" w14:textId="77777777" w:rsidR="00D65BCF" w:rsidRDefault="00D65BCF"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22DC6"/>
    <w:multiLevelType w:val="hybridMultilevel"/>
    <w:tmpl w:val="51A6AB76"/>
    <w:lvl w:ilvl="0" w:tplc="6D863520">
      <w:start w:val="1"/>
      <w:numFmt w:val="decimal"/>
      <w:lvlText w:val="%1."/>
      <w:lvlJc w:val="left"/>
      <w:pPr>
        <w:ind w:left="720" w:hanging="360"/>
      </w:pPr>
    </w:lvl>
    <w:lvl w:ilvl="1" w:tplc="67F45532">
      <w:start w:val="1"/>
      <w:numFmt w:val="lowerLetter"/>
      <w:lvlText w:val="%2."/>
      <w:lvlJc w:val="left"/>
      <w:pPr>
        <w:ind w:left="1440" w:hanging="360"/>
      </w:pPr>
    </w:lvl>
    <w:lvl w:ilvl="2" w:tplc="D45EA6AC">
      <w:start w:val="1"/>
      <w:numFmt w:val="lowerRoman"/>
      <w:lvlText w:val="%3."/>
      <w:lvlJc w:val="right"/>
      <w:pPr>
        <w:ind w:left="2160" w:hanging="180"/>
      </w:pPr>
    </w:lvl>
    <w:lvl w:ilvl="3" w:tplc="91E4718C">
      <w:start w:val="1"/>
      <w:numFmt w:val="decimal"/>
      <w:lvlText w:val="%4."/>
      <w:lvlJc w:val="left"/>
      <w:pPr>
        <w:ind w:left="2880" w:hanging="360"/>
      </w:pPr>
    </w:lvl>
    <w:lvl w:ilvl="4" w:tplc="916657DA">
      <w:start w:val="1"/>
      <w:numFmt w:val="lowerLetter"/>
      <w:lvlText w:val="%5."/>
      <w:lvlJc w:val="left"/>
      <w:pPr>
        <w:ind w:left="3600" w:hanging="360"/>
      </w:pPr>
    </w:lvl>
    <w:lvl w:ilvl="5" w:tplc="AC3CECB2">
      <w:start w:val="1"/>
      <w:numFmt w:val="lowerRoman"/>
      <w:lvlText w:val="%6."/>
      <w:lvlJc w:val="right"/>
      <w:pPr>
        <w:ind w:left="4320" w:hanging="180"/>
      </w:pPr>
    </w:lvl>
    <w:lvl w:ilvl="6" w:tplc="3182D3F4">
      <w:start w:val="1"/>
      <w:numFmt w:val="decimal"/>
      <w:lvlText w:val="%7."/>
      <w:lvlJc w:val="left"/>
      <w:pPr>
        <w:ind w:left="5040" w:hanging="360"/>
      </w:pPr>
    </w:lvl>
    <w:lvl w:ilvl="7" w:tplc="DC60E236">
      <w:start w:val="1"/>
      <w:numFmt w:val="lowerLetter"/>
      <w:lvlText w:val="%8."/>
      <w:lvlJc w:val="left"/>
      <w:pPr>
        <w:ind w:left="5760" w:hanging="360"/>
      </w:pPr>
    </w:lvl>
    <w:lvl w:ilvl="8" w:tplc="CD0A7FBA">
      <w:start w:val="1"/>
      <w:numFmt w:val="lowerRoman"/>
      <w:lvlText w:val="%9."/>
      <w:lvlJc w:val="right"/>
      <w:pPr>
        <w:ind w:left="6480" w:hanging="180"/>
      </w:pPr>
    </w:lvl>
  </w:abstractNum>
  <w:abstractNum w:abstractNumId="1" w15:restartNumberingAfterBreak="0">
    <w:nsid w:val="6F171ED9"/>
    <w:multiLevelType w:val="hybridMultilevel"/>
    <w:tmpl w:val="90A20B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9346236">
    <w:abstractNumId w:val="1"/>
  </w:num>
  <w:num w:numId="2" w16cid:durableId="124899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A5D1A"/>
    <w:rsid w:val="001C5FFF"/>
    <w:rsid w:val="00362082"/>
    <w:rsid w:val="00483E07"/>
    <w:rsid w:val="004C7167"/>
    <w:rsid w:val="0053583D"/>
    <w:rsid w:val="006415E6"/>
    <w:rsid w:val="008933AE"/>
    <w:rsid w:val="00960407"/>
    <w:rsid w:val="00B242F0"/>
    <w:rsid w:val="00C11ED7"/>
    <w:rsid w:val="00C87A12"/>
    <w:rsid w:val="00D04809"/>
    <w:rsid w:val="00D65B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1427</Characters>
  <Application>Microsoft Office Word</Application>
  <DocSecurity>0</DocSecurity>
  <Lines>23</Lines>
  <Paragraphs>10</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Bridget Doran</cp:lastModifiedBy>
  <cp:revision>2</cp:revision>
  <dcterms:created xsi:type="dcterms:W3CDTF">2026-01-27T00:47:00Z</dcterms:created>
  <dcterms:modified xsi:type="dcterms:W3CDTF">2026-01-27T00:47:00Z</dcterms:modified>
</cp:coreProperties>
</file>