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16A6" w14:textId="3873F477" w:rsidR="00DF7B85" w:rsidRPr="00DA3906" w:rsidRDefault="00C00B98" w:rsidP="00C00B98">
      <w:pPr>
        <w:rPr>
          <w:rFonts w:ascii="Fakt Pro Bln" w:hAnsi="Fakt Pro Bln" w:cs="Circular Std Book"/>
          <w:b/>
          <w:sz w:val="20"/>
          <w:szCs w:val="20"/>
        </w:rPr>
      </w:pPr>
      <w:r w:rsidRPr="00C00B98">
        <w:rPr>
          <w:rFonts w:ascii="Circular Std Book" w:eastAsia="Times New Roman" w:hAnsi="Circular Std Book" w:cs="Circular Std Book"/>
          <w:b/>
          <w:color w:val="008A55"/>
          <w:kern w:val="32"/>
          <w:sz w:val="36"/>
          <w:szCs w:val="36"/>
          <w:lang w:val="en-NZ" w:eastAsia="en-NZ"/>
        </w:rPr>
        <w:t>Charging Ahead – Power</w:t>
      </w:r>
      <w:r w:rsidR="007E477F">
        <w:rPr>
          <w:rFonts w:ascii="Circular Std Book" w:eastAsia="Times New Roman" w:hAnsi="Circular Std Book" w:cs="Circular Std Book"/>
          <w:b/>
          <w:color w:val="008A55"/>
          <w:kern w:val="32"/>
          <w:sz w:val="36"/>
          <w:szCs w:val="36"/>
          <w:lang w:val="en-NZ" w:eastAsia="en-NZ"/>
        </w:rPr>
        <w:t>ing</w:t>
      </w:r>
      <w:r w:rsidRPr="00C00B98">
        <w:rPr>
          <w:rFonts w:ascii="Circular Std Book" w:eastAsia="Times New Roman" w:hAnsi="Circular Std Book" w:cs="Circular Std Book"/>
          <w:b/>
          <w:color w:val="008A55"/>
          <w:kern w:val="32"/>
          <w:sz w:val="36"/>
          <w:szCs w:val="36"/>
          <w:lang w:val="en-NZ" w:eastAsia="en-NZ"/>
        </w:rPr>
        <w:t xml:space="preserve"> </w:t>
      </w:r>
      <w:proofErr w:type="spellStart"/>
      <w:r w:rsidRPr="00C00B98">
        <w:rPr>
          <w:rFonts w:ascii="Circular Std Book" w:eastAsia="Times New Roman" w:hAnsi="Circular Std Book" w:cs="Circular Std Book"/>
          <w:b/>
          <w:color w:val="008A55"/>
          <w:kern w:val="32"/>
          <w:sz w:val="36"/>
          <w:szCs w:val="36"/>
          <w:lang w:val="en-NZ" w:eastAsia="en-NZ"/>
        </w:rPr>
        <w:t>eBuses</w:t>
      </w:r>
      <w:proofErr w:type="spellEnd"/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16F9AE05" w14:textId="77777777" w:rsidR="00C00B98" w:rsidRDefault="00C00B98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7FA7F673" w14:textId="35B659D9" w:rsidR="009F3ECD" w:rsidRDefault="00162692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</w:t>
            </w:r>
            <w:r w:rsidR="009F3ECD">
              <w:rPr>
                <w:rFonts w:ascii="Graphik Regular" w:hAnsi="Graphik Regular" w:cs="Circular Std Book"/>
                <w:bCs/>
                <w:sz w:val="22"/>
                <w:szCs w:val="22"/>
              </w:rPr>
              <w:t>lectric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buses (eBus) have</w:t>
            </w:r>
            <w:r w:rsidR="00AE71F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seen</w:t>
            </w:r>
            <w:r w:rsidR="009F3EC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gains in energy density and subsequent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ly</w:t>
            </w:r>
            <w:r w:rsidR="009F3EC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range</w:t>
            </w:r>
            <w:r w:rsidR="00C00B98">
              <w:rPr>
                <w:rFonts w:ascii="Graphik Regular" w:hAnsi="Graphik Regular" w:cs="Circular Std Book"/>
                <w:bCs/>
                <w:sz w:val="22"/>
                <w:szCs w:val="22"/>
              </w:rPr>
              <w:t>. But just how many new generators do we need and how do we actually charge those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350km </w:t>
            </w:r>
            <w:proofErr w:type="spellStart"/>
            <w:r w:rsidR="00C00B98">
              <w:rPr>
                <w:rFonts w:ascii="Graphik Regular" w:hAnsi="Graphik Regular" w:cs="Circular Std Book"/>
                <w:bCs/>
                <w:sz w:val="22"/>
                <w:szCs w:val="22"/>
              </w:rPr>
              <w:t>eBuses</w:t>
            </w:r>
            <w:proofErr w:type="spellEnd"/>
            <w:r w:rsidR="00C00B9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(and some </w:t>
            </w:r>
            <w:proofErr w:type="spellStart"/>
            <w:r w:rsidR="00C00B98">
              <w:rPr>
                <w:rFonts w:ascii="Graphik Regular" w:hAnsi="Graphik Regular" w:cs="Circular Std Book"/>
                <w:bCs/>
                <w:sz w:val="22"/>
                <w:szCs w:val="22"/>
              </w:rPr>
              <w:t>eFerries</w:t>
            </w:r>
            <w:proofErr w:type="spellEnd"/>
            <w:r w:rsidR="00C00B98">
              <w:rPr>
                <w:rFonts w:ascii="Graphik Regular" w:hAnsi="Graphik Regular" w:cs="Circular Std Book"/>
                <w:bCs/>
                <w:sz w:val="22"/>
                <w:szCs w:val="22"/>
              </w:rPr>
              <w:t>)?</w:t>
            </w:r>
          </w:p>
          <w:p w14:paraId="36CA2B61" w14:textId="77777777" w:rsidR="009F3ECD" w:rsidRDefault="009F3ECD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3F6AEF8" w14:textId="58D13246" w:rsidR="009F3ECD" w:rsidRDefault="009F3ECD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WSP has developed a </w:t>
            </w:r>
            <w:r w:rsidRPr="00AE71F5">
              <w:rPr>
                <w:rFonts w:ascii="Graphik Regular" w:hAnsi="Graphik Regular" w:cs="Circular Std Book"/>
                <w:b/>
                <w:i/>
                <w:iCs/>
                <w:sz w:val="22"/>
                <w:szCs w:val="22"/>
              </w:rPr>
              <w:t>Battery Optimisation Life Cycle Tool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(BOLT) which incorporates data from heavy vehicle manufacturers  </w:t>
            </w:r>
            <w:r w:rsidR="00C00B98">
              <w:rPr>
                <w:rFonts w:ascii="Graphik Regular" w:hAnsi="Graphik Regular" w:cs="Circular Std Book"/>
                <w:bCs/>
                <w:sz w:val="22"/>
                <w:szCs w:val="22"/>
              </w:rPr>
              <w:t>(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rolling resistance, wind resistance, drivetrain</w:t>
            </w:r>
            <w:r w:rsidR="00AE71F5">
              <w:rPr>
                <w:rFonts w:ascii="Graphik Regular" w:hAnsi="Graphik Regular" w:cs="Circular Std Book"/>
                <w:bCs/>
                <w:sz w:val="22"/>
                <w:szCs w:val="22"/>
              </w:rPr>
              <w:t>, chassis and battery information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etc.) the physical environment (GIS, traffic, road data and topology, bus routes and passenger loading</w:t>
            </w:r>
            <w:r w:rsidR="00AE71F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etc.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) as well as system information (grid power supplies, transformer and charger efficiency, battery capacity and degradation) with the vehicle scheduling and driver behaviour to </w:t>
            </w:r>
            <w:r w:rsidR="00AE71F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accurately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predict the energy demand of the system.</w:t>
            </w:r>
          </w:p>
          <w:p w14:paraId="3465A958" w14:textId="77777777" w:rsidR="009F3ECD" w:rsidRDefault="009F3ECD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621CC6CB" w14:textId="5DE6A8D3" w:rsidR="009F3ECD" w:rsidRDefault="007E477F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</w:t>
            </w:r>
            <w:r w:rsidR="009F3EC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pplication of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BOLT</w:t>
            </w:r>
            <w:r w:rsidR="009F3EC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the Zero Emission Electric Bus in Canada, USA and NZ has an accuracy of 4% which provides confidence to fleet owners and electrical infrastructure on the energy demands.</w:t>
            </w:r>
          </w:p>
          <w:p w14:paraId="6A59EB12" w14:textId="77777777" w:rsidR="009F3ECD" w:rsidRDefault="009F3ECD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5C30EEE8" w14:textId="76860A0A" w:rsidR="009F3ECD" w:rsidRDefault="009F3ECD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Further work has resulted in a BOLT Post-Processing tool (BOLT-PP) which enables fleet owners to examine the impact of vehicle, battery and charging equipment choices when coupled with charging </w:t>
            </w:r>
            <w:r w:rsidR="00AE71F5">
              <w:rPr>
                <w:rFonts w:ascii="Graphik Regular" w:hAnsi="Graphik Regular" w:cs="Circular Std Book"/>
                <w:bCs/>
                <w:sz w:val="22"/>
                <w:szCs w:val="22"/>
              </w:rPr>
              <w:t>strategies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(such as after-hours, fast or on-route charging.) </w:t>
            </w:r>
            <w:proofErr w:type="gramStart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This impacts</w:t>
            </w:r>
            <w:proofErr w:type="gramEnd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both capital and operational costs and is an effective tool in forward planning both for the fleet owner (number of </w:t>
            </w:r>
            <w:proofErr w:type="spellStart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eBuses</w:t>
            </w:r>
            <w:proofErr w:type="spellEnd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chargers) and the Electrical Utility Networks (upstream reinforcement, zone substation demand</w:t>
            </w:r>
            <w:r w:rsidR="00AE71F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11 or 22kV local transformer requirements and their subsequent utilisation.)</w:t>
            </w:r>
          </w:p>
          <w:p w14:paraId="2023C43F" w14:textId="77777777" w:rsidR="00AE71F5" w:rsidRDefault="00AE71F5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312F51D5" w14:textId="2FA199E6" w:rsidR="00AE71F5" w:rsidRDefault="00AE71F5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Using this tool, WSP has been involved in a number of eBus depot charging and on-route (fast charging) systems for bus operators as well as an Auckland-wide study for AT and Vector to establish the future </w:t>
            </w:r>
            <w:r w:rsidR="001C2D25">
              <w:rPr>
                <w:rFonts w:ascii="Graphik Regular" w:hAnsi="Graphik Regular" w:cs="Circular Std Book"/>
                <w:bCs/>
                <w:sz w:val="22"/>
                <w:szCs w:val="22"/>
              </w:rPr>
              <w:t>power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19E0F329" w14:textId="77777777" w:rsidR="00AE71F5" w:rsidRDefault="00AE71F5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795232A9" w:rsidR="00AE71F5" w:rsidRPr="00AC2F42" w:rsidRDefault="00AE71F5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WSP is further testing assumptions for </w:t>
            </w:r>
            <w:proofErr w:type="spellStart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eFerry</w:t>
            </w:r>
            <w:proofErr w:type="spellEnd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applications and Hydrogen systems – all of which use substantial electrical power to replac</w:t>
            </w:r>
            <w:bookmarkStart w:id="0" w:name="_GoBack"/>
            <w:bookmarkEnd w:id="0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 fossil fuels</w:t>
            </w:r>
            <w:r w:rsidR="007E477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will further require grid infrastructure upgrades to meet the low carbon future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61AD1" w14:textId="77777777" w:rsidR="0095604C" w:rsidRDefault="0095604C">
      <w:r>
        <w:separator/>
      </w:r>
    </w:p>
  </w:endnote>
  <w:endnote w:type="continuationSeparator" w:id="0">
    <w:p w14:paraId="0252E5DA" w14:textId="77777777" w:rsidR="0095604C" w:rsidRDefault="0095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A6C1F" w14:textId="77777777" w:rsidR="0095604C" w:rsidRDefault="0095604C">
      <w:r>
        <w:separator/>
      </w:r>
    </w:p>
  </w:footnote>
  <w:footnote w:type="continuationSeparator" w:id="0">
    <w:p w14:paraId="72D18A11" w14:textId="77777777" w:rsidR="0095604C" w:rsidRDefault="0095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9.75pt;height:83.25pt" o:bullet="t">
        <v:imagedata r:id="rId1" o:title="Bullet Point"/>
      </v:shape>
    </w:pict>
  </w:numPicBullet>
  <w:numPicBullet w:numPicBulletId="1">
    <w:pict>
      <v:shape id="_x0000_i1047" type="#_x0000_t75" style="width:177pt;height:169.5pt" o:bullet="t">
        <v:imagedata r:id="rId2" o:title="Conf-Icon"/>
      </v:shape>
    </w:pict>
  </w:numPicBullet>
  <w:numPicBullet w:numPicBulletId="2">
    <w:pict>
      <v:shape id="_x0000_i1048" type="#_x0000_t75" style="width:151.5pt;height:144.75pt" o:bullet="t">
        <v:imagedata r:id="rId3" o:title="Conf-Icon"/>
      </v:shape>
    </w:pict>
  </w:numPicBullet>
  <w:numPicBullet w:numPicBulletId="3">
    <w:pict>
      <v:shape id="_x0000_i1049" type="#_x0000_t75" style="width:122.25pt;height:112.5pt" o:bullet="t">
        <v:imagedata r:id="rId4" o:title="Bullet Point"/>
      </v:shape>
    </w:pict>
  </w:numPicBullet>
  <w:numPicBullet w:numPicBulletId="4">
    <w:pict>
      <v:shape id="_x0000_i105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2692"/>
    <w:rsid w:val="0016393A"/>
    <w:rsid w:val="0016453E"/>
    <w:rsid w:val="00175439"/>
    <w:rsid w:val="001939D5"/>
    <w:rsid w:val="001A3ADA"/>
    <w:rsid w:val="001B43BA"/>
    <w:rsid w:val="001C2D25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477F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E1A4A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5604C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9F3ECD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AE71F5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00B9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0BABB-1F80-4D64-B248-BAA0D958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1983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Jensen, Kristian</cp:lastModifiedBy>
  <cp:revision>5</cp:revision>
  <cp:lastPrinted>2017-09-24T23:53:00Z</cp:lastPrinted>
  <dcterms:created xsi:type="dcterms:W3CDTF">2020-10-20T22:40:00Z</dcterms:created>
  <dcterms:modified xsi:type="dcterms:W3CDTF">2020-10-21T01:04:00Z</dcterms:modified>
</cp:coreProperties>
</file>