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39FDA" w14:textId="4062D4A3" w:rsidR="00714297" w:rsidRPr="0000796A" w:rsidRDefault="009825D6" w:rsidP="00B745C8">
      <w:pPr>
        <w:pStyle w:val="Heading1"/>
        <w:keepNext w:val="0"/>
        <w:spacing w:before="0" w:after="0"/>
        <w:rPr>
          <w:rFonts w:ascii="Circular Std Book" w:hAnsi="Circular Std Book" w:cs="Circular Std Book"/>
          <w:bCs w:val="0"/>
          <w:color w:val="FF1C08"/>
          <w:sz w:val="36"/>
          <w:szCs w:val="36"/>
          <w:lang w:val="en-NZ" w:eastAsia="en-NZ"/>
        </w:rPr>
      </w:pPr>
      <w:r>
        <w:rPr>
          <w:rFonts w:ascii="Circular Std Book" w:hAnsi="Circular Std Book" w:cs="Circular Std Book"/>
          <w:bCs w:val="0"/>
          <w:color w:val="FF1C08"/>
          <w:sz w:val="36"/>
          <w:szCs w:val="36"/>
          <w:lang w:val="en-NZ" w:eastAsia="en-NZ"/>
        </w:rPr>
        <w:t>STREETS FOR THE FUTURE, BUT LET’S GET THEM NOW! OUTCOMES AND LESSONS FROM TE ARA MUA FUTURE STREETS</w:t>
      </w:r>
    </w:p>
    <w:p w14:paraId="3C084D6E"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5088912" w14:textId="77777777" w:rsidTr="00930A64">
        <w:trPr>
          <w:trHeight w:val="548"/>
        </w:trPr>
        <w:tc>
          <w:tcPr>
            <w:tcW w:w="10405" w:type="dxa"/>
            <w:tcBorders>
              <w:bottom w:val="nil"/>
            </w:tcBorders>
            <w:shd w:val="clear" w:color="auto" w:fill="auto"/>
          </w:tcPr>
          <w:p w14:paraId="0932B95F" w14:textId="77777777" w:rsidR="00657112" w:rsidRDefault="009825D6" w:rsidP="00E73FE4">
            <w:pPr>
              <w:rPr>
                <w:rFonts w:asciiTheme="minorHAnsi" w:hAnsiTheme="minorHAnsi" w:cstheme="minorHAnsi"/>
              </w:rPr>
            </w:pPr>
            <w:r w:rsidRPr="003E7DAE">
              <w:rPr>
                <w:rFonts w:ascii="Calibri" w:hAnsi="Calibri" w:cs="Calibri"/>
              </w:rPr>
              <w:t xml:space="preserve">Te Ara </w:t>
            </w:r>
            <w:proofErr w:type="spellStart"/>
            <w:r w:rsidRPr="003E7DAE">
              <w:rPr>
                <w:rFonts w:ascii="Calibri" w:hAnsi="Calibri" w:cs="Calibri"/>
              </w:rPr>
              <w:t>Mua</w:t>
            </w:r>
            <w:proofErr w:type="spellEnd"/>
            <w:r w:rsidRPr="003E7DAE">
              <w:rPr>
                <w:rFonts w:ascii="Calibri" w:hAnsi="Calibri" w:cs="Calibri"/>
              </w:rPr>
              <w:t xml:space="preserve"> – Future Streets is a controlled before-after study of a neighbourhood street retrofit in </w:t>
            </w:r>
            <w:proofErr w:type="spellStart"/>
            <w:r>
              <w:rPr>
                <w:rFonts w:ascii="Calibri" w:hAnsi="Calibri" w:cs="Calibri"/>
              </w:rPr>
              <w:t>Māngere</w:t>
            </w:r>
            <w:proofErr w:type="spellEnd"/>
            <w:r>
              <w:rPr>
                <w:rFonts w:ascii="Calibri" w:hAnsi="Calibri" w:cs="Calibri"/>
              </w:rPr>
              <w:t xml:space="preserve">, </w:t>
            </w:r>
            <w:r w:rsidRPr="003E7DAE">
              <w:rPr>
                <w:rFonts w:ascii="Calibri" w:hAnsi="Calibri" w:cs="Calibri"/>
              </w:rPr>
              <w:t>Auckland.</w:t>
            </w:r>
            <w:r>
              <w:rPr>
                <w:rFonts w:ascii="Calibri" w:hAnsi="Calibri" w:cs="Calibri"/>
              </w:rPr>
              <w:t xml:space="preserve"> With a focus on community well-being, the project aimed to make walking and cycling safer and easier, and also reflect cultural identity</w:t>
            </w:r>
            <w:r>
              <w:rPr>
                <w:rFonts w:asciiTheme="minorHAnsi" w:hAnsiTheme="minorHAnsi" w:cstheme="minorHAnsi"/>
              </w:rPr>
              <w:t xml:space="preserve">. Following substantial community engagement, changes included improved pathways, landscaping, crossings, </w:t>
            </w:r>
            <w:r>
              <w:rPr>
                <w:rFonts w:asciiTheme="minorHAnsi" w:hAnsiTheme="minorHAnsi" w:cstheme="minorHAnsi"/>
              </w:rPr>
              <w:t xml:space="preserve">traffic calming, </w:t>
            </w:r>
            <w:r>
              <w:rPr>
                <w:rFonts w:asciiTheme="minorHAnsi" w:hAnsiTheme="minorHAnsi" w:cstheme="minorHAnsi"/>
              </w:rPr>
              <w:t>cycle-lanes, and mana whenua design elements.</w:t>
            </w:r>
          </w:p>
          <w:p w14:paraId="410A50EF" w14:textId="4EE65BEA" w:rsidR="009825D6" w:rsidRDefault="009825D6" w:rsidP="009825D6">
            <w:pPr>
              <w:spacing w:after="120"/>
              <w:rPr>
                <w:rFonts w:asciiTheme="minorHAnsi" w:hAnsiTheme="minorHAnsi" w:cstheme="minorHAnsi"/>
              </w:rPr>
            </w:pPr>
          </w:p>
          <w:p w14:paraId="7661109F" w14:textId="41C7A37A" w:rsidR="009825D6" w:rsidRDefault="009825D6" w:rsidP="009825D6">
            <w:pPr>
              <w:spacing w:after="120"/>
              <w:rPr>
                <w:rFonts w:asciiTheme="minorHAnsi" w:hAnsiTheme="minorHAnsi" w:cstheme="minorHAnsi"/>
              </w:rPr>
            </w:pPr>
            <w:r>
              <w:rPr>
                <w:rFonts w:asciiTheme="minorHAnsi" w:hAnsiTheme="minorHAnsi" w:cstheme="minorHAnsi"/>
              </w:rPr>
              <w:t>A range of outcomes are being measured following an intervention logic. This presentation will highlight some of the key outcomes to date, but also the challenges that the project faced</w:t>
            </w:r>
            <w:r w:rsidR="00660E99">
              <w:rPr>
                <w:rFonts w:asciiTheme="minorHAnsi" w:hAnsiTheme="minorHAnsi" w:cstheme="minorHAnsi"/>
              </w:rPr>
              <w:t xml:space="preserve"> and</w:t>
            </w:r>
            <w:r>
              <w:rPr>
                <w:rFonts w:asciiTheme="minorHAnsi" w:hAnsiTheme="minorHAnsi" w:cstheme="minorHAnsi"/>
              </w:rPr>
              <w:t xml:space="preserve"> lessons for ongoing work to make suburban communities more user-friendly for a larger range of road users. Using the experience of Future Streets, the socio-technical challenge of delivering on urgent road safety, public health, climate change, and social equity challenges will also be raised. Some key solutions for overcoming these challenges will also be suggested.</w:t>
            </w:r>
            <w:bookmarkStart w:id="0" w:name="_GoBack"/>
            <w:bookmarkEnd w:id="0"/>
          </w:p>
          <w:p w14:paraId="2004BAD0" w14:textId="707F7CA6" w:rsidR="009825D6" w:rsidRDefault="009825D6" w:rsidP="009825D6">
            <w:pPr>
              <w:spacing w:after="120"/>
              <w:rPr>
                <w:rFonts w:asciiTheme="minorHAnsi" w:hAnsiTheme="minorHAnsi" w:cstheme="minorHAnsi"/>
              </w:rPr>
            </w:pPr>
          </w:p>
          <w:p w14:paraId="65DDEA42" w14:textId="77777777" w:rsidR="009825D6" w:rsidRDefault="009825D6" w:rsidP="009825D6">
            <w:pPr>
              <w:spacing w:after="120"/>
              <w:rPr>
                <w:rFonts w:asciiTheme="minorHAnsi" w:hAnsiTheme="minorHAnsi" w:cstheme="minorHAnsi"/>
              </w:rPr>
            </w:pPr>
          </w:p>
          <w:p w14:paraId="258F49A2" w14:textId="79FE2C41" w:rsidR="009825D6" w:rsidRPr="00AC2F42" w:rsidRDefault="009825D6" w:rsidP="00E73FE4">
            <w:pPr>
              <w:rPr>
                <w:rFonts w:ascii="Graphik Regular" w:hAnsi="Graphik Regular" w:cs="Circular Std Book"/>
                <w:sz w:val="22"/>
                <w:szCs w:val="22"/>
              </w:rPr>
            </w:pPr>
          </w:p>
        </w:tc>
      </w:tr>
    </w:tbl>
    <w:p w14:paraId="337F3A6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00796A">
      <w:headerReference w:type="default" r:id="rId8"/>
      <w:footerReference w:type="even" r:id="rId9"/>
      <w:footerReference w:type="default" r:id="rId10"/>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EB3EF" w14:textId="77777777" w:rsidR="00223B0B" w:rsidRDefault="00223B0B">
      <w:r>
        <w:separator/>
      </w:r>
    </w:p>
  </w:endnote>
  <w:endnote w:type="continuationSeparator" w:id="0">
    <w:p w14:paraId="012DF177" w14:textId="77777777" w:rsidR="00223B0B" w:rsidRDefault="0022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28AF"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338B8C34"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EDD4B" w14:textId="77777777" w:rsidR="00282AB2" w:rsidRDefault="0081400B">
    <w:pPr>
      <w:pStyle w:val="Footer"/>
    </w:pPr>
    <w:r>
      <w:rPr>
        <w:noProof/>
      </w:rPr>
      <w:drawing>
        <wp:inline distT="0" distB="0" distL="0" distR="0" wp14:anchorId="36C99080" wp14:editId="6DB945D4">
          <wp:extent cx="6645910" cy="6731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nz_2019_footer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673100"/>
                  </a:xfrm>
                  <a:prstGeom prst="rect">
                    <a:avLst/>
                  </a:prstGeom>
                </pic:spPr>
              </pic:pic>
            </a:graphicData>
          </a:graphic>
        </wp:inline>
      </w:drawing>
    </w:r>
  </w:p>
  <w:p w14:paraId="5C2C7B82" w14:textId="77777777" w:rsidR="00094515" w:rsidRDefault="00094515"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7B3E3" w14:textId="77777777" w:rsidR="00223B0B" w:rsidRDefault="00223B0B">
      <w:r>
        <w:separator/>
      </w:r>
    </w:p>
  </w:footnote>
  <w:footnote w:type="continuationSeparator" w:id="0">
    <w:p w14:paraId="632C3FFF" w14:textId="77777777" w:rsidR="00223B0B" w:rsidRDefault="00223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F7317" w14:textId="77777777" w:rsidR="0081400B" w:rsidRDefault="0081400B">
    <w:pPr>
      <w:pStyle w:val="Header"/>
    </w:pPr>
    <w:r>
      <w:rPr>
        <w:noProof/>
      </w:rPr>
      <w:drawing>
        <wp:inline distT="0" distB="0" distL="0" distR="0" wp14:anchorId="2D9F6022" wp14:editId="5637D3EA">
          <wp:extent cx="6645910" cy="8521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nz2019_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852170"/>
                  </a:xfrm>
                  <a:prstGeom prst="rect">
                    <a:avLst/>
                  </a:prstGeom>
                </pic:spPr>
              </pic:pic>
            </a:graphicData>
          </a:graphic>
        </wp:inline>
      </w:drawing>
    </w:r>
  </w:p>
  <w:p w14:paraId="7C1F01BC" w14:textId="77777777" w:rsidR="00094515" w:rsidRPr="009D1BC8" w:rsidRDefault="00094515" w:rsidP="0000796A">
    <w:pPr>
      <w:pStyle w:val="Header"/>
      <w:pBdr>
        <w:bottom w:val="single" w:sz="24" w:space="1" w:color="FF1C08"/>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9.6pt;height:82.2pt" o:bullet="t">
        <v:imagedata r:id="rId1" o:title="Bullet Point"/>
      </v:shape>
    </w:pict>
  </w:numPicBullet>
  <w:numPicBullet w:numPicBulletId="1">
    <w:pict>
      <v:shape id="_x0000_i1057" type="#_x0000_t75" style="width:176.4pt;height:169.2pt" o:bullet="t">
        <v:imagedata r:id="rId2" o:title="Conf-Icon"/>
      </v:shape>
    </w:pict>
  </w:numPicBullet>
  <w:numPicBullet w:numPicBulletId="2">
    <w:pict>
      <v:shape id="_x0000_i1058" type="#_x0000_t75" style="width:151.8pt;height:144.6pt" o:bullet="t">
        <v:imagedata r:id="rId3" o:title="Conf-Icon"/>
      </v:shape>
    </w:pict>
  </w:numPicBullet>
  <w:numPicBullet w:numPicBulletId="3">
    <w:pict>
      <v:shape id="_x0000_i1059" type="#_x0000_t75" style="width:122.4pt;height:111.6pt" o:bullet="t">
        <v:imagedata r:id="rId4" o:title="Bullet Point"/>
      </v:shape>
    </w:pict>
  </w:numPicBullet>
  <w:numPicBullet w:numPicBulletId="4">
    <w:pict>
      <v:shape id="_x0000_i1060" type="#_x0000_t75" style="width:109.2pt;height:107.4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3B0B"/>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0E99"/>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25D6"/>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BF944"/>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67752-0822-4405-A812-ACE6F8C2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Trafinz 2019</vt:lpstr>
    </vt:vector>
  </TitlesOfParts>
  <Company>Environment Waikato</Company>
  <LinksUpToDate>false</LinksUpToDate>
  <CharactersWithSpaces>1090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Trafinz 2019</dc:title>
  <dc:creator>Hamish Mackie</dc:creator>
  <cp:keywords>Presentation Overview</cp:keywords>
  <cp:lastModifiedBy>Hamish Mackie</cp:lastModifiedBy>
  <cp:revision>2</cp:revision>
  <cp:lastPrinted>2017-09-24T23:53:00Z</cp:lastPrinted>
  <dcterms:created xsi:type="dcterms:W3CDTF">2019-10-22T05:18:00Z</dcterms:created>
  <dcterms:modified xsi:type="dcterms:W3CDTF">2019-10-22T05:18:00Z</dcterms:modified>
</cp:coreProperties>
</file>