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B85" w:rsidRDefault="001003EC" w:rsidP="001003EC">
      <w:pPr>
        <w:ind w:left="45"/>
        <w:rPr>
          <w:rFonts w:ascii="Circular Std Book" w:eastAsia="Times New Roman" w:hAnsi="Circular Std Book" w:cs="Circular Std Book"/>
          <w:b/>
          <w:color w:val="B2D34A"/>
          <w:kern w:val="32"/>
          <w:sz w:val="36"/>
          <w:szCs w:val="36"/>
          <w:lang w:val="en-NZ" w:eastAsia="en-NZ"/>
        </w:rPr>
      </w:pPr>
      <w:proofErr w:type="spellStart"/>
      <w:r w:rsidRPr="001003EC">
        <w:rPr>
          <w:rFonts w:ascii="Circular Std Book" w:eastAsia="Times New Roman" w:hAnsi="Circular Std Book" w:cs="Circular Std Book"/>
          <w:b/>
          <w:color w:val="B2D34A"/>
          <w:kern w:val="32"/>
          <w:sz w:val="36"/>
          <w:szCs w:val="36"/>
          <w:lang w:val="en-NZ" w:eastAsia="en-NZ"/>
        </w:rPr>
        <w:t>Te</w:t>
      </w:r>
      <w:proofErr w:type="spellEnd"/>
      <w:r w:rsidRPr="001003EC">
        <w:rPr>
          <w:rFonts w:ascii="Circular Std Book" w:eastAsia="Times New Roman" w:hAnsi="Circular Std Book" w:cs="Circular Std Book"/>
          <w:b/>
          <w:color w:val="B2D34A"/>
          <w:kern w:val="32"/>
          <w:sz w:val="36"/>
          <w:szCs w:val="36"/>
          <w:lang w:val="en-NZ" w:eastAsia="en-NZ"/>
        </w:rPr>
        <w:t xml:space="preserve"> </w:t>
      </w:r>
      <w:proofErr w:type="spellStart"/>
      <w:r w:rsidRPr="001003EC">
        <w:rPr>
          <w:rFonts w:ascii="Circular Std Book" w:eastAsia="Times New Roman" w:hAnsi="Circular Std Book" w:cs="Circular Std Book"/>
          <w:b/>
          <w:color w:val="B2D34A"/>
          <w:kern w:val="32"/>
          <w:sz w:val="36"/>
          <w:szCs w:val="36"/>
          <w:lang w:val="en-NZ" w:eastAsia="en-NZ"/>
        </w:rPr>
        <w:t>Tupu</w:t>
      </w:r>
      <w:proofErr w:type="spellEnd"/>
      <w:r w:rsidRPr="001003EC">
        <w:rPr>
          <w:rFonts w:ascii="Circular Std Book" w:eastAsia="Times New Roman" w:hAnsi="Circular Std Book" w:cs="Circular Std Book"/>
          <w:b/>
          <w:color w:val="B2D34A"/>
          <w:kern w:val="32"/>
          <w:sz w:val="36"/>
          <w:szCs w:val="36"/>
          <w:lang w:val="en-NZ" w:eastAsia="en-NZ"/>
        </w:rPr>
        <w:t xml:space="preserve"> </w:t>
      </w:r>
      <w:proofErr w:type="spellStart"/>
      <w:r w:rsidRPr="001003EC">
        <w:rPr>
          <w:rFonts w:ascii="Circular Std Book" w:eastAsia="Times New Roman" w:hAnsi="Circular Std Book" w:cs="Circular Std Book"/>
          <w:b/>
          <w:color w:val="B2D34A"/>
          <w:kern w:val="32"/>
          <w:sz w:val="36"/>
          <w:szCs w:val="36"/>
          <w:lang w:val="en-NZ" w:eastAsia="en-NZ"/>
        </w:rPr>
        <w:t>Ngātahi</w:t>
      </w:r>
      <w:proofErr w:type="spellEnd"/>
      <w:r w:rsidRPr="001003EC">
        <w:rPr>
          <w:rFonts w:ascii="Circular Std Book" w:eastAsia="Times New Roman" w:hAnsi="Circular Std Book" w:cs="Circular Std Book"/>
          <w:b/>
          <w:color w:val="B2D34A"/>
          <w:kern w:val="32"/>
          <w:sz w:val="36"/>
          <w:szCs w:val="36"/>
          <w:lang w:val="en-NZ" w:eastAsia="en-NZ"/>
        </w:rPr>
        <w:t xml:space="preserve"> Design Framework</w:t>
      </w:r>
    </w:p>
    <w:p w:rsidR="001003EC" w:rsidRPr="00DA3906" w:rsidRDefault="001003EC" w:rsidP="001003EC">
      <w:pPr>
        <w:ind w:left="45"/>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1003EC" w:rsidRPr="00FF0ED5" w:rsidRDefault="001003EC" w:rsidP="001003EC">
            <w:pPr>
              <w:pStyle w:val="3BodyCoLOUR"/>
              <w:rPr>
                <w:rFonts w:asciiTheme="majorHAnsi" w:hAnsiTheme="majorHAnsi" w:cstheme="majorHAnsi"/>
                <w:color w:val="auto"/>
                <w:sz w:val="22"/>
                <w:szCs w:val="22"/>
              </w:rPr>
            </w:pPr>
            <w:r w:rsidRPr="00FF0ED5">
              <w:rPr>
                <w:rFonts w:asciiTheme="majorHAnsi" w:hAnsiTheme="majorHAnsi" w:cstheme="majorHAnsi"/>
                <w:color w:val="auto"/>
                <w:sz w:val="22"/>
                <w:szCs w:val="22"/>
              </w:rPr>
              <w:t xml:space="preserve">By 2050, Auckland is expected to grow by up to a million people. While much of this growth will occur within existing urban areas, around 15,000 hectares of greenfield land has been identified for </w:t>
            </w:r>
            <w:proofErr w:type="spellStart"/>
            <w:r w:rsidRPr="00FF0ED5">
              <w:rPr>
                <w:rFonts w:asciiTheme="majorHAnsi" w:hAnsiTheme="majorHAnsi" w:cstheme="majorHAnsi"/>
                <w:color w:val="auto"/>
                <w:sz w:val="22"/>
                <w:szCs w:val="22"/>
              </w:rPr>
              <w:t>urbanisation</w:t>
            </w:r>
            <w:proofErr w:type="spellEnd"/>
            <w:r w:rsidRPr="00FF0ED5">
              <w:rPr>
                <w:rFonts w:asciiTheme="majorHAnsi" w:hAnsiTheme="majorHAnsi" w:cstheme="majorHAnsi"/>
                <w:color w:val="auto"/>
                <w:sz w:val="22"/>
                <w:szCs w:val="22"/>
              </w:rPr>
              <w:t xml:space="preserve">. </w:t>
            </w:r>
          </w:p>
          <w:p w:rsidR="001003EC" w:rsidRPr="00FF0ED5" w:rsidRDefault="001003EC" w:rsidP="001003EC">
            <w:pPr>
              <w:rPr>
                <w:rFonts w:asciiTheme="majorHAnsi" w:hAnsiTheme="majorHAnsi" w:cstheme="majorHAnsi"/>
                <w:sz w:val="22"/>
                <w:szCs w:val="22"/>
              </w:rPr>
            </w:pPr>
            <w:r w:rsidRPr="00FF0ED5">
              <w:rPr>
                <w:rFonts w:asciiTheme="majorHAnsi" w:hAnsiTheme="majorHAnsi" w:cstheme="majorHAnsi"/>
                <w:sz w:val="22"/>
                <w:szCs w:val="22"/>
              </w:rPr>
              <w:t xml:space="preserve">The Supporting Growth Programme is a collaboration between Auckland Transport and the NZ Transport Agency to plan the transport networks for these future urban areas over the next 10 to 30 years. </w:t>
            </w:r>
          </w:p>
          <w:p w:rsidR="001003EC" w:rsidRDefault="001003EC" w:rsidP="001003EC">
            <w:pPr>
              <w:rPr>
                <w:rFonts w:asciiTheme="majorHAnsi" w:hAnsiTheme="majorHAnsi" w:cstheme="majorHAnsi"/>
                <w:sz w:val="22"/>
                <w:szCs w:val="22"/>
              </w:rPr>
            </w:pPr>
            <w:r w:rsidRPr="00FF0ED5">
              <w:rPr>
                <w:rFonts w:asciiTheme="majorHAnsi" w:hAnsiTheme="majorHAnsi" w:cstheme="majorHAnsi"/>
                <w:sz w:val="22"/>
                <w:szCs w:val="22"/>
              </w:rPr>
              <w:t>Intergenerational equity is a key challenge we face: how do we plan a transport network that accommodates all modes and considers current users as well as the users and modes of the future?</w:t>
            </w:r>
          </w:p>
          <w:p w:rsidR="001003EC" w:rsidRPr="00FF0ED5" w:rsidRDefault="001003EC" w:rsidP="001003EC">
            <w:pPr>
              <w:rPr>
                <w:rFonts w:asciiTheme="majorHAnsi" w:hAnsiTheme="majorHAnsi" w:cstheme="majorHAnsi"/>
                <w:sz w:val="22"/>
                <w:szCs w:val="22"/>
              </w:rPr>
            </w:pPr>
            <w:bookmarkStart w:id="0" w:name="_GoBack"/>
            <w:bookmarkEnd w:id="0"/>
          </w:p>
          <w:p w:rsidR="001003EC" w:rsidRPr="00FF0ED5" w:rsidRDefault="001003EC" w:rsidP="001003EC">
            <w:pPr>
              <w:rPr>
                <w:rFonts w:asciiTheme="majorHAnsi" w:hAnsiTheme="majorHAnsi" w:cstheme="majorHAnsi"/>
                <w:sz w:val="22"/>
                <w:szCs w:val="22"/>
              </w:rPr>
            </w:pPr>
            <w:r w:rsidRPr="00FF0ED5">
              <w:rPr>
                <w:rFonts w:asciiTheme="majorHAnsi" w:hAnsiTheme="majorHAnsi" w:cstheme="majorHAnsi"/>
                <w:sz w:val="22"/>
                <w:szCs w:val="22"/>
              </w:rPr>
              <w:t>We have developed an</w:t>
            </w:r>
            <w:r w:rsidRPr="00FF0ED5">
              <w:rPr>
                <w:rFonts w:asciiTheme="majorHAnsi" w:hAnsiTheme="majorHAnsi" w:cstheme="majorHAnsi"/>
                <w:sz w:val="22"/>
                <w:szCs w:val="22"/>
                <w:lang w:val="en-NZ"/>
              </w:rPr>
              <w:t xml:space="preserve"> innovative D</w:t>
            </w:r>
            <w:proofErr w:type="spellStart"/>
            <w:r w:rsidRPr="00FF0ED5">
              <w:rPr>
                <w:rFonts w:asciiTheme="majorHAnsi" w:hAnsiTheme="majorHAnsi" w:cstheme="majorHAnsi"/>
                <w:sz w:val="22"/>
                <w:szCs w:val="22"/>
              </w:rPr>
              <w:t>esign</w:t>
            </w:r>
            <w:proofErr w:type="spellEnd"/>
            <w:r w:rsidRPr="00FF0ED5">
              <w:rPr>
                <w:rFonts w:asciiTheme="majorHAnsi" w:hAnsiTheme="majorHAnsi" w:cstheme="majorHAnsi"/>
                <w:sz w:val="22"/>
                <w:szCs w:val="22"/>
              </w:rPr>
              <w:t xml:space="preserve"> </w:t>
            </w:r>
            <w:r w:rsidRPr="00FF0ED5">
              <w:rPr>
                <w:rFonts w:asciiTheme="majorHAnsi" w:hAnsiTheme="majorHAnsi" w:cstheme="majorHAnsi"/>
                <w:sz w:val="22"/>
                <w:szCs w:val="22"/>
                <w:lang w:val="en-NZ"/>
              </w:rPr>
              <w:t>F</w:t>
            </w:r>
            <w:proofErr w:type="spellStart"/>
            <w:r w:rsidRPr="00FF0ED5">
              <w:rPr>
                <w:rFonts w:asciiTheme="majorHAnsi" w:hAnsiTheme="majorHAnsi" w:cstheme="majorHAnsi"/>
                <w:sz w:val="22"/>
                <w:szCs w:val="22"/>
              </w:rPr>
              <w:t>ramework</w:t>
            </w:r>
            <w:proofErr w:type="spellEnd"/>
            <w:r w:rsidRPr="00FF0ED5">
              <w:rPr>
                <w:rFonts w:asciiTheme="majorHAnsi" w:hAnsiTheme="majorHAnsi" w:cstheme="majorHAnsi"/>
                <w:sz w:val="22"/>
                <w:szCs w:val="22"/>
              </w:rPr>
              <w:t xml:space="preserve"> to underpin this significant programme of work. It integrates the considerations of multiple programme partners and stakeholders around transport and land use integration in a way that </w:t>
            </w:r>
            <w:r w:rsidRPr="00FF0ED5">
              <w:rPr>
                <w:rFonts w:asciiTheme="majorHAnsi" w:hAnsiTheme="majorHAnsi" w:cstheme="majorHAnsi"/>
                <w:iCs/>
                <w:sz w:val="22"/>
                <w:szCs w:val="22"/>
              </w:rPr>
              <w:t xml:space="preserve">compliments </w:t>
            </w:r>
            <w:r w:rsidRPr="00FF0ED5">
              <w:rPr>
                <w:rFonts w:asciiTheme="majorHAnsi" w:hAnsiTheme="majorHAnsi" w:cstheme="majorHAnsi"/>
                <w:sz w:val="22"/>
                <w:szCs w:val="22"/>
              </w:rPr>
              <w:t>their existing policy, framework and strategic planning guidance</w:t>
            </w:r>
            <w:r>
              <w:rPr>
                <w:rFonts w:asciiTheme="majorHAnsi" w:hAnsiTheme="majorHAnsi" w:cstheme="majorHAnsi"/>
              </w:rPr>
              <w:t>.</w:t>
            </w:r>
          </w:p>
          <w:p w:rsidR="001003EC" w:rsidRPr="00FF0ED5" w:rsidRDefault="001003EC" w:rsidP="001003EC">
            <w:pPr>
              <w:pStyle w:val="3BodyCoLOUR"/>
              <w:rPr>
                <w:rFonts w:asciiTheme="majorHAnsi" w:hAnsiTheme="majorHAnsi" w:cstheme="majorHAnsi"/>
                <w:color w:val="auto"/>
                <w:sz w:val="22"/>
                <w:szCs w:val="22"/>
              </w:rPr>
            </w:pPr>
            <w:r w:rsidRPr="00FF0ED5">
              <w:rPr>
                <w:rFonts w:asciiTheme="majorHAnsi" w:hAnsiTheme="majorHAnsi" w:cstheme="majorHAnsi"/>
                <w:color w:val="auto"/>
                <w:sz w:val="22"/>
                <w:szCs w:val="22"/>
              </w:rPr>
              <w:t>It adopts a systems-based approach</w:t>
            </w:r>
            <w:r w:rsidRPr="00FF0ED5">
              <w:rPr>
                <w:rFonts w:asciiTheme="majorHAnsi" w:hAnsiTheme="majorHAnsi" w:cstheme="majorHAnsi"/>
                <w:sz w:val="22"/>
                <w:szCs w:val="22"/>
              </w:rPr>
              <w:t>; providing a</w:t>
            </w:r>
            <w:r w:rsidRPr="00FF0ED5">
              <w:rPr>
                <w:rFonts w:asciiTheme="majorHAnsi" w:hAnsiTheme="majorHAnsi" w:cstheme="majorHAnsi"/>
                <w:color w:val="auto"/>
                <w:sz w:val="22"/>
                <w:szCs w:val="22"/>
              </w:rPr>
              <w:t xml:space="preserve"> basis on which urban areas are </w:t>
            </w:r>
            <w:proofErr w:type="spellStart"/>
            <w:r w:rsidRPr="00FF0ED5">
              <w:rPr>
                <w:rFonts w:asciiTheme="majorHAnsi" w:hAnsiTheme="majorHAnsi" w:cstheme="majorHAnsi"/>
                <w:color w:val="auto"/>
                <w:sz w:val="22"/>
                <w:szCs w:val="22"/>
              </w:rPr>
              <w:t>organised</w:t>
            </w:r>
            <w:proofErr w:type="spellEnd"/>
            <w:r w:rsidRPr="00FF0ED5">
              <w:rPr>
                <w:rFonts w:asciiTheme="majorHAnsi" w:hAnsiTheme="majorHAnsi" w:cstheme="majorHAnsi"/>
                <w:color w:val="auto"/>
                <w:sz w:val="22"/>
                <w:szCs w:val="22"/>
              </w:rPr>
              <w:t xml:space="preserve"> and </w:t>
            </w:r>
            <w:proofErr w:type="gramStart"/>
            <w:r w:rsidRPr="00FF0ED5">
              <w:rPr>
                <w:rFonts w:asciiTheme="majorHAnsi" w:hAnsiTheme="majorHAnsi" w:cstheme="majorHAnsi"/>
                <w:color w:val="auto"/>
                <w:sz w:val="22"/>
                <w:szCs w:val="22"/>
              </w:rPr>
              <w:t>understood</w:t>
            </w:r>
            <w:r w:rsidRPr="00FF0ED5">
              <w:rPr>
                <w:rFonts w:asciiTheme="majorHAnsi" w:hAnsiTheme="majorHAnsi" w:cstheme="majorHAnsi"/>
                <w:color w:val="auto"/>
                <w:sz w:val="22"/>
                <w:szCs w:val="22"/>
                <w:lang w:val="en-NZ"/>
              </w:rPr>
              <w:t>, and</w:t>
            </w:r>
            <w:proofErr w:type="gramEnd"/>
            <w:r w:rsidRPr="00FF0ED5">
              <w:rPr>
                <w:rFonts w:asciiTheme="majorHAnsi" w:hAnsiTheme="majorHAnsi" w:cstheme="majorHAnsi"/>
                <w:color w:val="auto"/>
                <w:sz w:val="22"/>
                <w:szCs w:val="22"/>
                <w:lang w:val="en-NZ"/>
              </w:rPr>
              <w:t xml:space="preserve"> pulls these apart as a series of layers spanning history, the natural and cultural environment, and the built form. </w:t>
            </w:r>
            <w:r w:rsidRPr="00FF0ED5">
              <w:rPr>
                <w:rFonts w:asciiTheme="majorHAnsi" w:hAnsiTheme="majorHAnsi" w:cstheme="majorHAnsi"/>
                <w:color w:val="auto"/>
                <w:sz w:val="22"/>
                <w:szCs w:val="22"/>
              </w:rPr>
              <w:t>Guiding design principles are then confirmed for each of the system layers. In this way transport networks are not seen in isolation, but in how they contribute to the urban system holistically. Each of the principles describes what ‘good looks like’ and what to aim for in the design of transport networks that contribute positively to communities, environments and the socioeconomic vitality of Auckland, now and in the future.</w:t>
            </w:r>
          </w:p>
          <w:p w:rsidR="001003EC" w:rsidRPr="00FF0ED5" w:rsidRDefault="001003EC" w:rsidP="001003EC">
            <w:pPr>
              <w:rPr>
                <w:rFonts w:asciiTheme="majorHAnsi" w:hAnsiTheme="majorHAnsi" w:cstheme="majorHAnsi"/>
                <w:sz w:val="22"/>
                <w:szCs w:val="22"/>
                <w:lang w:val="en-US"/>
              </w:rPr>
            </w:pPr>
            <w:r w:rsidRPr="00FF0ED5">
              <w:rPr>
                <w:rFonts w:asciiTheme="majorHAnsi" w:hAnsiTheme="majorHAnsi" w:cstheme="majorHAnsi"/>
                <w:sz w:val="22"/>
                <w:szCs w:val="22"/>
                <w:lang w:val="en-US"/>
              </w:rPr>
              <w:t xml:space="preserve">The Design Framework is a unique and unifying document, unprecedented in New Zealand. It has demonstrated how we can act as a catalyst for alignment with our clients and, critically, is a valuable tool for use as an integrator between disciplines, between markets and across a range of other business case types. </w:t>
            </w:r>
          </w:p>
          <w:p w:rsidR="00657112" w:rsidRPr="00AC2F42" w:rsidRDefault="00657112" w:rsidP="00E73FE4">
            <w:pPr>
              <w:rPr>
                <w:rFonts w:ascii="Graphik Regular" w:hAnsi="Graphik Regular" w:cs="Circular Std Book"/>
                <w:sz w:val="22"/>
                <w:szCs w:val="22"/>
              </w:rPr>
            </w:pP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841" w:rsidRDefault="00F12841">
      <w:r>
        <w:separator/>
      </w:r>
    </w:p>
  </w:endnote>
  <w:endnote w:type="continuationSeparator" w:id="0">
    <w:p w:rsidR="00F12841" w:rsidRDefault="00F1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Light">
    <w:altName w:val="Tahoma"/>
    <w:panose1 w:val="02000506030000020004"/>
    <w:charset w:val="00"/>
    <w:family w:val="modern"/>
    <w:notTrueType/>
    <w:pitch w:val="variable"/>
    <w:sig w:usb0="20000287" w:usb1="00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6D2" w:rsidRDefault="009202AF" w:rsidP="009202AF">
    <w:pPr>
      <w:pStyle w:val="Footer"/>
      <w:ind w:left="-709"/>
      <w:jc w:val="right"/>
    </w:pPr>
    <w:r>
      <w:rPr>
        <w:noProof/>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841" w:rsidRDefault="00F12841">
      <w:r>
        <w:separator/>
      </w:r>
    </w:p>
  </w:footnote>
  <w:footnote w:type="continuationSeparator" w:id="0">
    <w:p w:rsidR="00F12841" w:rsidRDefault="00F12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FB" w:rsidRDefault="000036D2">
    <w:pPr>
      <w:pStyle w:val="Header"/>
    </w:pPr>
    <w:r>
      <w:rPr>
        <w:noProof/>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9.75pt;height:83.25pt" o:bullet="t">
        <v:imagedata r:id="rId1" o:title="Bullet Point"/>
      </v:shape>
    </w:pict>
  </w:numPicBullet>
  <w:numPicBullet w:numPicBulletId="1">
    <w:pict>
      <v:shape id="_x0000_i1037" type="#_x0000_t75" style="width:177pt;height:169.5pt" o:bullet="t">
        <v:imagedata r:id="rId2" o:title="Conf-Icon"/>
      </v:shape>
    </w:pict>
  </w:numPicBullet>
  <w:numPicBullet w:numPicBulletId="2">
    <w:pict>
      <v:shape id="_x0000_i1038" type="#_x0000_t75" style="width:151.5pt;height:144.75pt" o:bullet="t">
        <v:imagedata r:id="rId3" o:title="Conf-Icon"/>
      </v:shape>
    </w:pict>
  </w:numPicBullet>
  <w:numPicBullet w:numPicBulletId="3">
    <w:pict>
      <v:shape id="_x0000_i1039" type="#_x0000_t75" style="width:122.25pt;height:112.5pt" o:bullet="t">
        <v:imagedata r:id="rId4" o:title="Bullet Point"/>
      </v:shape>
    </w:pict>
  </w:numPicBullet>
  <w:numPicBullet w:numPicBulletId="4">
    <w:pict>
      <v:shape id="_x0000_i104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003EC"/>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D1F92"/>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B3847"/>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2841"/>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6C127"/>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customStyle="1" w:styleId="3BodyCoLOUR">
    <w:name w:val="3. Body (CoLOUR)"/>
    <w:basedOn w:val="Normal"/>
    <w:uiPriority w:val="99"/>
    <w:rsid w:val="001003EC"/>
    <w:pPr>
      <w:suppressAutoHyphens/>
      <w:autoSpaceDE w:val="0"/>
      <w:autoSpaceDN w:val="0"/>
      <w:adjustRightInd w:val="0"/>
      <w:spacing w:after="170" w:line="288" w:lineRule="auto"/>
      <w:textAlignment w:val="center"/>
    </w:pPr>
    <w:rPr>
      <w:rFonts w:ascii="Proxima Nova Light" w:eastAsiaTheme="minorHAnsi" w:hAnsi="Proxima Nova Light" w:cs="Proxima Nova Light"/>
      <w:color w:val="58585B"/>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72F72-DCEF-407E-B039-AB027561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1915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Elaine Chen</cp:lastModifiedBy>
  <cp:revision>2</cp:revision>
  <cp:lastPrinted>2017-09-24T23:53:00Z</cp:lastPrinted>
  <dcterms:created xsi:type="dcterms:W3CDTF">2019-08-30T05:47:00Z</dcterms:created>
  <dcterms:modified xsi:type="dcterms:W3CDTF">2019-08-30T05:47:00Z</dcterms:modified>
</cp:coreProperties>
</file>