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A83D" w14:textId="48AFC2DF" w:rsidR="001C5FFF" w:rsidRPr="00C11ED7" w:rsidRDefault="00693AE7">
      <w:pPr>
        <w:rPr>
          <w:rFonts w:ascii="Montserrat" w:hAnsi="Montserrat"/>
          <w:b/>
          <w:bCs/>
          <w:color w:val="0088C5"/>
          <w:sz w:val="28"/>
          <w:szCs w:val="28"/>
        </w:rPr>
      </w:pPr>
      <w:r>
        <w:rPr>
          <w:rFonts w:ascii="Montserrat" w:hAnsi="Montserrat"/>
          <w:b/>
          <w:bCs/>
          <w:color w:val="0088C5"/>
          <w:sz w:val="28"/>
          <w:szCs w:val="28"/>
        </w:rPr>
        <w:t>Smart Cities in Practice: Future-Proofing Resilience in Wellington</w:t>
      </w:r>
    </w:p>
    <w:p w14:paraId="61085F2A" w14:textId="77777777" w:rsidR="00693AE7" w:rsidRPr="00693AE7" w:rsidRDefault="00693AE7" w:rsidP="00693AE7">
      <w:pPr>
        <w:rPr>
          <w:rFonts w:ascii="Montserrat" w:hAnsi="Montserrat"/>
        </w:rPr>
      </w:pPr>
      <w:r w:rsidRPr="00693AE7">
        <w:rPr>
          <w:rFonts w:ascii="Montserrat" w:hAnsi="Montserrat"/>
        </w:rPr>
        <w:t>Aotearoa New Zealand faces mounting pressures: constrained budgets, ageing infrastructure, and rising community expectations. In this environment, Smart City thinking is more about future-proofing resilience by making smarter use of what we already have and is built in the day-to-day integration of assets, data, and operations.</w:t>
      </w:r>
    </w:p>
    <w:p w14:paraId="1937CA6B" w14:textId="77777777" w:rsidR="00693AE7" w:rsidRPr="00693AE7" w:rsidRDefault="00693AE7" w:rsidP="00693AE7">
      <w:pPr>
        <w:rPr>
          <w:rFonts w:ascii="Montserrat" w:hAnsi="Montserrat"/>
        </w:rPr>
      </w:pPr>
      <w:r w:rsidRPr="00693AE7">
        <w:rPr>
          <w:rFonts w:ascii="Montserrat" w:hAnsi="Montserrat"/>
        </w:rPr>
        <w:t>This presentation explores how Wellington is applying smart city principles to transport: using data, collaboration, and innovation to strengthen resilience and deliver better outcomes under budget constraints. At the heart of this work, the Traffic Operations team manages more than 92 intersections, 150+ electronic signs, and a growing network of controllers and transport mode sensors—shifting from reactive maintenance to integrated, future-focused operations.</w:t>
      </w:r>
    </w:p>
    <w:p w14:paraId="0C5D1D87" w14:textId="77777777" w:rsidR="00693AE7" w:rsidRPr="00693AE7" w:rsidRDefault="00693AE7" w:rsidP="00693AE7">
      <w:pPr>
        <w:rPr>
          <w:rFonts w:ascii="Montserrat" w:hAnsi="Montserrat"/>
        </w:rPr>
      </w:pPr>
      <w:r w:rsidRPr="00693AE7">
        <w:rPr>
          <w:rFonts w:ascii="Montserrat" w:hAnsi="Montserrat"/>
        </w:rPr>
        <w:t>Key initiatives include:</w:t>
      </w:r>
    </w:p>
    <w:p w14:paraId="6B426F6D"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 xml:space="preserve">Variable School Speed Limits at 78 schools, ensuring safer journeys to/from schools during peak school activity </w:t>
      </w:r>
      <w:proofErr w:type="gramStart"/>
      <w:r w:rsidRPr="00693AE7">
        <w:rPr>
          <w:rFonts w:ascii="Montserrat" w:hAnsi="Montserrat"/>
        </w:rPr>
        <w:t>times;</w:t>
      </w:r>
      <w:proofErr w:type="gramEnd"/>
    </w:p>
    <w:p w14:paraId="6EB988F4"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 xml:space="preserve">Viva City Sensors, providing real-time transport modes movement choice data to inform long-term planning and </w:t>
      </w:r>
      <w:proofErr w:type="gramStart"/>
      <w:r w:rsidRPr="00693AE7">
        <w:rPr>
          <w:rFonts w:ascii="Montserrat" w:hAnsi="Montserrat"/>
        </w:rPr>
        <w:t>intervention;</w:t>
      </w:r>
      <w:proofErr w:type="gramEnd"/>
    </w:p>
    <w:p w14:paraId="5EC7E942"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 xml:space="preserve">SWARCO signal controller trial, introducing next-generation safety, flow optimisation and future-proofing mechanism to better cater for transport modes demand </w:t>
      </w:r>
      <w:proofErr w:type="gramStart"/>
      <w:r w:rsidRPr="00693AE7">
        <w:rPr>
          <w:rFonts w:ascii="Montserrat" w:hAnsi="Montserrat"/>
        </w:rPr>
        <w:t>variability;</w:t>
      </w:r>
      <w:proofErr w:type="gramEnd"/>
    </w:p>
    <w:p w14:paraId="364C631E"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 xml:space="preserve">Super Week, compressing a year’s programme of maintenance works into five days through coordinated works with multiple private organisation and progressive corridor </w:t>
      </w:r>
      <w:proofErr w:type="gramStart"/>
      <w:r w:rsidRPr="00693AE7">
        <w:rPr>
          <w:rFonts w:ascii="Montserrat" w:hAnsi="Montserrat"/>
        </w:rPr>
        <w:t>closures;</w:t>
      </w:r>
      <w:proofErr w:type="gramEnd"/>
    </w:p>
    <w:p w14:paraId="2B833D15"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Golden Mile and Thorndon Quay upgrades, prioritising walking, cycling, and bus reliability with ITS system setups and monitoring.</w:t>
      </w:r>
    </w:p>
    <w:p w14:paraId="64CB1788" w14:textId="77777777" w:rsidR="00693AE7" w:rsidRPr="00693AE7" w:rsidRDefault="00693AE7" w:rsidP="00693AE7">
      <w:pPr>
        <w:pStyle w:val="ListParagraph"/>
        <w:numPr>
          <w:ilvl w:val="0"/>
          <w:numId w:val="1"/>
        </w:numPr>
        <w:spacing w:line="278" w:lineRule="auto"/>
        <w:rPr>
          <w:rFonts w:ascii="Montserrat" w:hAnsi="Montserrat"/>
        </w:rPr>
      </w:pPr>
      <w:r w:rsidRPr="00693AE7">
        <w:rPr>
          <w:rFonts w:ascii="Montserrat" w:hAnsi="Montserrat"/>
        </w:rPr>
        <w:t>IMD Smart City Index: adapting a measurable framework to baseline and track how "liveable" our city is through two balanced lenses: technological and infrastructure capabilities.</w:t>
      </w:r>
    </w:p>
    <w:p w14:paraId="5E52B27E" w14:textId="77777777" w:rsidR="00693AE7" w:rsidRPr="00693AE7" w:rsidRDefault="00693AE7" w:rsidP="00693AE7">
      <w:pPr>
        <w:rPr>
          <w:rFonts w:ascii="Montserrat" w:hAnsi="Montserrat"/>
        </w:rPr>
      </w:pPr>
      <w:r w:rsidRPr="00693AE7">
        <w:rPr>
          <w:rFonts w:ascii="Montserrat" w:hAnsi="Montserrat"/>
        </w:rPr>
        <w:t xml:space="preserve">These examples show how collaboration across projects with multiple agencies, integration of different systems, and smarter use of existing assets within a constrained budget can transform traffic operations from a backroom function into a strategic enabler of resilience for future planning. Delegates will gain </w:t>
      </w:r>
      <w:r w:rsidRPr="00693AE7">
        <w:rPr>
          <w:rFonts w:ascii="Montserrat" w:hAnsi="Montserrat"/>
        </w:rPr>
        <w:lastRenderedPageBreak/>
        <w:t xml:space="preserve">practical insights into why </w:t>
      </w:r>
      <w:proofErr w:type="gramStart"/>
      <w:r w:rsidRPr="00693AE7">
        <w:rPr>
          <w:rFonts w:ascii="Montserrat" w:hAnsi="Montserrat"/>
        </w:rPr>
        <w:t>future-proofing</w:t>
      </w:r>
      <w:proofErr w:type="gramEnd"/>
      <w:r w:rsidRPr="00693AE7">
        <w:rPr>
          <w:rFonts w:ascii="Montserrat" w:hAnsi="Montserrat"/>
        </w:rPr>
        <w:t xml:space="preserve"> starts with the assets we already manage today into the future state.</w:t>
      </w:r>
    </w:p>
    <w:p w14:paraId="636AD3AC" w14:textId="14A6E0BD" w:rsidR="00C11ED7" w:rsidRPr="00693AE7" w:rsidRDefault="00C11ED7" w:rsidP="00693AE7">
      <w:pPr>
        <w:rPr>
          <w:rFonts w:ascii="Montserrat" w:hAnsi="Montserrat"/>
        </w:rPr>
      </w:pPr>
    </w:p>
    <w:sectPr w:rsidR="00C11ED7" w:rsidRPr="00693A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tserrat">
    <w:panose1 w:val="000008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5DD1"/>
    <w:multiLevelType w:val="hybridMultilevel"/>
    <w:tmpl w:val="D2FC8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483E07"/>
    <w:rsid w:val="0053583D"/>
    <w:rsid w:val="00693AE7"/>
    <w:rsid w:val="00C11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Stacey Schembri</cp:lastModifiedBy>
  <cp:revision>2</cp:revision>
  <dcterms:created xsi:type="dcterms:W3CDTF">2025-09-26T03:46:00Z</dcterms:created>
  <dcterms:modified xsi:type="dcterms:W3CDTF">2025-09-26T03:46:00Z</dcterms:modified>
</cp:coreProperties>
</file>