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77882" w:rsidRPr="00177882" w:rsidRDefault="00177882" w:rsidP="00784FBA">
      <w:pPr>
        <w:pStyle w:val="DocumentTitle"/>
        <w:spacing w:after="0"/>
        <w:jc w:val="center"/>
        <w:rPr>
          <w:b/>
          <w:sz w:val="28"/>
          <w:szCs w:val="28"/>
        </w:rPr>
      </w:pPr>
      <w:r w:rsidRPr="00177882">
        <w:rPr>
          <w:b/>
          <w:sz w:val="28"/>
          <w:szCs w:val="28"/>
        </w:rPr>
        <w:fldChar w:fldCharType="begin"/>
      </w:r>
      <w:r w:rsidRPr="00177882">
        <w:rPr>
          <w:b/>
          <w:sz w:val="28"/>
          <w:szCs w:val="28"/>
        </w:rPr>
        <w:instrText xml:space="preserve"> DOCPROPERTY  "Document Title"  \* MERGEFORMAT </w:instrText>
      </w:r>
      <w:r w:rsidRPr="00177882">
        <w:rPr>
          <w:b/>
          <w:sz w:val="28"/>
          <w:szCs w:val="28"/>
        </w:rPr>
        <w:fldChar w:fldCharType="separate"/>
      </w:r>
      <w:r w:rsidRPr="00177882">
        <w:rPr>
          <w:b/>
          <w:sz w:val="28"/>
          <w:szCs w:val="28"/>
        </w:rPr>
        <w:t>Golden Mile Bus Priority Improvements</w:t>
      </w:r>
      <w:r w:rsidRPr="00177882">
        <w:rPr>
          <w:b/>
          <w:sz w:val="28"/>
          <w:szCs w:val="28"/>
        </w:rPr>
        <w:fldChar w:fldCharType="end"/>
      </w:r>
    </w:p>
    <w:p w:rsidR="00784FBA" w:rsidRDefault="00784FBA" w:rsidP="00784FBA">
      <w:pPr>
        <w:ind w:left="2880" w:hanging="2880"/>
        <w:rPr>
          <w:rFonts w:ascii="Arial" w:hAnsi="Arial" w:cs="Arial"/>
          <w:b/>
          <w:sz w:val="28"/>
          <w:szCs w:val="28"/>
        </w:rPr>
      </w:pPr>
    </w:p>
    <w:p w:rsidR="00784FBA" w:rsidRPr="004C58A7" w:rsidRDefault="00784FBA" w:rsidP="00784FBA">
      <w:pPr>
        <w:ind w:left="2880" w:hanging="2880"/>
        <w:rPr>
          <w:rFonts w:ascii="Arial" w:hAnsi="Arial" w:cs="Arial"/>
          <w:b/>
        </w:rPr>
      </w:pPr>
      <w:r w:rsidRPr="004C58A7">
        <w:rPr>
          <w:rFonts w:ascii="Arial" w:hAnsi="Arial" w:cs="Arial"/>
          <w:b/>
        </w:rPr>
        <w:t>Author/Presenter: -</w:t>
      </w:r>
    </w:p>
    <w:p w:rsidR="00784FBA" w:rsidRPr="004C58A7" w:rsidRDefault="00784FBA" w:rsidP="00784FBA">
      <w:pPr>
        <w:ind w:left="2880" w:hanging="2880"/>
        <w:rPr>
          <w:rFonts w:ascii="Arial" w:hAnsi="Arial" w:cs="Arial"/>
          <w:b/>
        </w:rPr>
      </w:pPr>
      <w:r w:rsidRPr="004C58A7">
        <w:rPr>
          <w:rFonts w:ascii="Arial" w:hAnsi="Arial" w:cs="Arial"/>
          <w:b/>
        </w:rPr>
        <w:t>James Hine</w:t>
      </w:r>
    </w:p>
    <w:p w:rsidR="00784FBA" w:rsidRPr="004C58A7" w:rsidRDefault="00784FBA" w:rsidP="00784FBA">
      <w:pPr>
        <w:ind w:left="2880" w:hanging="2880"/>
        <w:rPr>
          <w:rFonts w:ascii="Arial" w:hAnsi="Arial" w:cs="Arial"/>
          <w:b/>
        </w:rPr>
      </w:pPr>
      <w:r w:rsidRPr="004C58A7">
        <w:rPr>
          <w:rFonts w:ascii="Arial" w:hAnsi="Arial" w:cs="Arial"/>
          <w:b/>
        </w:rPr>
        <w:t>BEng (Hons)</w:t>
      </w:r>
    </w:p>
    <w:p w:rsidR="00784FBA" w:rsidRPr="004C58A7" w:rsidRDefault="00784FBA" w:rsidP="00784FBA">
      <w:pPr>
        <w:ind w:left="2880" w:hanging="2880"/>
        <w:rPr>
          <w:rFonts w:ascii="Arial" w:hAnsi="Arial" w:cs="Arial"/>
          <w:b/>
        </w:rPr>
      </w:pPr>
      <w:r w:rsidRPr="004C58A7">
        <w:rPr>
          <w:rFonts w:ascii="Arial" w:hAnsi="Arial" w:cs="Arial"/>
          <w:b/>
        </w:rPr>
        <w:t>MENgNZ</w:t>
      </w:r>
    </w:p>
    <w:p w:rsidR="00784FBA" w:rsidRPr="004C58A7" w:rsidRDefault="00784FBA" w:rsidP="00784FBA">
      <w:pPr>
        <w:ind w:left="2880" w:hanging="2880"/>
        <w:rPr>
          <w:rFonts w:ascii="Arial" w:hAnsi="Arial" w:cs="Arial"/>
          <w:b/>
        </w:rPr>
      </w:pPr>
      <w:r w:rsidRPr="004C58A7">
        <w:rPr>
          <w:rFonts w:ascii="Arial" w:hAnsi="Arial" w:cs="Arial"/>
          <w:b/>
        </w:rPr>
        <w:t>Senior ITS Engineer</w:t>
      </w:r>
    </w:p>
    <w:p w:rsidR="00784FBA" w:rsidRPr="004C58A7" w:rsidRDefault="00784FBA" w:rsidP="00784FBA">
      <w:pPr>
        <w:ind w:left="2880" w:hanging="2880"/>
        <w:rPr>
          <w:rFonts w:ascii="Arial" w:hAnsi="Arial" w:cs="Arial"/>
          <w:b/>
        </w:rPr>
      </w:pPr>
      <w:r w:rsidRPr="004C58A7">
        <w:rPr>
          <w:rFonts w:ascii="Arial" w:hAnsi="Arial" w:cs="Arial"/>
          <w:b/>
        </w:rPr>
        <w:t>Jacobs</w:t>
      </w:r>
    </w:p>
    <w:p w:rsidR="00784FBA" w:rsidRPr="004C58A7" w:rsidRDefault="00784FBA" w:rsidP="00784FBA">
      <w:pPr>
        <w:ind w:left="2880" w:hanging="2880"/>
        <w:rPr>
          <w:rFonts w:ascii="Arial" w:hAnsi="Arial" w:cs="Arial"/>
        </w:rPr>
      </w:pPr>
      <w:r w:rsidRPr="004C58A7">
        <w:rPr>
          <w:rFonts w:ascii="Arial" w:hAnsi="Arial" w:cs="Arial"/>
          <w:b/>
        </w:rPr>
        <w:t>Level 8, 1 Grey Street</w:t>
      </w:r>
    </w:p>
    <w:p w:rsidR="00784FBA" w:rsidRPr="004C58A7" w:rsidRDefault="00784FBA" w:rsidP="00784FBA">
      <w:pPr>
        <w:ind w:left="2880" w:hanging="2880"/>
        <w:rPr>
          <w:rFonts w:ascii="Arial" w:hAnsi="Arial" w:cs="Arial"/>
          <w:b/>
        </w:rPr>
      </w:pPr>
      <w:r w:rsidRPr="004C58A7">
        <w:rPr>
          <w:rFonts w:ascii="Arial" w:hAnsi="Arial" w:cs="Arial"/>
          <w:b/>
        </w:rPr>
        <w:t>Wellington 6011</w:t>
      </w:r>
    </w:p>
    <w:p w:rsidR="00784FBA" w:rsidRPr="004C58A7" w:rsidRDefault="00784FBA" w:rsidP="00784FBA">
      <w:pPr>
        <w:ind w:left="2880" w:hanging="2880"/>
        <w:rPr>
          <w:rFonts w:ascii="Arial" w:hAnsi="Arial" w:cs="Arial"/>
          <w:b/>
        </w:rPr>
      </w:pPr>
      <w:r w:rsidRPr="004C58A7">
        <w:rPr>
          <w:rFonts w:ascii="Arial" w:hAnsi="Arial" w:cs="Arial"/>
          <w:b/>
        </w:rPr>
        <w:t>James.hine@jacobs.com</w:t>
      </w:r>
    </w:p>
    <w:p w:rsidR="00784FBA" w:rsidRPr="004C58A7" w:rsidRDefault="00784FBA" w:rsidP="00784FBA">
      <w:pPr>
        <w:ind w:left="2880" w:hanging="2880"/>
        <w:rPr>
          <w:rFonts w:ascii="Arial" w:hAnsi="Arial" w:cs="Arial"/>
          <w:b/>
        </w:rPr>
      </w:pPr>
    </w:p>
    <w:p w:rsidR="00784FBA" w:rsidRPr="004C58A7" w:rsidRDefault="00784FBA" w:rsidP="00784FBA">
      <w:pPr>
        <w:ind w:left="2880" w:hanging="2880"/>
        <w:rPr>
          <w:rFonts w:ascii="Arial" w:hAnsi="Arial" w:cs="Arial"/>
          <w:b/>
        </w:rPr>
      </w:pPr>
      <w:r w:rsidRPr="004C58A7">
        <w:rPr>
          <w:rFonts w:ascii="Arial" w:hAnsi="Arial" w:cs="Arial"/>
          <w:b/>
        </w:rPr>
        <w:t>Author: -</w:t>
      </w:r>
    </w:p>
    <w:p w:rsidR="00784FBA" w:rsidRPr="004C58A7" w:rsidRDefault="00784FBA" w:rsidP="00784FBA">
      <w:pPr>
        <w:ind w:left="2880" w:hanging="2880"/>
        <w:rPr>
          <w:rFonts w:ascii="Arial" w:hAnsi="Arial" w:cs="Arial"/>
          <w:b/>
        </w:rPr>
      </w:pPr>
      <w:r w:rsidRPr="004C58A7">
        <w:rPr>
          <w:rFonts w:ascii="Arial" w:hAnsi="Arial" w:cs="Arial"/>
          <w:b/>
        </w:rPr>
        <w:t>Claire Ashburn</w:t>
      </w:r>
    </w:p>
    <w:p w:rsidR="00784FBA" w:rsidRPr="004C58A7" w:rsidRDefault="00784FBA" w:rsidP="00784FBA">
      <w:pPr>
        <w:ind w:left="2880" w:hanging="2880"/>
        <w:rPr>
          <w:rFonts w:ascii="Arial" w:hAnsi="Arial" w:cs="Arial"/>
          <w:b/>
        </w:rPr>
      </w:pPr>
      <w:r w:rsidRPr="004C58A7">
        <w:rPr>
          <w:rFonts w:ascii="Arial" w:hAnsi="Arial" w:cs="Arial"/>
          <w:b/>
        </w:rPr>
        <w:t>BEng (Hons)</w:t>
      </w:r>
    </w:p>
    <w:p w:rsidR="00784FBA" w:rsidRPr="004C58A7" w:rsidRDefault="00784FBA" w:rsidP="00784FBA">
      <w:pPr>
        <w:ind w:left="2880" w:hanging="2880"/>
        <w:rPr>
          <w:rFonts w:ascii="Arial" w:hAnsi="Arial" w:cs="Arial"/>
          <w:b/>
        </w:rPr>
      </w:pPr>
      <w:r w:rsidRPr="004C58A7">
        <w:rPr>
          <w:rFonts w:ascii="Arial" w:hAnsi="Arial" w:cs="Arial"/>
          <w:b/>
        </w:rPr>
        <w:t>MENgNZ</w:t>
      </w:r>
    </w:p>
    <w:p w:rsidR="00784FBA" w:rsidRPr="004C58A7" w:rsidRDefault="00784FBA" w:rsidP="00784FBA">
      <w:pPr>
        <w:ind w:left="2880" w:hanging="2880"/>
        <w:rPr>
          <w:rFonts w:ascii="Arial" w:hAnsi="Arial" w:cs="Arial"/>
          <w:b/>
        </w:rPr>
      </w:pPr>
      <w:r w:rsidRPr="004C58A7">
        <w:rPr>
          <w:rFonts w:ascii="Arial" w:hAnsi="Arial" w:cs="Arial"/>
          <w:b/>
        </w:rPr>
        <w:t>Transport Engineer</w:t>
      </w:r>
    </w:p>
    <w:p w:rsidR="00784FBA" w:rsidRPr="004C58A7" w:rsidRDefault="00784FBA" w:rsidP="00784FBA">
      <w:pPr>
        <w:ind w:left="2880" w:hanging="2880"/>
        <w:rPr>
          <w:rFonts w:ascii="Arial" w:hAnsi="Arial" w:cs="Arial"/>
          <w:b/>
        </w:rPr>
      </w:pPr>
      <w:r w:rsidRPr="004C58A7">
        <w:rPr>
          <w:rFonts w:ascii="Arial" w:hAnsi="Arial" w:cs="Arial"/>
          <w:b/>
        </w:rPr>
        <w:t>Jacobs</w:t>
      </w:r>
    </w:p>
    <w:p w:rsidR="00784FBA" w:rsidRPr="004C58A7" w:rsidRDefault="00784FBA" w:rsidP="00784FBA">
      <w:pPr>
        <w:ind w:left="2880" w:hanging="2880"/>
        <w:rPr>
          <w:rFonts w:ascii="Arial" w:hAnsi="Arial" w:cs="Arial"/>
        </w:rPr>
      </w:pPr>
      <w:r w:rsidRPr="004C58A7">
        <w:rPr>
          <w:rFonts w:ascii="Arial" w:hAnsi="Arial" w:cs="Arial"/>
          <w:b/>
        </w:rPr>
        <w:t>Level 8, 1 Grey Street</w:t>
      </w:r>
    </w:p>
    <w:p w:rsidR="00784FBA" w:rsidRPr="004C58A7" w:rsidRDefault="00784FBA" w:rsidP="00784FBA">
      <w:pPr>
        <w:ind w:left="2880" w:hanging="2880"/>
        <w:rPr>
          <w:rFonts w:ascii="Arial" w:hAnsi="Arial" w:cs="Arial"/>
          <w:b/>
        </w:rPr>
      </w:pPr>
      <w:r w:rsidRPr="004C58A7">
        <w:rPr>
          <w:rFonts w:ascii="Arial" w:hAnsi="Arial" w:cs="Arial"/>
          <w:b/>
        </w:rPr>
        <w:t>Wellington 6011</w:t>
      </w:r>
    </w:p>
    <w:p w:rsidR="00784FBA" w:rsidRPr="004C58A7" w:rsidRDefault="00784FBA" w:rsidP="00784FBA">
      <w:pPr>
        <w:ind w:left="2880" w:hanging="2880"/>
        <w:rPr>
          <w:rFonts w:ascii="Arial" w:hAnsi="Arial" w:cs="Arial"/>
          <w:b/>
        </w:rPr>
      </w:pPr>
      <w:r w:rsidRPr="004C58A7">
        <w:rPr>
          <w:rFonts w:ascii="Arial" w:hAnsi="Arial" w:cs="Arial"/>
          <w:b/>
        </w:rPr>
        <w:t>Claire.ashburn@jacobs.com</w:t>
      </w:r>
    </w:p>
    <w:p w:rsidR="00784FBA" w:rsidRDefault="00784FBA" w:rsidP="00177882">
      <w:pPr>
        <w:ind w:left="2880" w:hanging="2880"/>
        <w:rPr>
          <w:rFonts w:ascii="Arial" w:hAnsi="Arial" w:cs="Arial"/>
          <w:sz w:val="22"/>
          <w:szCs w:val="22"/>
        </w:rPr>
      </w:pPr>
    </w:p>
    <w:p w:rsidR="00E01EE1" w:rsidRPr="004C58A7" w:rsidRDefault="00E01EE1" w:rsidP="004C58A7">
      <w:pPr>
        <w:pStyle w:val="Heading1"/>
      </w:pPr>
      <w:bookmarkStart w:id="1" w:name="_Toc369528047"/>
      <w:bookmarkStart w:id="2" w:name="_Toc22638784"/>
      <w:r w:rsidRPr="004C58A7">
        <w:lastRenderedPageBreak/>
        <w:t>Introduction</w:t>
      </w:r>
      <w:bookmarkEnd w:id="1"/>
      <w:bookmarkEnd w:id="2"/>
    </w:p>
    <w:p w:rsidR="00E01EE1" w:rsidRPr="00E01EE1" w:rsidRDefault="00E01EE1" w:rsidP="00E01EE1">
      <w:pPr>
        <w:pStyle w:val="Para0"/>
        <w:rPr>
          <w:sz w:val="22"/>
          <w:szCs w:val="22"/>
        </w:rPr>
      </w:pPr>
      <w:r w:rsidRPr="00E01EE1">
        <w:rPr>
          <w:sz w:val="22"/>
          <w:szCs w:val="22"/>
        </w:rPr>
        <w:t xml:space="preserve">Jacobs was commissioned by Let’s Get Wellington Moving (LGWM) to identify and test bus priority along the ‘Golden Mile’ (Lambton Quay, Willis Street, Manners Street and Courtenay Place) related to signals operations. </w:t>
      </w:r>
    </w:p>
    <w:p w:rsidR="00E01EE1" w:rsidRPr="00E01EE1" w:rsidRDefault="00E01EE1" w:rsidP="00E01EE1">
      <w:pPr>
        <w:pStyle w:val="Para0"/>
        <w:rPr>
          <w:sz w:val="22"/>
          <w:szCs w:val="22"/>
        </w:rPr>
      </w:pPr>
      <w:r w:rsidRPr="00E01EE1">
        <w:rPr>
          <w:sz w:val="22"/>
          <w:szCs w:val="22"/>
        </w:rPr>
        <w:t>Jacobs has aligned the assessment with the objectives of LGWM, which are to:</w:t>
      </w:r>
    </w:p>
    <w:p w:rsidR="00E01EE1" w:rsidRPr="00E01EE1" w:rsidRDefault="00E01EE1" w:rsidP="00E01EE1">
      <w:pPr>
        <w:pStyle w:val="Para0bullet"/>
        <w:tabs>
          <w:tab w:val="clear" w:pos="360"/>
        </w:tabs>
        <w:ind w:left="425" w:hanging="425"/>
        <w:rPr>
          <w:sz w:val="22"/>
          <w:szCs w:val="22"/>
        </w:rPr>
      </w:pPr>
      <w:r w:rsidRPr="00E01EE1">
        <w:rPr>
          <w:sz w:val="22"/>
          <w:szCs w:val="22"/>
        </w:rPr>
        <w:t>Enhance the liveability of the central city;</w:t>
      </w:r>
    </w:p>
    <w:p w:rsidR="00E01EE1" w:rsidRPr="00E01EE1" w:rsidRDefault="00E01EE1" w:rsidP="00E01EE1">
      <w:pPr>
        <w:pStyle w:val="Para0bullet"/>
        <w:tabs>
          <w:tab w:val="clear" w:pos="360"/>
        </w:tabs>
        <w:ind w:left="425" w:hanging="425"/>
        <w:rPr>
          <w:sz w:val="22"/>
          <w:szCs w:val="22"/>
        </w:rPr>
      </w:pPr>
      <w:r w:rsidRPr="00E01EE1">
        <w:rPr>
          <w:sz w:val="22"/>
          <w:szCs w:val="22"/>
        </w:rPr>
        <w:t>Provide more efficient and reliable access for users;</w:t>
      </w:r>
    </w:p>
    <w:p w:rsidR="00E01EE1" w:rsidRPr="00E01EE1" w:rsidRDefault="00E01EE1" w:rsidP="00E01EE1">
      <w:pPr>
        <w:pStyle w:val="Para0bullet"/>
        <w:tabs>
          <w:tab w:val="clear" w:pos="360"/>
        </w:tabs>
        <w:ind w:left="425" w:hanging="425"/>
        <w:rPr>
          <w:sz w:val="22"/>
          <w:szCs w:val="22"/>
        </w:rPr>
      </w:pPr>
      <w:r w:rsidRPr="00E01EE1">
        <w:rPr>
          <w:sz w:val="22"/>
          <w:szCs w:val="22"/>
        </w:rPr>
        <w:t>Reduce reliance on private vehicle travel;</w:t>
      </w:r>
    </w:p>
    <w:p w:rsidR="00E01EE1" w:rsidRPr="00E01EE1" w:rsidRDefault="00E01EE1" w:rsidP="00E01EE1">
      <w:pPr>
        <w:pStyle w:val="Para0bullet"/>
        <w:tabs>
          <w:tab w:val="clear" w:pos="360"/>
        </w:tabs>
        <w:ind w:left="425" w:hanging="425"/>
        <w:rPr>
          <w:sz w:val="22"/>
          <w:szCs w:val="22"/>
        </w:rPr>
      </w:pPr>
      <w:r w:rsidRPr="00E01EE1">
        <w:rPr>
          <w:sz w:val="22"/>
          <w:szCs w:val="22"/>
        </w:rPr>
        <w:t>Improve safety for all users; and</w:t>
      </w:r>
    </w:p>
    <w:p w:rsidR="00E01EE1" w:rsidRPr="00E01EE1" w:rsidRDefault="00E01EE1" w:rsidP="00E01EE1">
      <w:pPr>
        <w:pStyle w:val="Para0bullet"/>
        <w:tabs>
          <w:tab w:val="clear" w:pos="360"/>
        </w:tabs>
        <w:ind w:left="425" w:hanging="425"/>
        <w:rPr>
          <w:sz w:val="22"/>
          <w:szCs w:val="22"/>
        </w:rPr>
      </w:pPr>
      <w:r w:rsidRPr="00E01EE1">
        <w:rPr>
          <w:sz w:val="22"/>
          <w:szCs w:val="22"/>
        </w:rPr>
        <w:t>Be adaptable to disruptions and future uncertainty.</w:t>
      </w:r>
    </w:p>
    <w:p w:rsidR="00E01EE1" w:rsidRPr="00E01EE1" w:rsidRDefault="00E01EE1" w:rsidP="00E01EE1">
      <w:pPr>
        <w:pStyle w:val="Para0"/>
        <w:rPr>
          <w:sz w:val="22"/>
          <w:szCs w:val="22"/>
        </w:rPr>
      </w:pPr>
      <w:r w:rsidRPr="00E01EE1">
        <w:rPr>
          <w:sz w:val="22"/>
          <w:szCs w:val="22"/>
        </w:rPr>
        <w:t xml:space="preserve">The objectives of this project are to: </w:t>
      </w:r>
    </w:p>
    <w:p w:rsidR="00E01EE1" w:rsidRPr="00E01EE1" w:rsidRDefault="00E01EE1" w:rsidP="00E01EE1">
      <w:pPr>
        <w:pStyle w:val="Para0bullet"/>
        <w:tabs>
          <w:tab w:val="clear" w:pos="360"/>
        </w:tabs>
        <w:ind w:left="425" w:hanging="425"/>
        <w:rPr>
          <w:sz w:val="22"/>
          <w:szCs w:val="22"/>
        </w:rPr>
      </w:pPr>
      <w:r w:rsidRPr="00E01EE1">
        <w:rPr>
          <w:sz w:val="22"/>
          <w:szCs w:val="22"/>
        </w:rPr>
        <w:t>Improve bus travel times and reliability along the Golden Mile;</w:t>
      </w:r>
    </w:p>
    <w:p w:rsidR="00E01EE1" w:rsidRPr="00E01EE1" w:rsidRDefault="00E01EE1" w:rsidP="00E01EE1">
      <w:pPr>
        <w:pStyle w:val="Para0bullet"/>
        <w:tabs>
          <w:tab w:val="clear" w:pos="360"/>
        </w:tabs>
        <w:ind w:left="425" w:hanging="425"/>
        <w:rPr>
          <w:sz w:val="22"/>
          <w:szCs w:val="22"/>
        </w:rPr>
      </w:pPr>
      <w:r w:rsidRPr="00E01EE1">
        <w:rPr>
          <w:sz w:val="22"/>
          <w:szCs w:val="22"/>
        </w:rPr>
        <w:t>Improve pedestrian amenity; and</w:t>
      </w:r>
    </w:p>
    <w:p w:rsidR="00E01EE1" w:rsidRPr="00E01EE1" w:rsidRDefault="00E01EE1" w:rsidP="00E01EE1">
      <w:pPr>
        <w:pStyle w:val="Para0bullet"/>
        <w:tabs>
          <w:tab w:val="clear" w:pos="360"/>
        </w:tabs>
        <w:ind w:left="425" w:hanging="425"/>
        <w:rPr>
          <w:sz w:val="22"/>
          <w:szCs w:val="22"/>
        </w:rPr>
      </w:pPr>
      <w:r w:rsidRPr="00E01EE1">
        <w:rPr>
          <w:sz w:val="22"/>
          <w:szCs w:val="22"/>
        </w:rPr>
        <w:t xml:space="preserve">Maintain LOS for general road users. </w:t>
      </w:r>
    </w:p>
    <w:p w:rsidR="00E01EE1" w:rsidRPr="00E01EE1" w:rsidRDefault="00E01EE1" w:rsidP="00E01EE1">
      <w:pPr>
        <w:pStyle w:val="Para0"/>
        <w:rPr>
          <w:sz w:val="22"/>
          <w:szCs w:val="22"/>
        </w:rPr>
      </w:pPr>
      <w:r w:rsidRPr="00E01EE1">
        <w:rPr>
          <w:sz w:val="22"/>
          <w:szCs w:val="22"/>
        </w:rPr>
        <w:t xml:space="preserve">These objectives align with most of the LGWM objectives as they improve efficiency, reliability and safety. These improvements are likely to lead to mode share shift which will reduce reliance on private vehicles, however assessing mode share was outside the scope of this report. The priority measures applicable to the Golden Mile which have been identified and tested include: </w:t>
      </w:r>
    </w:p>
    <w:p w:rsidR="00E01EE1" w:rsidRPr="00E01EE1" w:rsidRDefault="00E01EE1" w:rsidP="00E01EE1">
      <w:pPr>
        <w:pStyle w:val="Para0bullet"/>
        <w:tabs>
          <w:tab w:val="clear" w:pos="360"/>
        </w:tabs>
        <w:ind w:left="425" w:hanging="425"/>
        <w:rPr>
          <w:sz w:val="22"/>
          <w:szCs w:val="22"/>
        </w:rPr>
      </w:pPr>
      <w:r w:rsidRPr="00E01EE1">
        <w:rPr>
          <w:sz w:val="22"/>
          <w:szCs w:val="22"/>
        </w:rPr>
        <w:t>Signal timing changes;</w:t>
      </w:r>
    </w:p>
    <w:p w:rsidR="00E01EE1" w:rsidRPr="00E01EE1" w:rsidRDefault="00E01EE1" w:rsidP="00E01EE1">
      <w:pPr>
        <w:pStyle w:val="Para0bullet"/>
        <w:tabs>
          <w:tab w:val="clear" w:pos="360"/>
        </w:tabs>
        <w:ind w:left="425" w:hanging="425"/>
        <w:rPr>
          <w:sz w:val="22"/>
          <w:szCs w:val="22"/>
        </w:rPr>
      </w:pPr>
      <w:r w:rsidRPr="00E01EE1">
        <w:rPr>
          <w:sz w:val="22"/>
          <w:szCs w:val="22"/>
        </w:rPr>
        <w:t>Bus (B) phase Signals;</w:t>
      </w:r>
    </w:p>
    <w:p w:rsidR="00E01EE1" w:rsidRPr="00E01EE1" w:rsidRDefault="00E01EE1" w:rsidP="00E01EE1">
      <w:pPr>
        <w:pStyle w:val="Para0bullet"/>
        <w:tabs>
          <w:tab w:val="clear" w:pos="360"/>
        </w:tabs>
        <w:ind w:left="425" w:hanging="425"/>
        <w:rPr>
          <w:sz w:val="22"/>
          <w:szCs w:val="22"/>
        </w:rPr>
      </w:pPr>
      <w:r w:rsidRPr="00E01EE1">
        <w:rPr>
          <w:sz w:val="22"/>
          <w:szCs w:val="22"/>
        </w:rPr>
        <w:t>Advanced detection; and</w:t>
      </w:r>
    </w:p>
    <w:p w:rsidR="00E01EE1" w:rsidRPr="00E01EE1" w:rsidRDefault="00E01EE1" w:rsidP="00E01EE1">
      <w:pPr>
        <w:pStyle w:val="Para0bullet"/>
        <w:tabs>
          <w:tab w:val="clear" w:pos="360"/>
        </w:tabs>
        <w:ind w:left="425" w:hanging="425"/>
        <w:rPr>
          <w:sz w:val="22"/>
          <w:szCs w:val="22"/>
        </w:rPr>
      </w:pPr>
      <w:r w:rsidRPr="00E01EE1">
        <w:rPr>
          <w:sz w:val="22"/>
          <w:szCs w:val="22"/>
        </w:rPr>
        <w:t>Pedestrian countdown timers.</w:t>
      </w:r>
    </w:p>
    <w:p w:rsidR="00E01EE1" w:rsidRPr="00E01EE1" w:rsidRDefault="00E01EE1" w:rsidP="00E01EE1">
      <w:pPr>
        <w:pStyle w:val="Para0"/>
        <w:rPr>
          <w:sz w:val="22"/>
          <w:szCs w:val="22"/>
        </w:rPr>
      </w:pPr>
      <w:r w:rsidRPr="00E01EE1">
        <w:rPr>
          <w:sz w:val="22"/>
          <w:szCs w:val="22"/>
        </w:rPr>
        <w:t xml:space="preserve">When providing benefits for buses, it is important that pedestrian amenity is at least maintained, if not also improved. This is because bus trips generate pedestrian trips and the entire journey should be attractive to users. In assessing bus priority along the Golden Mile, minimising the impacts on the Levels of Service (LoS) for the general traffic interacting with the Golden Mile was also considered. </w:t>
      </w:r>
    </w:p>
    <w:p w:rsidR="00E01EE1" w:rsidRPr="00F31B67" w:rsidRDefault="00E01EE1" w:rsidP="004C58A7">
      <w:pPr>
        <w:pStyle w:val="Heading1"/>
      </w:pPr>
      <w:bookmarkStart w:id="3" w:name="_Toc22638786"/>
      <w:r w:rsidRPr="00F31B67">
        <w:lastRenderedPageBreak/>
        <w:t>Improved Signal Phasing and Cycle Times</w:t>
      </w:r>
      <w:bookmarkEnd w:id="3"/>
    </w:p>
    <w:p w:rsidR="00E01EE1" w:rsidRPr="00E01EE1" w:rsidRDefault="00E01EE1" w:rsidP="00E01EE1">
      <w:pPr>
        <w:pStyle w:val="Para0"/>
        <w:rPr>
          <w:sz w:val="22"/>
          <w:szCs w:val="22"/>
        </w:rPr>
      </w:pPr>
      <w:bookmarkStart w:id="4" w:name="_Hlk21943186"/>
      <w:r w:rsidRPr="00E01EE1">
        <w:rPr>
          <w:sz w:val="22"/>
          <w:szCs w:val="22"/>
        </w:rPr>
        <w:t xml:space="preserve">Linsig, a traffic modelling software package, was used to assess the performance of the signalised intersections along the ‘Golden Mile’. A base 2019 model for each of the AM peak (8:00-9:00), inter peak (12:00-13:00) and PM peak (16:30-17:30) with existing traffic flows and maximum lane flow values was developed in conjunction with the signals team at Wellington City Council. A calibration and validation exercise of the model development has not been undertaken, however these models were agreed based on checking the queue lengths, degrees of saturation on each approach and the average delays from the base model results by the signals team at WCC. </w:t>
      </w:r>
    </w:p>
    <w:p w:rsidR="00E01EE1" w:rsidRPr="00E01EE1" w:rsidRDefault="00E01EE1" w:rsidP="00E01EE1">
      <w:pPr>
        <w:pStyle w:val="Para0"/>
        <w:rPr>
          <w:sz w:val="22"/>
          <w:szCs w:val="22"/>
        </w:rPr>
      </w:pPr>
      <w:r w:rsidRPr="00E01EE1">
        <w:rPr>
          <w:sz w:val="22"/>
          <w:szCs w:val="22"/>
        </w:rPr>
        <w:t>Once the base model was agreed, several different scenarios were developed for testing based on the above objectives. The existing phasing structure, pedestrian clearance times and operation of each intersection were retained with all timing adjustments being applied to the phase times.</w:t>
      </w:r>
    </w:p>
    <w:p w:rsidR="00E01EE1" w:rsidRPr="00E01EE1" w:rsidRDefault="00E01EE1" w:rsidP="00E01EE1">
      <w:pPr>
        <w:pStyle w:val="Para0"/>
        <w:rPr>
          <w:sz w:val="22"/>
          <w:szCs w:val="22"/>
        </w:rPr>
      </w:pPr>
      <w:r w:rsidRPr="00E01EE1">
        <w:rPr>
          <w:sz w:val="22"/>
          <w:szCs w:val="22"/>
        </w:rPr>
        <w:t>The project objectives which the scenarios were based on are:</w:t>
      </w:r>
    </w:p>
    <w:p w:rsidR="00E01EE1" w:rsidRPr="00E01EE1" w:rsidRDefault="00E01EE1" w:rsidP="00E01EE1">
      <w:pPr>
        <w:pStyle w:val="Para0bullet"/>
        <w:tabs>
          <w:tab w:val="clear" w:pos="360"/>
        </w:tabs>
        <w:ind w:left="425" w:hanging="425"/>
        <w:rPr>
          <w:sz w:val="22"/>
          <w:szCs w:val="22"/>
        </w:rPr>
      </w:pPr>
      <w:r w:rsidRPr="00E01EE1">
        <w:rPr>
          <w:sz w:val="22"/>
          <w:szCs w:val="22"/>
        </w:rPr>
        <w:t>Improved bus travel times and reliability along the Golden Mile;</w:t>
      </w:r>
    </w:p>
    <w:p w:rsidR="00E01EE1" w:rsidRPr="00E01EE1" w:rsidRDefault="00E01EE1" w:rsidP="00E01EE1">
      <w:pPr>
        <w:pStyle w:val="Para0bullet"/>
        <w:tabs>
          <w:tab w:val="clear" w:pos="360"/>
        </w:tabs>
        <w:ind w:left="425" w:hanging="425"/>
        <w:rPr>
          <w:sz w:val="22"/>
          <w:szCs w:val="22"/>
        </w:rPr>
      </w:pPr>
      <w:r w:rsidRPr="00E01EE1">
        <w:rPr>
          <w:sz w:val="22"/>
          <w:szCs w:val="22"/>
        </w:rPr>
        <w:t>Improved pedestrian amenity; and</w:t>
      </w:r>
    </w:p>
    <w:p w:rsidR="00E01EE1" w:rsidRPr="00E01EE1" w:rsidRDefault="00E01EE1" w:rsidP="00E01EE1">
      <w:pPr>
        <w:pStyle w:val="Para0bullet"/>
        <w:tabs>
          <w:tab w:val="clear" w:pos="360"/>
        </w:tabs>
        <w:ind w:left="425" w:hanging="425"/>
        <w:rPr>
          <w:sz w:val="22"/>
          <w:szCs w:val="22"/>
        </w:rPr>
      </w:pPr>
      <w:r w:rsidRPr="00E01EE1">
        <w:rPr>
          <w:sz w:val="22"/>
          <w:szCs w:val="22"/>
        </w:rPr>
        <w:t xml:space="preserve">Maintaining LOS for general road users. </w:t>
      </w:r>
    </w:p>
    <w:bookmarkEnd w:id="4"/>
    <w:p w:rsidR="00E01EE1" w:rsidRPr="00E01EE1" w:rsidRDefault="00E01EE1" w:rsidP="00E01EE1">
      <w:pPr>
        <w:pStyle w:val="Para0"/>
        <w:rPr>
          <w:sz w:val="22"/>
          <w:szCs w:val="22"/>
        </w:rPr>
      </w:pPr>
      <w:r w:rsidRPr="00E01EE1">
        <w:rPr>
          <w:sz w:val="22"/>
          <w:szCs w:val="22"/>
        </w:rPr>
        <w:t>The scenarios were:</w:t>
      </w:r>
    </w:p>
    <w:p w:rsidR="00E01EE1" w:rsidRPr="00E01EE1" w:rsidRDefault="00E01EE1" w:rsidP="00E01EE1">
      <w:pPr>
        <w:pStyle w:val="Para0bullet"/>
        <w:tabs>
          <w:tab w:val="clear" w:pos="360"/>
        </w:tabs>
        <w:ind w:left="425" w:hanging="425"/>
        <w:rPr>
          <w:sz w:val="22"/>
          <w:szCs w:val="22"/>
        </w:rPr>
      </w:pPr>
      <w:r w:rsidRPr="00E01EE1">
        <w:rPr>
          <w:sz w:val="22"/>
          <w:szCs w:val="22"/>
        </w:rPr>
        <w:t>Scenario 1 – reduce the green time of minor roads until at least one lane has a degree of saturation of 80%, while maintaining the cycle time – additional green time goes to bus phase (improved travel time and maintaining existing LOS for other users)</w:t>
      </w:r>
    </w:p>
    <w:p w:rsidR="00E01EE1" w:rsidRPr="00E01EE1" w:rsidRDefault="00E01EE1" w:rsidP="00E01EE1">
      <w:pPr>
        <w:pStyle w:val="Para0bullet"/>
        <w:tabs>
          <w:tab w:val="clear" w:pos="360"/>
        </w:tabs>
        <w:ind w:left="425" w:hanging="425"/>
        <w:rPr>
          <w:sz w:val="22"/>
          <w:szCs w:val="22"/>
        </w:rPr>
      </w:pPr>
      <w:r w:rsidRPr="00E01EE1">
        <w:rPr>
          <w:sz w:val="22"/>
          <w:szCs w:val="22"/>
        </w:rPr>
        <w:t>Scenario 1A – reduce the green time of minor roads until at least one lane has a degree of saturation of 80%, reduce green time of bus phases to maintain existing degree of saturation for these lanes – cycle time reduced (improved travel time, improved pedestrian amenity and maintaining LOS for other users)</w:t>
      </w:r>
    </w:p>
    <w:p w:rsidR="00E01EE1" w:rsidRPr="00E01EE1" w:rsidRDefault="00E01EE1" w:rsidP="00E01EE1">
      <w:pPr>
        <w:pStyle w:val="Para0bullet"/>
        <w:tabs>
          <w:tab w:val="clear" w:pos="360"/>
        </w:tabs>
        <w:ind w:left="425" w:hanging="425"/>
        <w:rPr>
          <w:sz w:val="22"/>
          <w:szCs w:val="22"/>
        </w:rPr>
      </w:pPr>
      <w:r w:rsidRPr="00E01EE1">
        <w:rPr>
          <w:sz w:val="22"/>
          <w:szCs w:val="22"/>
        </w:rPr>
        <w:t xml:space="preserve">Scenario 2 – reduce phases which include pedestrians to have a green time equal to the pedestrian clearance time, leave any phases with no pedestrians at existing green time – cycle time reduced. (improved pedestrian amenity) </w:t>
      </w:r>
      <w:r w:rsidRPr="00E01EE1">
        <w:rPr>
          <w:b/>
          <w:sz w:val="22"/>
          <w:szCs w:val="22"/>
        </w:rPr>
        <w:t>This scenario was discounted as scenario 2A was determined to be more applicable</w:t>
      </w:r>
      <w:r w:rsidRPr="00E01EE1">
        <w:rPr>
          <w:sz w:val="22"/>
          <w:szCs w:val="22"/>
        </w:rPr>
        <w:t xml:space="preserve">. </w:t>
      </w:r>
    </w:p>
    <w:p w:rsidR="00E01EE1" w:rsidRPr="00E01EE1" w:rsidRDefault="00E01EE1" w:rsidP="00E01EE1">
      <w:pPr>
        <w:pStyle w:val="Para0bullet"/>
        <w:tabs>
          <w:tab w:val="clear" w:pos="360"/>
        </w:tabs>
        <w:ind w:left="425" w:hanging="425"/>
        <w:rPr>
          <w:sz w:val="22"/>
          <w:szCs w:val="22"/>
        </w:rPr>
      </w:pPr>
      <w:r w:rsidRPr="00E01EE1">
        <w:rPr>
          <w:sz w:val="22"/>
          <w:szCs w:val="22"/>
        </w:rPr>
        <w:t>Scenario 2A – reduce phases which include pedestrians to have a green time equal to the pedestrian clearance, unless phase has buses, in which case leave at existing green time, leave any phases with no pedestrians at existing green time – cycle time reduced (improved travel time and improved pedestrian amenity)</w:t>
      </w:r>
    </w:p>
    <w:p w:rsidR="00E01EE1" w:rsidRPr="00E01EE1" w:rsidRDefault="00E01EE1" w:rsidP="00E01EE1">
      <w:pPr>
        <w:pStyle w:val="Para0bullet"/>
        <w:tabs>
          <w:tab w:val="clear" w:pos="360"/>
        </w:tabs>
        <w:ind w:left="425" w:hanging="425"/>
        <w:rPr>
          <w:sz w:val="22"/>
          <w:szCs w:val="22"/>
        </w:rPr>
      </w:pPr>
      <w:r w:rsidRPr="00E01EE1">
        <w:rPr>
          <w:sz w:val="22"/>
          <w:szCs w:val="22"/>
        </w:rPr>
        <w:t>Scenario 3 – half cycling of phases that don’t have buses running in them (improved travel time)</w:t>
      </w:r>
    </w:p>
    <w:p w:rsidR="00E01EE1" w:rsidRPr="00E01EE1" w:rsidRDefault="00E01EE1" w:rsidP="00E01EE1">
      <w:pPr>
        <w:pStyle w:val="Para0bullet"/>
        <w:tabs>
          <w:tab w:val="clear" w:pos="360"/>
        </w:tabs>
        <w:ind w:left="425" w:hanging="425"/>
        <w:rPr>
          <w:sz w:val="22"/>
          <w:szCs w:val="22"/>
        </w:rPr>
      </w:pPr>
      <w:r w:rsidRPr="00E01EE1">
        <w:rPr>
          <w:sz w:val="22"/>
          <w:szCs w:val="22"/>
        </w:rPr>
        <w:t xml:space="preserve">Scenario 4 – reducing min green time. (improved travel time) </w:t>
      </w:r>
      <w:r w:rsidRPr="00E01EE1">
        <w:rPr>
          <w:b/>
          <w:sz w:val="22"/>
          <w:szCs w:val="22"/>
        </w:rPr>
        <w:t>This scenario was discounted as reducing the min green time would likely lead to an increased all red time for safety reasons, cancelling out any benefits.</w:t>
      </w:r>
    </w:p>
    <w:p w:rsidR="00E01EE1" w:rsidRPr="00E01EE1" w:rsidRDefault="00E01EE1" w:rsidP="00E01EE1">
      <w:pPr>
        <w:pStyle w:val="Para0bullet"/>
        <w:tabs>
          <w:tab w:val="clear" w:pos="360"/>
        </w:tabs>
        <w:ind w:left="425" w:hanging="425"/>
        <w:rPr>
          <w:sz w:val="22"/>
          <w:szCs w:val="22"/>
        </w:rPr>
      </w:pPr>
      <w:r w:rsidRPr="00E01EE1">
        <w:rPr>
          <w:sz w:val="22"/>
          <w:szCs w:val="22"/>
        </w:rPr>
        <w:t xml:space="preserve">Scenario 5 – maintaining cycle length, allowing Linsig to optimise the phase times across all intersections. (improved travel time) </w:t>
      </w:r>
      <w:r w:rsidRPr="00E01EE1">
        <w:rPr>
          <w:b/>
          <w:sz w:val="22"/>
          <w:szCs w:val="22"/>
        </w:rPr>
        <w:t>This scenario did not return any better results than current operations so has not been reported on.</w:t>
      </w:r>
    </w:p>
    <w:p w:rsidR="00E01EE1" w:rsidRPr="00E01EE1" w:rsidRDefault="00E01EE1" w:rsidP="00E01EE1">
      <w:pPr>
        <w:pStyle w:val="Para0"/>
        <w:rPr>
          <w:sz w:val="22"/>
          <w:szCs w:val="22"/>
        </w:rPr>
      </w:pPr>
      <w:r w:rsidRPr="00E01EE1">
        <w:rPr>
          <w:sz w:val="22"/>
          <w:szCs w:val="22"/>
        </w:rPr>
        <w:t>The Key Performance Indicators (KPIs) used to assess each scenario were: -</w:t>
      </w:r>
    </w:p>
    <w:p w:rsidR="00E01EE1" w:rsidRPr="00E01EE1" w:rsidRDefault="00E01EE1" w:rsidP="00E01EE1">
      <w:pPr>
        <w:pStyle w:val="Para0bullet"/>
        <w:tabs>
          <w:tab w:val="clear" w:pos="360"/>
        </w:tabs>
        <w:ind w:left="425" w:hanging="425"/>
        <w:rPr>
          <w:sz w:val="22"/>
          <w:szCs w:val="22"/>
        </w:rPr>
      </w:pPr>
      <w:r w:rsidRPr="00E01EE1">
        <w:rPr>
          <w:sz w:val="22"/>
          <w:szCs w:val="22"/>
        </w:rPr>
        <w:t>The cycle time of the intersection;</w:t>
      </w:r>
    </w:p>
    <w:p w:rsidR="00E01EE1" w:rsidRPr="00E01EE1" w:rsidRDefault="00E01EE1" w:rsidP="00E01EE1">
      <w:pPr>
        <w:pStyle w:val="Para0bullet"/>
        <w:tabs>
          <w:tab w:val="clear" w:pos="360"/>
        </w:tabs>
        <w:ind w:left="425" w:hanging="425"/>
        <w:rPr>
          <w:sz w:val="22"/>
          <w:szCs w:val="22"/>
        </w:rPr>
      </w:pPr>
      <w:r w:rsidRPr="00E01EE1">
        <w:rPr>
          <w:sz w:val="22"/>
          <w:szCs w:val="22"/>
        </w:rPr>
        <w:t>The green phase times on each approach; and</w:t>
      </w:r>
    </w:p>
    <w:p w:rsidR="00E01EE1" w:rsidRPr="00E01EE1" w:rsidRDefault="00E01EE1" w:rsidP="00E01EE1">
      <w:pPr>
        <w:pStyle w:val="Para0bullet"/>
        <w:tabs>
          <w:tab w:val="clear" w:pos="360"/>
        </w:tabs>
        <w:ind w:left="425" w:hanging="425"/>
        <w:rPr>
          <w:sz w:val="22"/>
          <w:szCs w:val="22"/>
        </w:rPr>
      </w:pPr>
      <w:r w:rsidRPr="00E01EE1">
        <w:rPr>
          <w:sz w:val="22"/>
          <w:szCs w:val="22"/>
        </w:rPr>
        <w:t xml:space="preserve">Degree of saturation on the key intersection approaches. </w:t>
      </w:r>
    </w:p>
    <w:p w:rsidR="00E01EE1" w:rsidRPr="00E01EE1" w:rsidRDefault="00E01EE1" w:rsidP="00E01EE1">
      <w:pPr>
        <w:pStyle w:val="Para0"/>
        <w:rPr>
          <w:sz w:val="22"/>
          <w:szCs w:val="22"/>
        </w:rPr>
      </w:pPr>
      <w:r w:rsidRPr="00E01EE1">
        <w:rPr>
          <w:sz w:val="22"/>
          <w:szCs w:val="22"/>
        </w:rPr>
        <w:t xml:space="preserve">Sensitivity testing was also carried out. This sensitivity testing involved increasing the bus flows </w:t>
      </w:r>
      <w:r w:rsidRPr="00E01EE1">
        <w:rPr>
          <w:sz w:val="22"/>
          <w:szCs w:val="22"/>
        </w:rPr>
        <w:lastRenderedPageBreak/>
        <w:t xml:space="preserve">along the Golden Mile to be equal to 10 passenger car units (pcus) per bus, leaving cycle and phase times as existing. Buses along the Golden Mile are often close to full during the peak times (capacity of 86 people). Passenger car units carry on average 1.5 people each. The sensitivity testing shows the impacts of 20% of bus capacity using private vehicles instead of buses. </w:t>
      </w:r>
    </w:p>
    <w:p w:rsidR="00E01EE1" w:rsidRPr="00E01EE1" w:rsidRDefault="00E01EE1" w:rsidP="00E01EE1">
      <w:pPr>
        <w:pStyle w:val="Para0"/>
        <w:rPr>
          <w:sz w:val="22"/>
          <w:szCs w:val="22"/>
        </w:rPr>
      </w:pPr>
      <w:r w:rsidRPr="00E01EE1">
        <w:rPr>
          <w:sz w:val="22"/>
          <w:szCs w:val="22"/>
        </w:rPr>
        <w:t>Most of the intersections along the Golden Mile had increased queueing on the arms that have buses in them. These queues proved detrimental to:</w:t>
      </w:r>
    </w:p>
    <w:p w:rsidR="00E01EE1" w:rsidRPr="00E01EE1" w:rsidRDefault="00E01EE1" w:rsidP="00E01EE1">
      <w:pPr>
        <w:pStyle w:val="Para0bullet"/>
        <w:tabs>
          <w:tab w:val="clear" w:pos="360"/>
        </w:tabs>
        <w:ind w:left="425" w:hanging="425"/>
        <w:rPr>
          <w:sz w:val="22"/>
          <w:szCs w:val="22"/>
        </w:rPr>
      </w:pPr>
      <w:r w:rsidRPr="00E01EE1">
        <w:rPr>
          <w:sz w:val="22"/>
          <w:szCs w:val="22"/>
        </w:rPr>
        <w:t>i=110 – Whitmore / Lambton / Bowen</w:t>
      </w:r>
    </w:p>
    <w:p w:rsidR="00E01EE1" w:rsidRPr="00E01EE1" w:rsidRDefault="00E01EE1" w:rsidP="00E01EE1">
      <w:pPr>
        <w:pStyle w:val="Para0bullet"/>
        <w:tabs>
          <w:tab w:val="clear" w:pos="360"/>
        </w:tabs>
        <w:ind w:left="425" w:hanging="425"/>
        <w:rPr>
          <w:sz w:val="22"/>
          <w:szCs w:val="22"/>
        </w:rPr>
      </w:pPr>
      <w:r w:rsidRPr="00E01EE1">
        <w:rPr>
          <w:sz w:val="22"/>
          <w:szCs w:val="22"/>
        </w:rPr>
        <w:t>i=200 – Lambton / Brandon (PM peak only)</w:t>
      </w:r>
    </w:p>
    <w:p w:rsidR="00E01EE1" w:rsidRPr="00E01EE1" w:rsidRDefault="00E01EE1" w:rsidP="00E01EE1">
      <w:pPr>
        <w:pStyle w:val="Para0bullet"/>
        <w:tabs>
          <w:tab w:val="clear" w:pos="360"/>
        </w:tabs>
        <w:ind w:left="425" w:hanging="425"/>
        <w:rPr>
          <w:sz w:val="22"/>
          <w:szCs w:val="22"/>
        </w:rPr>
      </w:pPr>
      <w:r w:rsidRPr="00E01EE1">
        <w:rPr>
          <w:sz w:val="22"/>
          <w:szCs w:val="22"/>
        </w:rPr>
        <w:t>i=350 – Willis / Mercer (AM Peak and IP only)</w:t>
      </w:r>
    </w:p>
    <w:p w:rsidR="00E01EE1" w:rsidRPr="00E01EE1" w:rsidRDefault="00E01EE1" w:rsidP="00E01EE1">
      <w:pPr>
        <w:pStyle w:val="Para0bullet"/>
        <w:tabs>
          <w:tab w:val="clear" w:pos="360"/>
        </w:tabs>
        <w:ind w:left="425" w:hanging="425"/>
        <w:rPr>
          <w:sz w:val="22"/>
          <w:szCs w:val="22"/>
        </w:rPr>
      </w:pPr>
      <w:r w:rsidRPr="00E01EE1">
        <w:rPr>
          <w:sz w:val="22"/>
          <w:szCs w:val="22"/>
        </w:rPr>
        <w:t>i=400 – Willis / Boulcott / Manners</w:t>
      </w:r>
    </w:p>
    <w:p w:rsidR="00E01EE1" w:rsidRPr="00E01EE1" w:rsidRDefault="00E01EE1" w:rsidP="00E01EE1">
      <w:pPr>
        <w:pStyle w:val="Para0bullet"/>
        <w:tabs>
          <w:tab w:val="clear" w:pos="360"/>
        </w:tabs>
        <w:ind w:left="425" w:hanging="425"/>
        <w:rPr>
          <w:sz w:val="22"/>
          <w:szCs w:val="22"/>
        </w:rPr>
      </w:pPr>
      <w:r w:rsidRPr="00E01EE1">
        <w:rPr>
          <w:sz w:val="22"/>
          <w:szCs w:val="22"/>
        </w:rPr>
        <w:t>i=420 – Manners / Cuba</w:t>
      </w:r>
    </w:p>
    <w:p w:rsidR="00E01EE1" w:rsidRPr="00E01EE1" w:rsidRDefault="00E01EE1" w:rsidP="00E01EE1">
      <w:pPr>
        <w:pStyle w:val="Para0bullet"/>
        <w:tabs>
          <w:tab w:val="clear" w:pos="360"/>
        </w:tabs>
        <w:ind w:left="425" w:hanging="425"/>
        <w:rPr>
          <w:sz w:val="22"/>
          <w:szCs w:val="22"/>
        </w:rPr>
      </w:pPr>
      <w:r w:rsidRPr="00E01EE1">
        <w:rPr>
          <w:sz w:val="22"/>
          <w:szCs w:val="22"/>
        </w:rPr>
        <w:t>i=450 – Taranaki / Courtenay / Manners / Dixon</w:t>
      </w:r>
    </w:p>
    <w:p w:rsidR="00E01EE1" w:rsidRPr="00E01EE1" w:rsidRDefault="00E01EE1" w:rsidP="00E01EE1">
      <w:pPr>
        <w:pStyle w:val="Para0bullet"/>
        <w:tabs>
          <w:tab w:val="clear" w:pos="360"/>
        </w:tabs>
        <w:ind w:left="425" w:hanging="425"/>
        <w:rPr>
          <w:sz w:val="22"/>
          <w:szCs w:val="22"/>
        </w:rPr>
      </w:pPr>
      <w:r w:rsidRPr="00E01EE1">
        <w:rPr>
          <w:sz w:val="22"/>
          <w:szCs w:val="22"/>
        </w:rPr>
        <w:t>i=460 – Courtenay / Tory (AM Peak and PM Peak only)</w:t>
      </w:r>
    </w:p>
    <w:p w:rsidR="00E01EE1" w:rsidRPr="00E01EE1" w:rsidRDefault="00E01EE1" w:rsidP="00E01EE1">
      <w:pPr>
        <w:pStyle w:val="Para0bullet"/>
        <w:tabs>
          <w:tab w:val="clear" w:pos="360"/>
        </w:tabs>
        <w:ind w:left="425" w:hanging="425"/>
        <w:rPr>
          <w:sz w:val="22"/>
          <w:szCs w:val="22"/>
        </w:rPr>
      </w:pPr>
      <w:r w:rsidRPr="00E01EE1">
        <w:rPr>
          <w:sz w:val="22"/>
          <w:szCs w:val="22"/>
        </w:rPr>
        <w:t>i=470 – Cambridge / Kent / Courtenay / Majoribanks</w:t>
      </w:r>
    </w:p>
    <w:p w:rsidR="00E01EE1" w:rsidRPr="00E01EE1" w:rsidRDefault="00E01EE1" w:rsidP="00E01EE1">
      <w:pPr>
        <w:pStyle w:val="Para0"/>
        <w:rPr>
          <w:sz w:val="22"/>
          <w:szCs w:val="22"/>
        </w:rPr>
      </w:pPr>
      <w:r w:rsidRPr="00E01EE1">
        <w:rPr>
          <w:sz w:val="22"/>
          <w:szCs w:val="22"/>
        </w:rPr>
        <w:t>The sensitivity testing resulted in the maximum degree of saturation at these intersections being above 100%. This sensitivity testing shows how important it is that one vehicle carrying up to 86 people in the space of two cars, as if these people were in private vehicles, only 3 people would be getting through in that space.</w:t>
      </w:r>
    </w:p>
    <w:p w:rsidR="00E01EE1" w:rsidRPr="00E01EE1" w:rsidRDefault="00E01EE1" w:rsidP="00E01EE1">
      <w:pPr>
        <w:pStyle w:val="Para0"/>
        <w:rPr>
          <w:sz w:val="22"/>
          <w:szCs w:val="22"/>
        </w:rPr>
      </w:pPr>
      <w:r w:rsidRPr="00E01EE1">
        <w:rPr>
          <w:sz w:val="22"/>
          <w:szCs w:val="22"/>
        </w:rPr>
        <w:t xml:space="preserve">It is important to note that in testing the above scenarios and in the sensitivity testing, rerouting of vehicles experiencing long delays was not considered. The modelling package used tests network interactions between intersections and a microsimulation model would be required to assess the impacts of changing behaviours due to scenarios tested. </w:t>
      </w:r>
    </w:p>
    <w:p w:rsidR="004C58A7" w:rsidRDefault="004C58A7" w:rsidP="004C58A7">
      <w:pPr>
        <w:pStyle w:val="Heading2"/>
        <w:numPr>
          <w:ilvl w:val="0"/>
          <w:numId w:val="0"/>
        </w:numPr>
      </w:pPr>
      <w:r>
        <w:t>Modelling assessment summary and recommendations</w:t>
      </w:r>
    </w:p>
    <w:p w:rsidR="004C58A7" w:rsidRPr="00F31B67" w:rsidRDefault="004C58A7" w:rsidP="004C58A7">
      <w:pPr>
        <w:pStyle w:val="Para0"/>
        <w:rPr>
          <w:sz w:val="22"/>
          <w:szCs w:val="22"/>
        </w:rPr>
      </w:pPr>
      <w:r w:rsidRPr="00F31B67">
        <w:rPr>
          <w:sz w:val="22"/>
          <w:szCs w:val="22"/>
        </w:rPr>
        <w:t xml:space="preserve">Scenario 1A was generally identified as the option to best meet the overall project objectives of reduced and consistent bus journey times and reduced delays to pedestrians, while maintaining LOS for other road users. This was the only scenario which met all three objectives. This scenario also had the most consistent success rate against the KPIs.  </w:t>
      </w:r>
    </w:p>
    <w:p w:rsidR="004C58A7" w:rsidRPr="00F31B67" w:rsidRDefault="004C58A7" w:rsidP="004C58A7">
      <w:pPr>
        <w:pStyle w:val="Para0"/>
        <w:rPr>
          <w:sz w:val="22"/>
          <w:szCs w:val="22"/>
        </w:rPr>
      </w:pPr>
      <w:r w:rsidRPr="00F31B67">
        <w:rPr>
          <w:sz w:val="22"/>
          <w:szCs w:val="22"/>
        </w:rPr>
        <w:t>The decision to select Scenario 1A as the preferred option to trial in the ‘real world’ SCATS signal timings operations was based upon the comparison of all the modelled Scenarios results and their relative impacts. Scenario 1A was clearly identified as the best blend of reduced cycle time, bus degree of saturation maintained, minimised pedestrian waiting times and relatively little disruption to other general traffic approaches.</w:t>
      </w:r>
    </w:p>
    <w:p w:rsidR="004C58A7" w:rsidRPr="00F31B67" w:rsidRDefault="004C58A7" w:rsidP="004C58A7">
      <w:pPr>
        <w:pStyle w:val="Para0"/>
        <w:rPr>
          <w:sz w:val="22"/>
          <w:szCs w:val="22"/>
        </w:rPr>
      </w:pPr>
      <w:r w:rsidRPr="00F31B67">
        <w:rPr>
          <w:sz w:val="22"/>
          <w:szCs w:val="22"/>
        </w:rPr>
        <w:fldChar w:fldCharType="begin"/>
      </w:r>
      <w:r w:rsidRPr="00F31B67">
        <w:rPr>
          <w:sz w:val="22"/>
          <w:szCs w:val="22"/>
        </w:rPr>
        <w:instrText xml:space="preserve"> REF _Ref22024547 \h </w:instrText>
      </w:r>
      <w:r>
        <w:rPr>
          <w:sz w:val="22"/>
          <w:szCs w:val="22"/>
        </w:rPr>
        <w:instrText xml:space="preserve"> \* MERGEFORMAT </w:instrText>
      </w:r>
      <w:r w:rsidRPr="00F31B67">
        <w:rPr>
          <w:sz w:val="22"/>
          <w:szCs w:val="22"/>
        </w:rPr>
      </w:r>
      <w:r w:rsidRPr="00F31B67">
        <w:rPr>
          <w:sz w:val="22"/>
          <w:szCs w:val="22"/>
        </w:rPr>
        <w:fldChar w:fldCharType="separate"/>
      </w:r>
      <w:r w:rsidRPr="00F31B67">
        <w:rPr>
          <w:sz w:val="22"/>
          <w:szCs w:val="22"/>
        </w:rPr>
        <w:t xml:space="preserve">Table </w:t>
      </w:r>
      <w:r>
        <w:rPr>
          <w:sz w:val="22"/>
          <w:szCs w:val="22"/>
        </w:rPr>
        <w:t>2.1</w:t>
      </w:r>
      <w:r w:rsidRPr="00F31B67">
        <w:rPr>
          <w:sz w:val="22"/>
          <w:szCs w:val="22"/>
        </w:rPr>
        <w:fldChar w:fldCharType="end"/>
      </w:r>
      <w:r w:rsidRPr="00F31B67">
        <w:rPr>
          <w:sz w:val="22"/>
          <w:szCs w:val="22"/>
        </w:rPr>
        <w:t xml:space="preserve"> shows the resulting recommended cycle time changes to be implemented in SCATS. </w:t>
      </w:r>
    </w:p>
    <w:p w:rsidR="00F31B67" w:rsidRPr="00F31B67" w:rsidRDefault="00F31B67" w:rsidP="004C58A7">
      <w:pPr>
        <w:pStyle w:val="Heading2"/>
        <w:numPr>
          <w:ilvl w:val="0"/>
          <w:numId w:val="0"/>
        </w:numPr>
        <w:rPr>
          <w:sz w:val="22"/>
          <w:szCs w:val="22"/>
        </w:rPr>
      </w:pPr>
      <w:bookmarkStart w:id="5" w:name="_Toc22638787"/>
      <w:r>
        <w:br w:type="page"/>
      </w:r>
      <w:bookmarkEnd w:id="5"/>
      <w:r w:rsidRPr="00F31B67">
        <w:rPr>
          <w:sz w:val="22"/>
          <w:szCs w:val="22"/>
        </w:rPr>
        <w:lastRenderedPageBreak/>
        <w:t xml:space="preserve"> </w:t>
      </w:r>
    </w:p>
    <w:p w:rsidR="00F31B67" w:rsidRPr="00F31B67" w:rsidRDefault="00F31B67" w:rsidP="00F31B67">
      <w:pPr>
        <w:pStyle w:val="Caption"/>
        <w:keepNext w:val="0"/>
        <w:rPr>
          <w:sz w:val="22"/>
          <w:szCs w:val="22"/>
        </w:rPr>
      </w:pPr>
      <w:bookmarkStart w:id="6" w:name="_Ref22024547"/>
      <w:bookmarkStart w:id="7" w:name="_Ref22024543"/>
      <w:r w:rsidRPr="00F31B67">
        <w:rPr>
          <w:sz w:val="22"/>
          <w:szCs w:val="22"/>
        </w:rPr>
        <w:t>Table</w:t>
      </w:r>
      <w:r w:rsidR="004C58A7">
        <w:rPr>
          <w:sz w:val="22"/>
          <w:szCs w:val="22"/>
        </w:rPr>
        <w:t xml:space="preserve"> 2.1</w:t>
      </w:r>
      <w:bookmarkEnd w:id="6"/>
      <w:r w:rsidRPr="00F31B67">
        <w:rPr>
          <w:sz w:val="22"/>
          <w:szCs w:val="22"/>
        </w:rPr>
        <w:t>:  Recommended New Cycle Times Compared to Existing Cycle Times (sec)</w:t>
      </w:r>
      <w:bookmarkEnd w:id="7"/>
    </w:p>
    <w:tbl>
      <w:tblPr>
        <w:tblW w:w="4934"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685"/>
        <w:gridCol w:w="1240"/>
        <w:gridCol w:w="1793"/>
        <w:gridCol w:w="1102"/>
        <w:gridCol w:w="1790"/>
        <w:gridCol w:w="1102"/>
        <w:gridCol w:w="1790"/>
      </w:tblGrid>
      <w:tr w:rsidR="00231490" w:rsidTr="00231490">
        <w:trPr>
          <w:tblHeader/>
        </w:trPr>
        <w:tc>
          <w:tcPr>
            <w:tcW w:w="360" w:type="pct"/>
            <w:vMerge w:val="restart"/>
            <w:tcBorders>
              <w:right w:val="single" w:sz="4" w:space="0" w:color="FFFFFF"/>
            </w:tcBorders>
            <w:shd w:val="clear" w:color="auto" w:fill="00338D"/>
          </w:tcPr>
          <w:p w:rsidR="00F31B67" w:rsidRDefault="00F31B67" w:rsidP="003D395F">
            <w:pPr>
              <w:pStyle w:val="Tableheading"/>
            </w:pPr>
            <w:r>
              <w:t>Site</w:t>
            </w:r>
          </w:p>
        </w:tc>
        <w:tc>
          <w:tcPr>
            <w:tcW w:w="1595" w:type="pct"/>
            <w:gridSpan w:val="2"/>
            <w:tcBorders>
              <w:left w:val="single" w:sz="4" w:space="0" w:color="FFFFFF"/>
              <w:right w:val="single" w:sz="4" w:space="0" w:color="FFFFFF"/>
            </w:tcBorders>
            <w:shd w:val="clear" w:color="auto" w:fill="00338D"/>
          </w:tcPr>
          <w:p w:rsidR="00F31B67" w:rsidRDefault="00F31B67" w:rsidP="003D395F">
            <w:pPr>
              <w:pStyle w:val="Tableheading"/>
            </w:pPr>
            <w:r>
              <w:t>AM Peak</w:t>
            </w:r>
          </w:p>
        </w:tc>
        <w:tc>
          <w:tcPr>
            <w:tcW w:w="1522" w:type="pct"/>
            <w:gridSpan w:val="2"/>
            <w:tcBorders>
              <w:left w:val="single" w:sz="4" w:space="0" w:color="FFFFFF"/>
              <w:right w:val="single" w:sz="4" w:space="0" w:color="FFFFFF"/>
            </w:tcBorders>
            <w:shd w:val="clear" w:color="auto" w:fill="00338D"/>
          </w:tcPr>
          <w:p w:rsidR="00F31B67" w:rsidRDefault="00F31B67" w:rsidP="003D395F">
            <w:pPr>
              <w:pStyle w:val="Tableheading"/>
            </w:pPr>
            <w:r>
              <w:t>Inter Peak</w:t>
            </w:r>
          </w:p>
        </w:tc>
        <w:tc>
          <w:tcPr>
            <w:tcW w:w="1522" w:type="pct"/>
            <w:gridSpan w:val="2"/>
            <w:tcBorders>
              <w:left w:val="single" w:sz="4" w:space="0" w:color="FFFFFF"/>
              <w:right w:val="single" w:sz="4" w:space="0" w:color="FFFFFF"/>
            </w:tcBorders>
            <w:shd w:val="clear" w:color="auto" w:fill="00338D"/>
          </w:tcPr>
          <w:p w:rsidR="00F31B67" w:rsidRDefault="00F31B67" w:rsidP="003D395F">
            <w:pPr>
              <w:pStyle w:val="Tableheading"/>
            </w:pPr>
            <w:r>
              <w:t>PM Peak</w:t>
            </w:r>
          </w:p>
        </w:tc>
      </w:tr>
      <w:tr w:rsidR="00231490" w:rsidTr="00231490">
        <w:trPr>
          <w:tblHeader/>
        </w:trPr>
        <w:tc>
          <w:tcPr>
            <w:tcW w:w="360" w:type="pct"/>
            <w:vMerge/>
            <w:tcBorders>
              <w:bottom w:val="single" w:sz="4" w:space="0" w:color="808080"/>
              <w:right w:val="single" w:sz="4" w:space="0" w:color="FFFFFF"/>
            </w:tcBorders>
            <w:shd w:val="clear" w:color="auto" w:fill="00338D"/>
          </w:tcPr>
          <w:p w:rsidR="00F31B67" w:rsidRDefault="00F31B67" w:rsidP="003D395F">
            <w:pPr>
              <w:pStyle w:val="Tableheading"/>
            </w:pPr>
          </w:p>
        </w:tc>
        <w:tc>
          <w:tcPr>
            <w:tcW w:w="652" w:type="pct"/>
            <w:tcBorders>
              <w:left w:val="single" w:sz="4" w:space="0" w:color="FFFFFF"/>
              <w:right w:val="single" w:sz="4" w:space="0" w:color="FFFFFF"/>
            </w:tcBorders>
            <w:shd w:val="clear" w:color="auto" w:fill="00338D"/>
          </w:tcPr>
          <w:p w:rsidR="00F31B67" w:rsidRDefault="00F31B67" w:rsidP="003D395F">
            <w:pPr>
              <w:pStyle w:val="Tableheading"/>
            </w:pPr>
            <w:r>
              <w:t>Existing</w:t>
            </w:r>
          </w:p>
        </w:tc>
        <w:tc>
          <w:tcPr>
            <w:tcW w:w="943" w:type="pct"/>
            <w:tcBorders>
              <w:left w:val="single" w:sz="4" w:space="0" w:color="FFFFFF"/>
              <w:right w:val="single" w:sz="4" w:space="0" w:color="FFFFFF"/>
            </w:tcBorders>
            <w:shd w:val="clear" w:color="auto" w:fill="00338D"/>
          </w:tcPr>
          <w:p w:rsidR="00F31B67" w:rsidRDefault="00F31B67" w:rsidP="003D395F">
            <w:pPr>
              <w:pStyle w:val="Tableheading"/>
            </w:pPr>
            <w:r>
              <w:t>Recommended</w:t>
            </w:r>
          </w:p>
        </w:tc>
        <w:tc>
          <w:tcPr>
            <w:tcW w:w="580" w:type="pct"/>
            <w:tcBorders>
              <w:left w:val="single" w:sz="4" w:space="0" w:color="FFFFFF"/>
              <w:right w:val="single" w:sz="4" w:space="0" w:color="FFFFFF"/>
            </w:tcBorders>
            <w:shd w:val="clear" w:color="auto" w:fill="00338D"/>
          </w:tcPr>
          <w:p w:rsidR="00F31B67" w:rsidRDefault="00F31B67" w:rsidP="003D395F">
            <w:pPr>
              <w:pStyle w:val="Tableheading"/>
            </w:pPr>
            <w:r>
              <w:t>Existing</w:t>
            </w:r>
          </w:p>
        </w:tc>
        <w:tc>
          <w:tcPr>
            <w:tcW w:w="942" w:type="pct"/>
            <w:tcBorders>
              <w:left w:val="single" w:sz="4" w:space="0" w:color="FFFFFF"/>
              <w:right w:val="single" w:sz="4" w:space="0" w:color="FFFFFF"/>
            </w:tcBorders>
            <w:shd w:val="clear" w:color="auto" w:fill="00338D"/>
          </w:tcPr>
          <w:p w:rsidR="00F31B67" w:rsidRDefault="00F31B67" w:rsidP="003D395F">
            <w:pPr>
              <w:pStyle w:val="Tableheading"/>
            </w:pPr>
            <w:r>
              <w:t>Recommended</w:t>
            </w:r>
          </w:p>
        </w:tc>
        <w:tc>
          <w:tcPr>
            <w:tcW w:w="580" w:type="pct"/>
            <w:tcBorders>
              <w:left w:val="single" w:sz="4" w:space="0" w:color="FFFFFF"/>
              <w:right w:val="single" w:sz="4" w:space="0" w:color="FFFFFF"/>
            </w:tcBorders>
            <w:shd w:val="clear" w:color="auto" w:fill="00338D"/>
          </w:tcPr>
          <w:p w:rsidR="00F31B67" w:rsidRDefault="00F31B67" w:rsidP="003D395F">
            <w:pPr>
              <w:pStyle w:val="Tableheading"/>
            </w:pPr>
            <w:r>
              <w:t>Existing</w:t>
            </w:r>
          </w:p>
        </w:tc>
        <w:tc>
          <w:tcPr>
            <w:tcW w:w="942" w:type="pct"/>
            <w:tcBorders>
              <w:left w:val="single" w:sz="4" w:space="0" w:color="FFFFFF"/>
              <w:right w:val="single" w:sz="4" w:space="0" w:color="FFFFFF"/>
            </w:tcBorders>
            <w:shd w:val="clear" w:color="auto" w:fill="00338D"/>
          </w:tcPr>
          <w:p w:rsidR="00F31B67" w:rsidRDefault="00F31B67" w:rsidP="003D395F">
            <w:pPr>
              <w:pStyle w:val="Tableheading"/>
            </w:pPr>
            <w:r>
              <w:t>Recommended</w:t>
            </w:r>
          </w:p>
        </w:tc>
      </w:tr>
      <w:tr w:rsid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110</w:t>
            </w:r>
          </w:p>
        </w:tc>
        <w:tc>
          <w:tcPr>
            <w:tcW w:w="652" w:type="pct"/>
            <w:shd w:val="clear" w:color="auto" w:fill="auto"/>
            <w:vAlign w:val="center"/>
          </w:tcPr>
          <w:p w:rsidR="00F31B67" w:rsidRPr="00231490" w:rsidRDefault="00F31B67" w:rsidP="00231490">
            <w:pPr>
              <w:pStyle w:val="Tabletext"/>
              <w:jc w:val="center"/>
              <w:rPr>
                <w:sz w:val="22"/>
                <w:szCs w:val="22"/>
                <w:lang w:val="en-NZ"/>
              </w:rPr>
            </w:pPr>
            <w:r w:rsidRPr="00231490">
              <w:rPr>
                <w:sz w:val="22"/>
                <w:szCs w:val="22"/>
              </w:rPr>
              <w:t>107</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107</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78</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72</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98</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86</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160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48</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48</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48</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48</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52</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52</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170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44</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44</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43</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43</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49</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49</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200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65</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59</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59</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55</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66</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59</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280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38</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38</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35</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35</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40</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40</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290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75</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75</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67</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67</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72</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72</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310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76</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70</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67</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65</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72</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70</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320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78</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70</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70</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65</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75</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70</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327</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39</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39</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39</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39</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45</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45</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350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78</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71</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70</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68</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80</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74</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400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78</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71</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81</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68</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81</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74</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410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79</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71</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80</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68</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81</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74</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420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61</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61</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66</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66</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55</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55</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450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168</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160</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168</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158</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176</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165</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455</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56</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56</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57</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57</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61</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61</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460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112</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98</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106</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104</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146</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130</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463</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95</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95</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72</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72</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73</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73</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466</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57</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57</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65</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65</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64</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64</w:t>
            </w:r>
          </w:p>
        </w:tc>
      </w:tr>
      <w:tr w:rsidR="00231490" w:rsidRPr="00231490" w:rsidTr="00231490">
        <w:tc>
          <w:tcPr>
            <w:tcW w:w="360" w:type="pct"/>
            <w:shd w:val="clear" w:color="auto" w:fill="D9D9D9"/>
          </w:tcPr>
          <w:p w:rsidR="00F31B67" w:rsidRPr="00231490" w:rsidRDefault="00F31B67" w:rsidP="003D395F">
            <w:pPr>
              <w:pStyle w:val="Tabletext"/>
              <w:rPr>
                <w:sz w:val="22"/>
                <w:szCs w:val="22"/>
              </w:rPr>
            </w:pPr>
            <w:r w:rsidRPr="00231490">
              <w:rPr>
                <w:sz w:val="22"/>
                <w:szCs w:val="22"/>
              </w:rPr>
              <w:t>470</w:t>
            </w:r>
          </w:p>
        </w:tc>
        <w:tc>
          <w:tcPr>
            <w:tcW w:w="65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116</w:t>
            </w:r>
          </w:p>
        </w:tc>
        <w:tc>
          <w:tcPr>
            <w:tcW w:w="943"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100</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109</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80</w:t>
            </w:r>
          </w:p>
        </w:tc>
        <w:tc>
          <w:tcPr>
            <w:tcW w:w="580"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118</w:t>
            </w:r>
          </w:p>
        </w:tc>
        <w:tc>
          <w:tcPr>
            <w:tcW w:w="942" w:type="pct"/>
            <w:shd w:val="clear" w:color="auto" w:fill="auto"/>
            <w:vAlign w:val="center"/>
          </w:tcPr>
          <w:p w:rsidR="00F31B67" w:rsidRPr="00231490" w:rsidRDefault="00F31B67" w:rsidP="00231490">
            <w:pPr>
              <w:pStyle w:val="Tabletext"/>
              <w:jc w:val="center"/>
              <w:rPr>
                <w:sz w:val="22"/>
                <w:szCs w:val="22"/>
              </w:rPr>
            </w:pPr>
            <w:r w:rsidRPr="00231490">
              <w:rPr>
                <w:sz w:val="22"/>
                <w:szCs w:val="22"/>
              </w:rPr>
              <w:t>96</w:t>
            </w:r>
          </w:p>
        </w:tc>
      </w:tr>
    </w:tbl>
    <w:p w:rsidR="00F31B67" w:rsidRPr="00F31B67" w:rsidRDefault="00F31B67" w:rsidP="00F31B67">
      <w:pPr>
        <w:pStyle w:val="Para0"/>
        <w:rPr>
          <w:sz w:val="22"/>
          <w:szCs w:val="22"/>
        </w:rPr>
      </w:pPr>
      <w:r w:rsidRPr="00F31B67">
        <w:rPr>
          <w:sz w:val="22"/>
          <w:szCs w:val="22"/>
        </w:rPr>
        <w:t>It should be noted that the current modelling assessment is done by optimising the isolated signalised intersection. The benefit of the changes is already demonstrated. At the same time, it is understood that the Golden Mile corridor still has significant opportunities to further improve by further investigation and optimisation on the coordination of the signals and traffic redistribution impacts. These further studies will require a more sophisticated modelling tools such as micro simulation modelling and network assignment modelling, and these are recommended for the next stage of the investigation and operational design.</w:t>
      </w:r>
    </w:p>
    <w:p w:rsidR="00E01EE1" w:rsidRDefault="00E01EE1" w:rsidP="00177882">
      <w:pPr>
        <w:rPr>
          <w:rFonts w:ascii="Arial" w:hAnsi="Arial" w:cs="Arial"/>
          <w:b/>
          <w:sz w:val="28"/>
          <w:szCs w:val="28"/>
        </w:rPr>
      </w:pPr>
    </w:p>
    <w:p w:rsidR="00F31B67" w:rsidRDefault="00F31B67" w:rsidP="004C58A7">
      <w:pPr>
        <w:pStyle w:val="Heading1"/>
      </w:pPr>
      <w:bookmarkStart w:id="8" w:name="_Toc22638788"/>
      <w:r>
        <w:lastRenderedPageBreak/>
        <w:t>B Signals</w:t>
      </w:r>
      <w:bookmarkEnd w:id="8"/>
    </w:p>
    <w:p w:rsidR="00F31B67" w:rsidRPr="00F31B67" w:rsidRDefault="00F31B67" w:rsidP="00F31B67">
      <w:pPr>
        <w:pStyle w:val="Para0"/>
        <w:rPr>
          <w:sz w:val="22"/>
          <w:szCs w:val="22"/>
          <w:lang w:val="en-AU"/>
        </w:rPr>
      </w:pPr>
      <w:r w:rsidRPr="00F31B67">
        <w:rPr>
          <w:sz w:val="22"/>
          <w:szCs w:val="22"/>
        </w:rPr>
        <w:t>Bus priority signals (or B Signals) separate buses and other vehicles at some intersections with dedicated bus signals to provide a prioritised signal for buses travelling through the intersection.</w:t>
      </w:r>
    </w:p>
    <w:p w:rsidR="00F31B67" w:rsidRPr="00F31B67" w:rsidRDefault="00F31B67" w:rsidP="00F31B67">
      <w:pPr>
        <w:pStyle w:val="Para0"/>
        <w:rPr>
          <w:sz w:val="22"/>
          <w:szCs w:val="22"/>
        </w:rPr>
      </w:pPr>
      <w:r w:rsidRPr="00F31B67">
        <w:rPr>
          <w:sz w:val="22"/>
          <w:szCs w:val="22"/>
        </w:rPr>
        <w:t>B signals are attached to the normal traffic lights and they utilise a white B signal on a black background. Shortly before the usual traffic signals change to green, the B signal lights up white. All other vehicles stay in position while the buses may go. When the lights turn green other vehicles may then begin to move off.</w:t>
      </w:r>
    </w:p>
    <w:p w:rsidR="00F31B67" w:rsidRPr="00F31B67" w:rsidRDefault="00F31B67" w:rsidP="00F31B67">
      <w:pPr>
        <w:pStyle w:val="Para0"/>
        <w:rPr>
          <w:sz w:val="22"/>
          <w:szCs w:val="22"/>
        </w:rPr>
      </w:pPr>
      <w:r w:rsidRPr="00F31B67">
        <w:rPr>
          <w:sz w:val="22"/>
          <w:szCs w:val="22"/>
        </w:rPr>
        <w:t>Clause 6.4(10) of the Traffic Control Devices Rules (TCD) 2004 states that:</w:t>
      </w:r>
    </w:p>
    <w:p w:rsidR="00F31B67" w:rsidRPr="00F31B67" w:rsidRDefault="00F31B67" w:rsidP="00F31B67">
      <w:pPr>
        <w:pStyle w:val="Para0"/>
        <w:rPr>
          <w:i/>
          <w:sz w:val="22"/>
          <w:szCs w:val="22"/>
        </w:rPr>
      </w:pPr>
      <w:r w:rsidRPr="00F31B67">
        <w:rPr>
          <w:i/>
          <w:sz w:val="22"/>
          <w:szCs w:val="22"/>
        </w:rPr>
        <w:t>‘If a bus lane traverses an area controlled by traffic signals, the road controlling authority:</w:t>
      </w:r>
    </w:p>
    <w:p w:rsidR="00F31B67" w:rsidRPr="00F31B67" w:rsidRDefault="00F31B67" w:rsidP="00F31B67">
      <w:pPr>
        <w:pStyle w:val="Para0letter"/>
        <w:tabs>
          <w:tab w:val="clear" w:pos="360"/>
        </w:tabs>
        <w:ind w:left="425" w:hanging="425"/>
        <w:rPr>
          <w:i/>
          <w:sz w:val="22"/>
          <w:szCs w:val="22"/>
        </w:rPr>
      </w:pPr>
      <w:r w:rsidRPr="00F31B67">
        <w:rPr>
          <w:i/>
          <w:sz w:val="22"/>
          <w:szCs w:val="22"/>
        </w:rPr>
        <w:t>Must include a white B signal and may include a yellow B signal in the display of traffic signals to indicate when a bus lane is permitted to turn, or proceed straight ahead, when other vehicles are not allowed to make these movements; or</w:t>
      </w:r>
    </w:p>
    <w:p w:rsidR="00F31B67" w:rsidRPr="00F31B67" w:rsidRDefault="00F31B67" w:rsidP="00F31B67">
      <w:pPr>
        <w:pStyle w:val="Para0letter"/>
        <w:tabs>
          <w:tab w:val="clear" w:pos="360"/>
        </w:tabs>
        <w:ind w:left="425" w:hanging="425"/>
        <w:rPr>
          <w:i/>
          <w:sz w:val="22"/>
          <w:szCs w:val="22"/>
        </w:rPr>
      </w:pPr>
      <w:r w:rsidRPr="00F31B67">
        <w:rPr>
          <w:i/>
          <w:sz w:val="22"/>
          <w:szCs w:val="22"/>
        </w:rPr>
        <w:t xml:space="preserve">Must include a red B signal in the display of traffic signals to indicate when a bus may not proceed from the bus lane when other vehicles are allowed to move in the same general direction; or </w:t>
      </w:r>
    </w:p>
    <w:p w:rsidR="00F31B67" w:rsidRPr="00F31B67" w:rsidRDefault="00F31B67" w:rsidP="00F31B67">
      <w:pPr>
        <w:pStyle w:val="Para0letter"/>
        <w:tabs>
          <w:tab w:val="clear" w:pos="360"/>
        </w:tabs>
        <w:ind w:left="425" w:hanging="425"/>
        <w:rPr>
          <w:i/>
          <w:sz w:val="22"/>
          <w:szCs w:val="22"/>
        </w:rPr>
      </w:pPr>
      <w:r w:rsidRPr="00F31B67">
        <w:rPr>
          <w:i/>
          <w:sz w:val="22"/>
          <w:szCs w:val="22"/>
        </w:rPr>
        <w:t>May include a column of white, yellow and red B signals in the display of traffic signals.’</w:t>
      </w:r>
    </w:p>
    <w:p w:rsidR="00F31B67" w:rsidRPr="00F31B67" w:rsidRDefault="00F31B67" w:rsidP="00F31B67">
      <w:pPr>
        <w:pStyle w:val="Para0letter"/>
        <w:numPr>
          <w:ilvl w:val="0"/>
          <w:numId w:val="0"/>
        </w:numPr>
        <w:rPr>
          <w:sz w:val="22"/>
          <w:szCs w:val="22"/>
        </w:rPr>
      </w:pPr>
      <w:r w:rsidRPr="00F31B67">
        <w:rPr>
          <w:sz w:val="22"/>
          <w:szCs w:val="22"/>
        </w:rPr>
        <w:t>B signals help to provide some additional bus priority over the general traffic at an intersection, and where practicable are a useful addition to a signalised intersection.</w:t>
      </w:r>
    </w:p>
    <w:p w:rsidR="00F31B67" w:rsidRPr="00F31B67" w:rsidRDefault="00F31B67" w:rsidP="00F31B67">
      <w:pPr>
        <w:pStyle w:val="Heading2"/>
        <w:numPr>
          <w:ilvl w:val="0"/>
          <w:numId w:val="0"/>
        </w:numPr>
        <w:rPr>
          <w:sz w:val="22"/>
          <w:szCs w:val="22"/>
        </w:rPr>
      </w:pPr>
      <w:bookmarkStart w:id="9" w:name="_Toc22638789"/>
      <w:r w:rsidRPr="00F31B67">
        <w:rPr>
          <w:sz w:val="22"/>
          <w:szCs w:val="22"/>
        </w:rPr>
        <w:t>Assessment summaries and recommendations</w:t>
      </w:r>
      <w:bookmarkEnd w:id="9"/>
    </w:p>
    <w:p w:rsidR="00F31B67" w:rsidRPr="00F31B67" w:rsidRDefault="00F31B67" w:rsidP="00F31B67">
      <w:pPr>
        <w:pStyle w:val="Para0"/>
        <w:rPr>
          <w:sz w:val="22"/>
          <w:szCs w:val="22"/>
        </w:rPr>
      </w:pPr>
      <w:r w:rsidRPr="00F31B67">
        <w:rPr>
          <w:sz w:val="22"/>
          <w:szCs w:val="22"/>
        </w:rPr>
        <w:t>The desktop assessment showed that there will unlikely be any benefits by providing additional B Signals along the Golden Mile corridor because buses often share general traffic lanes at intersections. However, the opportunities of providing additional B Signals with signal coordination and optimisation along the corridor should be considered as part of larger changes to this corridor. More detailed operational simulation modelling assessment with adaptive signal control functionality is recommended for the next stage of investigation.</w:t>
      </w:r>
    </w:p>
    <w:p w:rsidR="00F31B67" w:rsidRDefault="00F31B67" w:rsidP="00177882">
      <w:pPr>
        <w:rPr>
          <w:rFonts w:ascii="Arial" w:hAnsi="Arial" w:cs="Arial"/>
          <w:b/>
          <w:sz w:val="28"/>
          <w:szCs w:val="28"/>
        </w:rPr>
      </w:pPr>
    </w:p>
    <w:p w:rsidR="004C58A7" w:rsidRDefault="004C58A7" w:rsidP="004C58A7">
      <w:pPr>
        <w:pStyle w:val="Heading1"/>
      </w:pPr>
      <w:bookmarkStart w:id="10" w:name="_Toc22638790"/>
      <w:r>
        <w:lastRenderedPageBreak/>
        <w:t>Advanced Detection</w:t>
      </w:r>
      <w:bookmarkEnd w:id="10"/>
    </w:p>
    <w:p w:rsidR="004C58A7" w:rsidRDefault="004C58A7" w:rsidP="004C58A7">
      <w:pPr>
        <w:pStyle w:val="Para0"/>
      </w:pPr>
      <w:r>
        <w:t xml:space="preserve">Advanced detection allows for buses to be detected prior to reaching an intersection so that the signal cycle can adjust accordingly for buses to gain priority. </w:t>
      </w:r>
    </w:p>
    <w:p w:rsidR="004C58A7" w:rsidRDefault="004C58A7" w:rsidP="004C58A7">
      <w:pPr>
        <w:pStyle w:val="Para0"/>
      </w:pPr>
      <w:r>
        <w:t>Two methods of advanced detection have been considered for implementation along ‘The Golden Mile’. These are above ground radars and in ground loops.</w:t>
      </w:r>
    </w:p>
    <w:p w:rsidR="004C58A7" w:rsidRDefault="004C58A7" w:rsidP="004C58A7">
      <w:pPr>
        <w:pStyle w:val="Para0"/>
      </w:pPr>
      <w:r>
        <w:t>Controller Information Sheet (CIS) refers to the need to update the signal personality of the intersection.</w:t>
      </w:r>
    </w:p>
    <w:p w:rsidR="004C58A7" w:rsidRDefault="004C58A7" w:rsidP="004C58A7">
      <w:pPr>
        <w:pStyle w:val="Heading2"/>
        <w:numPr>
          <w:ilvl w:val="0"/>
          <w:numId w:val="0"/>
        </w:numPr>
      </w:pPr>
      <w:bookmarkStart w:id="11" w:name="_Toc22638791"/>
      <w:r>
        <w:t>Assessment summaries and recommendations</w:t>
      </w:r>
      <w:bookmarkEnd w:id="11"/>
    </w:p>
    <w:p w:rsidR="004C58A7" w:rsidRDefault="004C58A7" w:rsidP="004C58A7">
      <w:pPr>
        <w:pStyle w:val="Para0"/>
      </w:pPr>
      <w:r>
        <w:t>The assessment identified that the advance detectors are likely to provide extra traffic efficiency benefits at 10 of the signalised intersections along the Golden Mile corridor. The combination of Radar virtual loop and inground  loop types of advance detection are considered for each of the intersections where it is appropriate.</w:t>
      </w:r>
    </w:p>
    <w:p w:rsidR="004C58A7" w:rsidRDefault="004C58A7" w:rsidP="004C58A7">
      <w:pPr>
        <w:pStyle w:val="Para0"/>
      </w:pPr>
      <w:r>
        <w:t xml:space="preserve">Implementation of the advanced detections could also provide additional benefits on the signal coordination of the Golden Mile corridor as well as reduce the safety risks of rear end collisions. </w:t>
      </w:r>
    </w:p>
    <w:p w:rsidR="004C58A7" w:rsidRDefault="004C58A7" w:rsidP="004C58A7">
      <w:pPr>
        <w:pStyle w:val="Para0"/>
      </w:pPr>
      <w:r>
        <w:t>Operational simulation modelling can be used in the next stage to investigate and design the operation regime of utilising these if the project is progressed further. The road works during the implementation of the physical loops could be interruptive to the traffic operation on the Golden Mile corridor, the Traffic Management Plans (TMP) should be carefully developed and the network wide traffic impacts should be minimised and monitored.</w:t>
      </w:r>
    </w:p>
    <w:p w:rsidR="004C58A7" w:rsidRPr="0097047B" w:rsidRDefault="004C58A7" w:rsidP="004C58A7">
      <w:pPr>
        <w:pStyle w:val="Para0"/>
      </w:pPr>
    </w:p>
    <w:p w:rsidR="004C58A7" w:rsidRPr="00F73035" w:rsidRDefault="004C58A7" w:rsidP="004C58A7">
      <w:pPr>
        <w:pStyle w:val="Heading1"/>
      </w:pPr>
      <w:bookmarkStart w:id="12" w:name="_Toc22638792"/>
      <w:r>
        <w:lastRenderedPageBreak/>
        <w:t>Pedestrian Countdown Timers</w:t>
      </w:r>
      <w:bookmarkEnd w:id="12"/>
    </w:p>
    <w:p w:rsidR="004C58A7" w:rsidRDefault="004C58A7" w:rsidP="004C58A7">
      <w:pPr>
        <w:pStyle w:val="Para0"/>
      </w:pPr>
      <w:r>
        <w:t>Pedestrian countdown timers are used successfully in several existing intersections within the Wellington CBD. They are used to provide crossing pedestrians a clear indication of the remaining pedestrian clearance and discourage late arriving pedestrians from beginning to cross. This provides both confidence to the crossing pedestrians that they have sufficient time to complete their crossing manoeuvre and increases pedestrian safety by decreasing the occurrences of late arriving pedestrians who would ordinarily begin to cross and find that the vehicle signals then turn to green before they have completed their road crossing.</w:t>
      </w:r>
    </w:p>
    <w:p w:rsidR="004C58A7" w:rsidRDefault="004C58A7" w:rsidP="004C58A7">
      <w:pPr>
        <w:pStyle w:val="Para0"/>
      </w:pPr>
      <w:r>
        <w:t>The rules for governing the use of countdown timers are set out in Traffic Control Devices 2004, and Clause 6.6(3A) of the TCD 2004 states that:</w:t>
      </w:r>
    </w:p>
    <w:p w:rsidR="004C58A7" w:rsidRPr="001675A6" w:rsidRDefault="004C58A7" w:rsidP="004C58A7">
      <w:pPr>
        <w:pStyle w:val="Para0"/>
        <w:rPr>
          <w:i/>
        </w:rPr>
      </w:pPr>
      <w:r w:rsidRPr="001675A6">
        <w:rPr>
          <w:i/>
        </w:rPr>
        <w:t xml:space="preserve">‘A countdown pedestrian signal, comprising a white or yellow display (conforming to the description in Schedule 3) showing the number of seconds remaining in the pedestrian clearance period, may only be installed beside pedestrian traffic signals at: </w:t>
      </w:r>
    </w:p>
    <w:p w:rsidR="004C58A7" w:rsidRPr="001675A6" w:rsidRDefault="004C58A7" w:rsidP="004C58A7">
      <w:pPr>
        <w:pStyle w:val="Para0letter"/>
        <w:numPr>
          <w:ilvl w:val="0"/>
          <w:numId w:val="7"/>
        </w:numPr>
        <w:rPr>
          <w:i/>
        </w:rPr>
      </w:pPr>
      <w:r w:rsidRPr="001675A6">
        <w:rPr>
          <w:i/>
        </w:rPr>
        <w:t xml:space="preserve">mid-block pedestrian traffic signals; or </w:t>
      </w:r>
    </w:p>
    <w:p w:rsidR="004C58A7" w:rsidRDefault="004C58A7" w:rsidP="004C58A7">
      <w:pPr>
        <w:pStyle w:val="Para0letter"/>
        <w:numPr>
          <w:ilvl w:val="0"/>
          <w:numId w:val="7"/>
        </w:numPr>
        <w:rPr>
          <w:i/>
        </w:rPr>
      </w:pPr>
      <w:r w:rsidRPr="001675A6">
        <w:rPr>
          <w:i/>
        </w:rPr>
        <w:t>intersections where all of the approaches to the area controlled by traffic signals are controlled by red signals at the same time while pedestrians are permitted to cross.’</w:t>
      </w:r>
    </w:p>
    <w:p w:rsidR="004C58A7" w:rsidRDefault="004C58A7" w:rsidP="004C58A7">
      <w:pPr>
        <w:pStyle w:val="Para0letter"/>
        <w:numPr>
          <w:ilvl w:val="0"/>
          <w:numId w:val="0"/>
        </w:numPr>
      </w:pPr>
      <w:r>
        <w:t>These rules limit the use of countdown timers at intersections to specific ones which run a dedicated pedestrian phase known as a ‘Scramble’ where all pedestrians movements occur together in one phase. WCC Signals Team have already installed countdown timers at many of the intersections within the Golden Mile and nearby Wellington CBD.</w:t>
      </w:r>
    </w:p>
    <w:p w:rsidR="004C58A7" w:rsidRPr="00032B41" w:rsidRDefault="004C58A7" w:rsidP="004C58A7">
      <w:pPr>
        <w:pStyle w:val="Para0letter"/>
        <w:numPr>
          <w:ilvl w:val="0"/>
          <w:numId w:val="0"/>
        </w:numPr>
      </w:pPr>
      <w:r>
        <w:t>At pedestrian crossings within the CBD the crossing distances are generally so short that the use of countdown timers is only of a minor benefit as the clearances period that can be displayed is relatively short due to the short distances required to cross the road. The crossing distances at intersections are generally longer in length and therefore there is more significant benefits to be found using countdown timers at intersections.</w:t>
      </w:r>
    </w:p>
    <w:p w:rsidR="004C58A7" w:rsidRDefault="004C58A7" w:rsidP="004C58A7">
      <w:pPr>
        <w:pStyle w:val="Heading2"/>
        <w:numPr>
          <w:ilvl w:val="0"/>
          <w:numId w:val="0"/>
        </w:numPr>
      </w:pPr>
      <w:bookmarkStart w:id="13" w:name="_Toc22638793"/>
      <w:r>
        <w:t>Assessment summaries and recommendations</w:t>
      </w:r>
      <w:bookmarkEnd w:id="13"/>
    </w:p>
    <w:p w:rsidR="004C58A7" w:rsidRDefault="004C58A7" w:rsidP="004C58A7">
      <w:pPr>
        <w:pStyle w:val="Para0"/>
      </w:pPr>
      <w:r>
        <w:t>The assessment showed that there are benefits to some intersections through the implementation of pedestrian countdown timers in addition to the existing ones along the Golden Mile corridor and surrounding roads. However, not all intersections would benefit from pedestrian countdown timers. It is still worth recognising the opportunities of providing additional pedestrian countdown timers with the consideration of signal coordination and optimisation along the corridor. More detailed operational simulation modelling assessment with adaptive signal control functionality is recommended for the next stage of investigation if the project would like to be progressed further. The physical constraints and risks are also recommended to be assessed such as the road carriageway space, the location of signal poles and cables, the possible impacts on drainage and utility service lines etc.</w:t>
      </w:r>
    </w:p>
    <w:p w:rsidR="004C58A7" w:rsidRPr="00177882" w:rsidRDefault="004C58A7" w:rsidP="00177882">
      <w:pPr>
        <w:rPr>
          <w:rFonts w:ascii="Arial" w:hAnsi="Arial" w:cs="Arial"/>
          <w:b/>
          <w:sz w:val="28"/>
          <w:szCs w:val="28"/>
        </w:rPr>
      </w:pPr>
    </w:p>
    <w:p w:rsidR="00E01EE1" w:rsidRPr="006A1537" w:rsidRDefault="00E01EE1" w:rsidP="004C58A7">
      <w:pPr>
        <w:pStyle w:val="Heading1"/>
      </w:pPr>
      <w:bookmarkStart w:id="14" w:name="_Toc22638794"/>
      <w:r>
        <w:lastRenderedPageBreak/>
        <w:t>Conclusion</w:t>
      </w:r>
      <w:bookmarkEnd w:id="14"/>
      <w:r>
        <w:t xml:space="preserve"> </w:t>
      </w:r>
    </w:p>
    <w:p w:rsidR="00E01EE1" w:rsidRPr="00E01EE1" w:rsidRDefault="00E01EE1" w:rsidP="00E01EE1">
      <w:pPr>
        <w:pStyle w:val="Para0"/>
        <w:rPr>
          <w:sz w:val="22"/>
          <w:szCs w:val="22"/>
        </w:rPr>
      </w:pPr>
      <w:r w:rsidRPr="00E01EE1">
        <w:rPr>
          <w:sz w:val="22"/>
          <w:szCs w:val="22"/>
        </w:rPr>
        <w:t xml:space="preserve">This assessment of the Golden Mile has looked at the various modifications that can be made at each intersection, including updating priorities and their resulting changes to signal timings, and the potential impacts or improvements to the general public, in all modes of transport be that in a bus, a car and or on foot. </w:t>
      </w:r>
    </w:p>
    <w:p w:rsidR="00E01EE1" w:rsidRPr="00E01EE1" w:rsidRDefault="00E01EE1" w:rsidP="00E01EE1">
      <w:pPr>
        <w:pStyle w:val="Para0"/>
        <w:rPr>
          <w:sz w:val="22"/>
          <w:szCs w:val="22"/>
        </w:rPr>
      </w:pPr>
      <w:r w:rsidRPr="00E01EE1">
        <w:rPr>
          <w:sz w:val="22"/>
          <w:szCs w:val="22"/>
        </w:rPr>
        <w:t xml:space="preserve">The modelling scenarios have all been fully tested and analysed in the Linsig software across all 3 peak periods to allow an in-depth assessment of each individual scenario. </w:t>
      </w:r>
    </w:p>
    <w:p w:rsidR="00E01EE1" w:rsidRPr="00E01EE1" w:rsidRDefault="00E01EE1" w:rsidP="00E01EE1">
      <w:pPr>
        <w:pStyle w:val="Para0"/>
        <w:rPr>
          <w:sz w:val="22"/>
          <w:szCs w:val="22"/>
        </w:rPr>
      </w:pPr>
      <w:r w:rsidRPr="00E01EE1">
        <w:rPr>
          <w:sz w:val="22"/>
          <w:szCs w:val="22"/>
        </w:rPr>
        <w:t>The key criteria used to assess each scenario were: -</w:t>
      </w:r>
    </w:p>
    <w:p w:rsidR="00E01EE1" w:rsidRPr="00E01EE1" w:rsidRDefault="00E01EE1" w:rsidP="00E01EE1">
      <w:pPr>
        <w:pStyle w:val="Para0bullet"/>
        <w:tabs>
          <w:tab w:val="clear" w:pos="360"/>
        </w:tabs>
        <w:ind w:left="425" w:hanging="425"/>
        <w:rPr>
          <w:sz w:val="22"/>
          <w:szCs w:val="22"/>
        </w:rPr>
      </w:pPr>
      <w:r w:rsidRPr="00E01EE1">
        <w:rPr>
          <w:sz w:val="22"/>
          <w:szCs w:val="22"/>
        </w:rPr>
        <w:t>The cycle time of each intersection</w:t>
      </w:r>
    </w:p>
    <w:p w:rsidR="00E01EE1" w:rsidRPr="00E01EE1" w:rsidRDefault="00E01EE1" w:rsidP="00E01EE1">
      <w:pPr>
        <w:pStyle w:val="Para0bullet"/>
        <w:tabs>
          <w:tab w:val="clear" w:pos="360"/>
        </w:tabs>
        <w:ind w:left="425" w:hanging="425"/>
        <w:rPr>
          <w:sz w:val="22"/>
          <w:szCs w:val="22"/>
        </w:rPr>
      </w:pPr>
      <w:r w:rsidRPr="00E01EE1">
        <w:rPr>
          <w:sz w:val="22"/>
          <w:szCs w:val="22"/>
        </w:rPr>
        <w:t>The green phase times on each approach</w:t>
      </w:r>
    </w:p>
    <w:p w:rsidR="00E01EE1" w:rsidRPr="00E01EE1" w:rsidRDefault="00E01EE1" w:rsidP="00E01EE1">
      <w:pPr>
        <w:pStyle w:val="Para0bullet"/>
        <w:tabs>
          <w:tab w:val="clear" w:pos="360"/>
        </w:tabs>
        <w:ind w:left="425" w:hanging="425"/>
        <w:rPr>
          <w:sz w:val="22"/>
          <w:szCs w:val="22"/>
        </w:rPr>
      </w:pPr>
      <w:r w:rsidRPr="00E01EE1">
        <w:rPr>
          <w:sz w:val="22"/>
          <w:szCs w:val="22"/>
        </w:rPr>
        <w:t>Degree of saturation on the key intersection approaches</w:t>
      </w:r>
    </w:p>
    <w:p w:rsidR="00E01EE1" w:rsidRPr="00E01EE1" w:rsidRDefault="00E01EE1" w:rsidP="00E01EE1">
      <w:pPr>
        <w:pStyle w:val="Para0bullet"/>
        <w:tabs>
          <w:tab w:val="clear" w:pos="360"/>
        </w:tabs>
        <w:ind w:left="425" w:hanging="425"/>
        <w:rPr>
          <w:sz w:val="22"/>
          <w:szCs w:val="22"/>
        </w:rPr>
      </w:pPr>
      <w:r w:rsidRPr="00E01EE1">
        <w:rPr>
          <w:sz w:val="22"/>
          <w:szCs w:val="22"/>
        </w:rPr>
        <w:t>Mean Max queues were compared against the existing queues</w:t>
      </w:r>
    </w:p>
    <w:p w:rsidR="00E01EE1" w:rsidRPr="00E01EE1" w:rsidRDefault="00E01EE1" w:rsidP="00E01EE1">
      <w:pPr>
        <w:pStyle w:val="Para0"/>
        <w:rPr>
          <w:sz w:val="22"/>
          <w:szCs w:val="22"/>
        </w:rPr>
      </w:pPr>
      <w:r w:rsidRPr="00E01EE1">
        <w:rPr>
          <w:sz w:val="22"/>
          <w:szCs w:val="22"/>
        </w:rPr>
        <w:t xml:space="preserve">Scenario 1A was identified as the option to best meet the overall project objectives of reduced and consistent bus journey times and reduced delays to pedestrians. </w:t>
      </w:r>
    </w:p>
    <w:p w:rsidR="00E01EE1" w:rsidRPr="00E01EE1" w:rsidRDefault="00E01EE1" w:rsidP="00E01EE1">
      <w:pPr>
        <w:pStyle w:val="Para0"/>
        <w:rPr>
          <w:sz w:val="22"/>
          <w:szCs w:val="22"/>
        </w:rPr>
      </w:pPr>
      <w:r w:rsidRPr="00E01EE1">
        <w:rPr>
          <w:sz w:val="22"/>
          <w:szCs w:val="22"/>
        </w:rPr>
        <w:t>The decision to select Scenario 1A as the preferred option to trial in the ‘real world’ with modified SCATS signal timings was based upon the comparison of all the modelled Scenarios results and their relative impacts. Scenario 1A was clearly identified as the best blend of reduced cycle time, bus degree of saturation maintained, minimised pedestrian wait times and relatively little disruption to other general traffic approaches.</w:t>
      </w:r>
    </w:p>
    <w:p w:rsidR="00E01EE1" w:rsidRPr="00E01EE1" w:rsidRDefault="00E01EE1" w:rsidP="00E01EE1">
      <w:pPr>
        <w:pStyle w:val="Para0"/>
        <w:rPr>
          <w:sz w:val="22"/>
          <w:szCs w:val="22"/>
        </w:rPr>
      </w:pPr>
      <w:r w:rsidRPr="00E01EE1">
        <w:rPr>
          <w:sz w:val="22"/>
          <w:szCs w:val="22"/>
        </w:rPr>
        <w:t xml:space="preserve">The cycle time savings for each modelled peak period showed a reduction would be possible at each intersection (excluding mid-block crossings), with impacts ranging from a few second savings, through to Kent/Cambridge Terrace/Courtenay Place (i=470) which showed the most impact with a 16 second reduction in the AM peak, a 29 second reduction in the inter peak and a 32 reduction in the PM peak. To achieve this high level of saving at this intersection it would be required for it to be removed from the current State Highway 1 co-ordination plan which operates along Kent / Cambridge Terraces and previously forced the intersection to co-ordinate with the timings implemented at Cambridge Terrace / Vivian Street signals on SH1. </w:t>
      </w:r>
    </w:p>
    <w:p w:rsidR="00E01EE1" w:rsidRPr="00E01EE1" w:rsidRDefault="00E01EE1" w:rsidP="00E01EE1">
      <w:pPr>
        <w:pStyle w:val="Para0"/>
        <w:rPr>
          <w:sz w:val="22"/>
          <w:szCs w:val="22"/>
        </w:rPr>
      </w:pPr>
      <w:r w:rsidRPr="00E01EE1">
        <w:rPr>
          <w:sz w:val="22"/>
          <w:szCs w:val="22"/>
        </w:rPr>
        <w:t xml:space="preserve">To gauge the overall effectiveness of the selected scenario it was decided to total up the delays to buses at every mid-block crossing and intersection in each direction along the entire length of the Golden Mile, and then compare these against the ‘Existing Situation’ scenario. It was felt that this would give a fairer representation of the cumulative impacts based on the potential cycle time savings at each intersection. </w:t>
      </w:r>
    </w:p>
    <w:p w:rsidR="00E01EE1" w:rsidRPr="00E01EE1" w:rsidRDefault="00E01EE1" w:rsidP="00E01EE1">
      <w:pPr>
        <w:pStyle w:val="Caption"/>
        <w:keepNext w:val="0"/>
        <w:rPr>
          <w:sz w:val="22"/>
          <w:szCs w:val="22"/>
        </w:rPr>
      </w:pPr>
      <w:r w:rsidRPr="00E01EE1">
        <w:rPr>
          <w:sz w:val="22"/>
          <w:szCs w:val="22"/>
        </w:rPr>
        <w:t xml:space="preserve">Table </w:t>
      </w:r>
      <w:r w:rsidR="004C58A7">
        <w:rPr>
          <w:sz w:val="22"/>
          <w:szCs w:val="22"/>
        </w:rPr>
        <w:t>6</w:t>
      </w:r>
      <w:r w:rsidRPr="00E01EE1">
        <w:rPr>
          <w:sz w:val="22"/>
          <w:szCs w:val="22"/>
        </w:rPr>
        <w:t>.</w:t>
      </w:r>
      <w:r w:rsidRPr="00E01EE1">
        <w:rPr>
          <w:sz w:val="22"/>
          <w:szCs w:val="22"/>
        </w:rPr>
        <w:fldChar w:fldCharType="begin"/>
      </w:r>
      <w:r w:rsidRPr="00E01EE1">
        <w:rPr>
          <w:sz w:val="22"/>
          <w:szCs w:val="22"/>
        </w:rPr>
        <w:instrText xml:space="preserve"> SEQ Table \* ARABIC \s 1 </w:instrText>
      </w:r>
      <w:r w:rsidRPr="00E01EE1">
        <w:rPr>
          <w:sz w:val="22"/>
          <w:szCs w:val="22"/>
        </w:rPr>
        <w:fldChar w:fldCharType="separate"/>
      </w:r>
      <w:r w:rsidRPr="00E01EE1">
        <w:rPr>
          <w:noProof/>
          <w:sz w:val="22"/>
          <w:szCs w:val="22"/>
        </w:rPr>
        <w:t>1</w:t>
      </w:r>
      <w:r w:rsidRPr="00E01EE1">
        <w:rPr>
          <w:sz w:val="22"/>
          <w:szCs w:val="22"/>
        </w:rPr>
        <w:fldChar w:fldCharType="end"/>
      </w:r>
      <w:r w:rsidRPr="00E01EE1">
        <w:rPr>
          <w:sz w:val="22"/>
          <w:szCs w:val="22"/>
        </w:rPr>
        <w:t>: Overall Reduction in Delay through entire Golden Mile</w:t>
      </w:r>
    </w:p>
    <w:tbl>
      <w:tblPr>
        <w:tblW w:w="2936"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85" w:type="dxa"/>
          <w:right w:w="85" w:type="dxa"/>
        </w:tblCellMar>
        <w:tblLook w:val="04A0" w:firstRow="1" w:lastRow="0" w:firstColumn="1" w:lastColumn="0" w:noHBand="0" w:noVBand="1"/>
      </w:tblPr>
      <w:tblGrid>
        <w:gridCol w:w="1844"/>
        <w:gridCol w:w="1907"/>
        <w:gridCol w:w="1903"/>
      </w:tblGrid>
      <w:tr w:rsidR="00E01EE1" w:rsidRPr="00231490" w:rsidTr="00231490">
        <w:trPr>
          <w:tblHeader/>
        </w:trPr>
        <w:tc>
          <w:tcPr>
            <w:tcW w:w="1631" w:type="pct"/>
            <w:tcBorders>
              <w:right w:val="single" w:sz="4" w:space="0" w:color="FFFFFF"/>
            </w:tcBorders>
            <w:shd w:val="clear" w:color="auto" w:fill="00338D"/>
          </w:tcPr>
          <w:p w:rsidR="00E01EE1" w:rsidRPr="00231490" w:rsidRDefault="00E01EE1" w:rsidP="003D395F">
            <w:pPr>
              <w:pStyle w:val="Tableheading"/>
              <w:rPr>
                <w:sz w:val="22"/>
                <w:szCs w:val="22"/>
              </w:rPr>
            </w:pPr>
            <w:r w:rsidRPr="00231490">
              <w:rPr>
                <w:sz w:val="22"/>
                <w:szCs w:val="22"/>
              </w:rPr>
              <w:t>Peak</w:t>
            </w:r>
          </w:p>
        </w:tc>
        <w:tc>
          <w:tcPr>
            <w:tcW w:w="1686" w:type="pct"/>
            <w:tcBorders>
              <w:left w:val="single" w:sz="4" w:space="0" w:color="FFFFFF"/>
              <w:right w:val="single" w:sz="4" w:space="0" w:color="FFFFFF"/>
            </w:tcBorders>
            <w:shd w:val="clear" w:color="auto" w:fill="00338D"/>
          </w:tcPr>
          <w:p w:rsidR="00E01EE1" w:rsidRPr="00231490" w:rsidRDefault="00E01EE1" w:rsidP="00231490">
            <w:pPr>
              <w:pStyle w:val="Tableheading"/>
              <w:jc w:val="center"/>
              <w:rPr>
                <w:sz w:val="22"/>
                <w:szCs w:val="22"/>
              </w:rPr>
            </w:pPr>
            <w:r w:rsidRPr="00231490">
              <w:rPr>
                <w:sz w:val="22"/>
                <w:szCs w:val="22"/>
              </w:rPr>
              <w:t>NB Delay Reduction (sec)</w:t>
            </w:r>
          </w:p>
        </w:tc>
        <w:tc>
          <w:tcPr>
            <w:tcW w:w="1684" w:type="pct"/>
            <w:tcBorders>
              <w:left w:val="single" w:sz="4" w:space="0" w:color="FFFFFF"/>
              <w:right w:val="single" w:sz="4" w:space="0" w:color="FFFFFF"/>
            </w:tcBorders>
            <w:shd w:val="clear" w:color="auto" w:fill="00338D"/>
          </w:tcPr>
          <w:p w:rsidR="00E01EE1" w:rsidRPr="00231490" w:rsidRDefault="00E01EE1" w:rsidP="00231490">
            <w:pPr>
              <w:pStyle w:val="Tableheading"/>
              <w:jc w:val="center"/>
              <w:rPr>
                <w:sz w:val="22"/>
                <w:szCs w:val="22"/>
              </w:rPr>
            </w:pPr>
            <w:r w:rsidRPr="00231490">
              <w:rPr>
                <w:sz w:val="22"/>
                <w:szCs w:val="22"/>
              </w:rPr>
              <w:t>SB Delay Reduction (sec)</w:t>
            </w:r>
          </w:p>
        </w:tc>
      </w:tr>
      <w:tr w:rsidR="00231490" w:rsidRPr="00231490" w:rsidTr="00231490">
        <w:tc>
          <w:tcPr>
            <w:tcW w:w="1631" w:type="pct"/>
            <w:shd w:val="clear" w:color="auto" w:fill="auto"/>
          </w:tcPr>
          <w:p w:rsidR="00E01EE1" w:rsidRPr="00231490" w:rsidRDefault="00E01EE1" w:rsidP="003D395F">
            <w:pPr>
              <w:pStyle w:val="Tabletext"/>
              <w:rPr>
                <w:sz w:val="22"/>
                <w:szCs w:val="22"/>
              </w:rPr>
            </w:pPr>
            <w:r w:rsidRPr="00231490">
              <w:rPr>
                <w:sz w:val="22"/>
                <w:szCs w:val="22"/>
              </w:rPr>
              <w:t>AM Peak</w:t>
            </w:r>
          </w:p>
        </w:tc>
        <w:tc>
          <w:tcPr>
            <w:tcW w:w="1686" w:type="pct"/>
            <w:shd w:val="clear" w:color="auto" w:fill="auto"/>
          </w:tcPr>
          <w:p w:rsidR="00E01EE1" w:rsidRPr="00231490" w:rsidRDefault="00E01EE1" w:rsidP="00231490">
            <w:pPr>
              <w:pStyle w:val="Tabletext"/>
              <w:jc w:val="center"/>
              <w:rPr>
                <w:sz w:val="22"/>
                <w:szCs w:val="22"/>
              </w:rPr>
            </w:pPr>
            <w:r w:rsidRPr="00231490">
              <w:rPr>
                <w:sz w:val="22"/>
                <w:szCs w:val="22"/>
              </w:rPr>
              <w:t>15.3</w:t>
            </w:r>
          </w:p>
        </w:tc>
        <w:tc>
          <w:tcPr>
            <w:tcW w:w="1684" w:type="pct"/>
            <w:shd w:val="clear" w:color="auto" w:fill="auto"/>
          </w:tcPr>
          <w:p w:rsidR="00E01EE1" w:rsidRPr="00231490" w:rsidRDefault="00E01EE1" w:rsidP="00231490">
            <w:pPr>
              <w:pStyle w:val="Tabletext"/>
              <w:jc w:val="center"/>
              <w:rPr>
                <w:sz w:val="22"/>
                <w:szCs w:val="22"/>
              </w:rPr>
            </w:pPr>
            <w:r w:rsidRPr="00231490">
              <w:rPr>
                <w:sz w:val="22"/>
                <w:szCs w:val="22"/>
              </w:rPr>
              <w:t>43.5</w:t>
            </w:r>
          </w:p>
        </w:tc>
      </w:tr>
      <w:tr w:rsidR="00231490" w:rsidRPr="00231490" w:rsidTr="00231490">
        <w:tc>
          <w:tcPr>
            <w:tcW w:w="1631" w:type="pct"/>
            <w:shd w:val="clear" w:color="auto" w:fill="auto"/>
          </w:tcPr>
          <w:p w:rsidR="00E01EE1" w:rsidRPr="00231490" w:rsidRDefault="00E01EE1" w:rsidP="003D395F">
            <w:pPr>
              <w:pStyle w:val="Tabletext"/>
              <w:rPr>
                <w:sz w:val="22"/>
                <w:szCs w:val="22"/>
              </w:rPr>
            </w:pPr>
            <w:r w:rsidRPr="00231490">
              <w:rPr>
                <w:sz w:val="22"/>
                <w:szCs w:val="22"/>
              </w:rPr>
              <w:t>Inter Peak</w:t>
            </w:r>
          </w:p>
        </w:tc>
        <w:tc>
          <w:tcPr>
            <w:tcW w:w="1686" w:type="pct"/>
            <w:shd w:val="clear" w:color="auto" w:fill="auto"/>
          </w:tcPr>
          <w:p w:rsidR="00E01EE1" w:rsidRPr="00231490" w:rsidRDefault="00E01EE1" w:rsidP="00231490">
            <w:pPr>
              <w:pStyle w:val="Tabletext"/>
              <w:jc w:val="center"/>
              <w:rPr>
                <w:sz w:val="22"/>
                <w:szCs w:val="22"/>
              </w:rPr>
            </w:pPr>
            <w:r w:rsidRPr="00231490">
              <w:rPr>
                <w:sz w:val="22"/>
                <w:szCs w:val="22"/>
              </w:rPr>
              <w:t>26.15</w:t>
            </w:r>
          </w:p>
        </w:tc>
        <w:tc>
          <w:tcPr>
            <w:tcW w:w="1684" w:type="pct"/>
            <w:shd w:val="clear" w:color="auto" w:fill="auto"/>
          </w:tcPr>
          <w:p w:rsidR="00E01EE1" w:rsidRPr="00231490" w:rsidRDefault="00E01EE1" w:rsidP="00231490">
            <w:pPr>
              <w:pStyle w:val="Tabletext"/>
              <w:jc w:val="center"/>
              <w:rPr>
                <w:sz w:val="22"/>
                <w:szCs w:val="22"/>
              </w:rPr>
            </w:pPr>
            <w:r w:rsidRPr="00231490">
              <w:rPr>
                <w:sz w:val="22"/>
                <w:szCs w:val="22"/>
              </w:rPr>
              <w:t>26.7</w:t>
            </w:r>
          </w:p>
        </w:tc>
      </w:tr>
      <w:tr w:rsidR="00231490" w:rsidRPr="00231490" w:rsidTr="00231490">
        <w:tc>
          <w:tcPr>
            <w:tcW w:w="1631" w:type="pct"/>
            <w:shd w:val="clear" w:color="auto" w:fill="auto"/>
          </w:tcPr>
          <w:p w:rsidR="00E01EE1" w:rsidRPr="00231490" w:rsidRDefault="00E01EE1" w:rsidP="003D395F">
            <w:pPr>
              <w:pStyle w:val="Tabletext"/>
              <w:rPr>
                <w:sz w:val="22"/>
                <w:szCs w:val="22"/>
              </w:rPr>
            </w:pPr>
            <w:r w:rsidRPr="00231490">
              <w:rPr>
                <w:sz w:val="22"/>
                <w:szCs w:val="22"/>
              </w:rPr>
              <w:t>PM Peak</w:t>
            </w:r>
          </w:p>
        </w:tc>
        <w:tc>
          <w:tcPr>
            <w:tcW w:w="1686" w:type="pct"/>
            <w:shd w:val="clear" w:color="auto" w:fill="auto"/>
          </w:tcPr>
          <w:p w:rsidR="00E01EE1" w:rsidRPr="00231490" w:rsidRDefault="00E01EE1" w:rsidP="00231490">
            <w:pPr>
              <w:pStyle w:val="Tabletext"/>
              <w:jc w:val="center"/>
              <w:rPr>
                <w:sz w:val="22"/>
                <w:szCs w:val="22"/>
              </w:rPr>
            </w:pPr>
            <w:r w:rsidRPr="00231490">
              <w:rPr>
                <w:sz w:val="22"/>
                <w:szCs w:val="22"/>
              </w:rPr>
              <w:t>5.4</w:t>
            </w:r>
          </w:p>
        </w:tc>
        <w:tc>
          <w:tcPr>
            <w:tcW w:w="1684" w:type="pct"/>
            <w:shd w:val="clear" w:color="auto" w:fill="auto"/>
          </w:tcPr>
          <w:p w:rsidR="00E01EE1" w:rsidRPr="00231490" w:rsidRDefault="00E01EE1" w:rsidP="00231490">
            <w:pPr>
              <w:pStyle w:val="Tabletext"/>
              <w:jc w:val="center"/>
              <w:rPr>
                <w:sz w:val="22"/>
                <w:szCs w:val="22"/>
              </w:rPr>
            </w:pPr>
            <w:r w:rsidRPr="00231490">
              <w:rPr>
                <w:sz w:val="22"/>
                <w:szCs w:val="22"/>
              </w:rPr>
              <w:t>54</w:t>
            </w:r>
          </w:p>
        </w:tc>
      </w:tr>
    </w:tbl>
    <w:p w:rsidR="00E01EE1" w:rsidRPr="00E01EE1" w:rsidRDefault="00E01EE1" w:rsidP="00E01EE1">
      <w:pPr>
        <w:pStyle w:val="Para0"/>
        <w:rPr>
          <w:sz w:val="22"/>
          <w:szCs w:val="22"/>
        </w:rPr>
      </w:pPr>
      <w:r w:rsidRPr="00E01EE1">
        <w:rPr>
          <w:sz w:val="22"/>
          <w:szCs w:val="22"/>
        </w:rPr>
        <w:t xml:space="preserve">As the above table shows there is a significant reduction in overall delays in the modelled scenario from the Existing Situation. This delay reduction is greatest on the Southbound direction along the </w:t>
      </w:r>
      <w:r w:rsidRPr="00E01EE1">
        <w:rPr>
          <w:sz w:val="22"/>
          <w:szCs w:val="22"/>
        </w:rPr>
        <w:lastRenderedPageBreak/>
        <w:t>Golden Mile, with the greatest potential savings recorded in the PM Peak which could positively impact the largest number of bus passengers travelling through along the Golden Mile.</w:t>
      </w:r>
    </w:p>
    <w:p w:rsidR="00E01EE1" w:rsidRPr="00E01EE1" w:rsidRDefault="00E01EE1" w:rsidP="00E01EE1">
      <w:pPr>
        <w:pStyle w:val="Para0"/>
        <w:rPr>
          <w:sz w:val="22"/>
          <w:szCs w:val="22"/>
        </w:rPr>
      </w:pPr>
      <w:r w:rsidRPr="00E01EE1">
        <w:rPr>
          <w:sz w:val="22"/>
          <w:szCs w:val="22"/>
        </w:rPr>
        <w:t>These timing changes will need to be implemented on a trial basis and monitored to ascertain if the timings can be left in place permanently or adjusted if required to maintain the current bus journey times through the Golden Mile.</w:t>
      </w:r>
    </w:p>
    <w:p w:rsidR="00E01EE1" w:rsidRPr="00E01EE1" w:rsidRDefault="00E01EE1" w:rsidP="00E01EE1">
      <w:pPr>
        <w:pStyle w:val="Para0"/>
        <w:rPr>
          <w:sz w:val="22"/>
          <w:szCs w:val="22"/>
        </w:rPr>
      </w:pPr>
      <w:r w:rsidRPr="00E01EE1">
        <w:rPr>
          <w:sz w:val="22"/>
          <w:szCs w:val="22"/>
        </w:rPr>
        <w:t>There is also a significant benefit in reduced wait times for pedestrians when these lower cycle times are implemented at an intersection as there are more cycles in that given hour and there is also additional pedestrian capacity as the pedestrian phases have more opportunities to operate per hour.</w:t>
      </w:r>
    </w:p>
    <w:p w:rsidR="00E01EE1" w:rsidRPr="00E01EE1" w:rsidRDefault="00E01EE1" w:rsidP="00E01EE1">
      <w:pPr>
        <w:pStyle w:val="Para0"/>
        <w:rPr>
          <w:sz w:val="22"/>
          <w:szCs w:val="22"/>
        </w:rPr>
      </w:pPr>
      <w:r w:rsidRPr="00E01EE1">
        <w:rPr>
          <w:sz w:val="22"/>
          <w:szCs w:val="22"/>
        </w:rPr>
        <w:t>Modelling suggests that there is very little impact on the existing traffic queues from the lower operating cycle times – due to the ceiling degree of saturation of 80% for any arm on each intersection preventing the modelling results showing over capacity intersections. This has been proved in the initial implementation results so far.</w:t>
      </w:r>
    </w:p>
    <w:p w:rsidR="00E01EE1" w:rsidRPr="00177882" w:rsidRDefault="00E01EE1" w:rsidP="00177882">
      <w:pPr>
        <w:rPr>
          <w:rFonts w:ascii="Arial" w:hAnsi="Arial" w:cs="Arial"/>
          <w:b/>
          <w:sz w:val="28"/>
          <w:szCs w:val="28"/>
        </w:rPr>
      </w:pPr>
    </w:p>
    <w:p w:rsidR="00177882" w:rsidRPr="00177882" w:rsidRDefault="004C58A7" w:rsidP="004C58A7">
      <w:pPr>
        <w:pStyle w:val="Heading1"/>
      </w:pPr>
      <w:r w:rsidRPr="00177882">
        <w:lastRenderedPageBreak/>
        <w:t xml:space="preserve"> </w:t>
      </w:r>
      <w:r w:rsidR="00177882" w:rsidRPr="00177882">
        <w:t>Acknowledgment</w:t>
      </w:r>
      <w:r w:rsidR="00177882" w:rsidRPr="00177882">
        <w:rPr>
          <w:strike/>
        </w:rPr>
        <w:t>s</w:t>
      </w:r>
      <w:r w:rsidR="00177882" w:rsidRPr="00177882">
        <w:t xml:space="preserve"> </w:t>
      </w:r>
    </w:p>
    <w:p w:rsidR="00166D78" w:rsidRDefault="00166D78" w:rsidP="00177882">
      <w:pPr>
        <w:rPr>
          <w:rFonts w:ascii="Arial" w:hAnsi="Arial" w:cs="Arial"/>
          <w:sz w:val="22"/>
          <w:szCs w:val="22"/>
        </w:rPr>
      </w:pPr>
      <w:r>
        <w:rPr>
          <w:rFonts w:ascii="Arial" w:hAnsi="Arial" w:cs="Arial"/>
          <w:sz w:val="22"/>
          <w:szCs w:val="22"/>
        </w:rPr>
        <w:t>Joe Hewitt – WCC Project Lead</w:t>
      </w:r>
    </w:p>
    <w:p w:rsidR="00177882" w:rsidRDefault="004C58A7" w:rsidP="00177882">
      <w:pPr>
        <w:rPr>
          <w:rFonts w:ascii="Arial" w:hAnsi="Arial" w:cs="Arial"/>
          <w:sz w:val="22"/>
          <w:szCs w:val="22"/>
        </w:rPr>
      </w:pPr>
      <w:r>
        <w:rPr>
          <w:rFonts w:ascii="Arial" w:hAnsi="Arial" w:cs="Arial"/>
          <w:sz w:val="22"/>
          <w:szCs w:val="22"/>
        </w:rPr>
        <w:t>Tim Kirby – WCC</w:t>
      </w:r>
      <w:r w:rsidR="00166D78">
        <w:rPr>
          <w:rFonts w:ascii="Arial" w:hAnsi="Arial" w:cs="Arial"/>
          <w:sz w:val="22"/>
          <w:szCs w:val="22"/>
        </w:rPr>
        <w:t xml:space="preserve"> Signals Team</w:t>
      </w:r>
    </w:p>
    <w:p w:rsidR="00166D78" w:rsidRDefault="00166D78" w:rsidP="00177882">
      <w:pPr>
        <w:rPr>
          <w:rFonts w:ascii="Arial" w:hAnsi="Arial" w:cs="Arial"/>
          <w:sz w:val="22"/>
          <w:szCs w:val="22"/>
        </w:rPr>
      </w:pPr>
      <w:r>
        <w:rPr>
          <w:rFonts w:ascii="Arial" w:hAnsi="Arial" w:cs="Arial"/>
          <w:sz w:val="22"/>
          <w:szCs w:val="22"/>
        </w:rPr>
        <w:t>Steen Bohanna – WCC Signals Team</w:t>
      </w:r>
    </w:p>
    <w:p w:rsidR="00166D78" w:rsidRDefault="00166D78" w:rsidP="00177882">
      <w:pPr>
        <w:rPr>
          <w:rFonts w:ascii="Arial" w:hAnsi="Arial" w:cs="Arial"/>
          <w:sz w:val="22"/>
          <w:szCs w:val="22"/>
        </w:rPr>
      </w:pPr>
    </w:p>
    <w:p w:rsidR="004C58A7" w:rsidRPr="00DF4D62" w:rsidRDefault="004C58A7" w:rsidP="00177882">
      <w:pPr>
        <w:rPr>
          <w:rFonts w:ascii="Arial" w:hAnsi="Arial" w:cs="Arial"/>
          <w:sz w:val="22"/>
          <w:szCs w:val="22"/>
        </w:rPr>
      </w:pPr>
    </w:p>
    <w:p w:rsidR="00CD3A35" w:rsidRDefault="00CD3A35" w:rsidP="00467137">
      <w:pPr>
        <w:rPr>
          <w:rFonts w:ascii="Arial" w:hAnsi="Arial" w:cs="Arial"/>
          <w:i/>
          <w:sz w:val="22"/>
          <w:szCs w:val="22"/>
        </w:rPr>
      </w:pPr>
    </w:p>
    <w:sectPr w:rsidR="00CD3A35" w:rsidSect="00403697">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490" w:rsidRDefault="00231490">
      <w:r>
        <w:separator/>
      </w:r>
    </w:p>
  </w:endnote>
  <w:endnote w:type="continuationSeparator" w:id="0">
    <w:p w:rsidR="00231490" w:rsidRDefault="0023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70C" w:rsidRDefault="00A47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511" w:rsidRDefault="00B07511" w:rsidP="00E80B42">
    <w:pPr>
      <w:pStyle w:val="BodyText3"/>
      <w:pBdr>
        <w:top w:val="single" w:sz="4" w:space="1" w:color="auto"/>
      </w:pBdr>
      <w:ind w:right="-1"/>
      <w:rPr>
        <w:i/>
        <w:sz w:val="18"/>
        <w:szCs w:val="18"/>
      </w:rPr>
    </w:pPr>
  </w:p>
  <w:p w:rsidR="00467137" w:rsidRPr="00D34B11" w:rsidRDefault="00833C10" w:rsidP="00E80B42">
    <w:pPr>
      <w:pStyle w:val="BodyText3"/>
      <w:pBdr>
        <w:top w:val="single" w:sz="4" w:space="1" w:color="auto"/>
      </w:pBdr>
      <w:ind w:right="-1"/>
      <w:rPr>
        <w:i/>
        <w:sz w:val="18"/>
        <w:szCs w:val="18"/>
      </w:rPr>
    </w:pPr>
    <w:r>
      <w:rPr>
        <w:noProof/>
      </w:rPr>
      <w:drawing>
        <wp:anchor distT="0" distB="0" distL="114300" distR="114300" simplePos="0" relativeHeight="251657728" behindDoc="1" locked="0" layoutInCell="1" allowOverlap="1">
          <wp:simplePos x="0" y="0"/>
          <wp:positionH relativeFrom="column">
            <wp:posOffset>4271010</wp:posOffset>
          </wp:positionH>
          <wp:positionV relativeFrom="paragraph">
            <wp:posOffset>-14605</wp:posOffset>
          </wp:positionV>
          <wp:extent cx="1866900" cy="459740"/>
          <wp:effectExtent l="0" t="0" r="0" b="0"/>
          <wp:wrapTight wrapText="bothSides">
            <wp:wrapPolygon edited="0">
              <wp:start x="0" y="0"/>
              <wp:lineTo x="0" y="20586"/>
              <wp:lineTo x="21380" y="20586"/>
              <wp:lineTo x="21380" y="0"/>
              <wp:lineTo x="0" y="0"/>
            </wp:wrapPolygon>
          </wp:wrapTight>
          <wp:docPr id="1" name="Picture 1" descr="TR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G-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459740"/>
                  </a:xfrm>
                  <a:prstGeom prst="rect">
                    <a:avLst/>
                  </a:prstGeom>
                  <a:noFill/>
                </pic:spPr>
              </pic:pic>
            </a:graphicData>
          </a:graphic>
          <wp14:sizeRelH relativeFrom="page">
            <wp14:pctWidth>0</wp14:pctWidth>
          </wp14:sizeRelH>
          <wp14:sizeRelV relativeFrom="page">
            <wp14:pctHeight>0</wp14:pctHeight>
          </wp14:sizeRelV>
        </wp:anchor>
      </w:drawing>
    </w:r>
    <w:r w:rsidR="00467137" w:rsidRPr="00D34B11">
      <w:rPr>
        <w:i/>
        <w:sz w:val="18"/>
        <w:szCs w:val="18"/>
      </w:rPr>
      <w:t xml:space="preserve">Transportation </w:t>
    </w:r>
    <w:r w:rsidR="00B53A9C">
      <w:rPr>
        <w:i/>
        <w:sz w:val="18"/>
        <w:szCs w:val="18"/>
      </w:rPr>
      <w:t>2020</w:t>
    </w:r>
    <w:r w:rsidR="00C24503">
      <w:rPr>
        <w:i/>
        <w:sz w:val="18"/>
        <w:szCs w:val="18"/>
      </w:rPr>
      <w:t xml:space="preserve"> </w:t>
    </w:r>
    <w:r w:rsidR="00C31A47">
      <w:rPr>
        <w:i/>
        <w:sz w:val="18"/>
        <w:szCs w:val="18"/>
      </w:rPr>
      <w:t>C</w:t>
    </w:r>
    <w:r w:rsidR="00467137" w:rsidRPr="00D34B11">
      <w:rPr>
        <w:i/>
        <w:sz w:val="18"/>
        <w:szCs w:val="18"/>
      </w:rPr>
      <w:t xml:space="preserve">onference, </w:t>
    </w:r>
    <w:r w:rsidR="00A46525">
      <w:rPr>
        <w:i/>
        <w:sz w:val="18"/>
        <w:szCs w:val="18"/>
      </w:rPr>
      <w:t xml:space="preserve">10 – 13 March, </w:t>
    </w:r>
    <w:r w:rsidR="00B53A9C">
      <w:rPr>
        <w:i/>
        <w:sz w:val="18"/>
        <w:szCs w:val="18"/>
      </w:rPr>
      <w:t>Christchurch Town Hall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70C" w:rsidRDefault="00A47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490" w:rsidRDefault="00231490">
      <w:r>
        <w:separator/>
      </w:r>
    </w:p>
  </w:footnote>
  <w:footnote w:type="continuationSeparator" w:id="0">
    <w:p w:rsidR="00231490" w:rsidRDefault="00231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70C" w:rsidRDefault="00A47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137" w:rsidRPr="00BB7E88" w:rsidRDefault="004C58A7" w:rsidP="00BB7E88">
    <w:pPr>
      <w:pStyle w:val="Header"/>
      <w:pBdr>
        <w:bottom w:val="single" w:sz="4" w:space="1" w:color="auto"/>
      </w:pBdr>
      <w:tabs>
        <w:tab w:val="left" w:pos="360"/>
        <w:tab w:val="right" w:pos="9071"/>
      </w:tabs>
      <w:rPr>
        <w:rFonts w:ascii="Arial" w:hAnsi="Arial" w:cs="Arial"/>
        <w:i/>
        <w:sz w:val="18"/>
        <w:szCs w:val="18"/>
      </w:rPr>
    </w:pPr>
    <w:r>
      <w:rPr>
        <w:rStyle w:val="PageNumber"/>
        <w:rFonts w:ascii="Arial" w:hAnsi="Arial" w:cs="Arial"/>
        <w:i/>
        <w:sz w:val="18"/>
        <w:szCs w:val="18"/>
      </w:rPr>
      <w:t>Golden Mile Bus Priority Improvements</w:t>
    </w:r>
    <w:r w:rsidR="00467137">
      <w:rPr>
        <w:rStyle w:val="PageNumber"/>
        <w:rFonts w:ascii="Arial" w:hAnsi="Arial" w:cs="Arial"/>
        <w:i/>
        <w:sz w:val="18"/>
        <w:szCs w:val="18"/>
      </w:rPr>
      <w:tab/>
    </w:r>
    <w:r>
      <w:rPr>
        <w:rStyle w:val="PageNumber"/>
        <w:rFonts w:ascii="Arial" w:hAnsi="Arial" w:cs="Arial"/>
        <w:i/>
        <w:sz w:val="18"/>
        <w:szCs w:val="18"/>
      </w:rPr>
      <w:t>James Hine/Claire Ashburn</w:t>
    </w:r>
    <w:r w:rsidR="00467137">
      <w:rPr>
        <w:rStyle w:val="PageNumber"/>
        <w:rFonts w:ascii="Arial" w:hAnsi="Arial" w:cs="Arial"/>
        <w:i/>
        <w:sz w:val="18"/>
        <w:szCs w:val="18"/>
      </w:rPr>
      <w:t xml:space="preserve">                                                             </w:t>
    </w:r>
    <w:r w:rsidR="00467137" w:rsidRPr="00BB7E88">
      <w:rPr>
        <w:rStyle w:val="PageNumber"/>
        <w:rFonts w:ascii="Arial" w:hAnsi="Arial" w:cs="Arial"/>
        <w:i/>
        <w:sz w:val="18"/>
        <w:szCs w:val="18"/>
      </w:rPr>
      <w:tab/>
    </w:r>
    <w:r w:rsidR="00467137">
      <w:rPr>
        <w:rStyle w:val="PageNumber"/>
        <w:rFonts w:ascii="Arial" w:hAnsi="Arial" w:cs="Arial"/>
        <w:i/>
        <w:sz w:val="18"/>
        <w:szCs w:val="18"/>
      </w:rPr>
      <w:t>Page</w:t>
    </w:r>
    <w:r w:rsidR="00467137" w:rsidRPr="00BB7E88">
      <w:rPr>
        <w:rStyle w:val="PageNumber"/>
        <w:rFonts w:ascii="Arial" w:hAnsi="Arial" w:cs="Arial"/>
        <w:i/>
        <w:sz w:val="18"/>
        <w:szCs w:val="18"/>
      </w:rPr>
      <w:t xml:space="preserve"> </w:t>
    </w:r>
    <w:r w:rsidR="00467137" w:rsidRPr="00BB7E88">
      <w:rPr>
        <w:rStyle w:val="PageNumber"/>
        <w:rFonts w:ascii="Arial" w:hAnsi="Arial" w:cs="Arial"/>
        <w:i/>
        <w:sz w:val="18"/>
        <w:szCs w:val="18"/>
      </w:rPr>
      <w:fldChar w:fldCharType="begin"/>
    </w:r>
    <w:r w:rsidR="00467137" w:rsidRPr="00BB7E88">
      <w:rPr>
        <w:rStyle w:val="PageNumber"/>
        <w:rFonts w:ascii="Arial" w:hAnsi="Arial" w:cs="Arial"/>
        <w:i/>
        <w:sz w:val="18"/>
        <w:szCs w:val="18"/>
      </w:rPr>
      <w:instrText xml:space="preserve"> PAGE </w:instrText>
    </w:r>
    <w:r w:rsidR="00467137" w:rsidRPr="00BB7E88">
      <w:rPr>
        <w:rStyle w:val="PageNumber"/>
        <w:rFonts w:ascii="Arial" w:hAnsi="Arial" w:cs="Arial"/>
        <w:i/>
        <w:sz w:val="18"/>
        <w:szCs w:val="18"/>
      </w:rPr>
      <w:fldChar w:fldCharType="separate"/>
    </w:r>
    <w:r w:rsidR="00C105F4">
      <w:rPr>
        <w:rStyle w:val="PageNumber"/>
        <w:rFonts w:ascii="Arial" w:hAnsi="Arial" w:cs="Arial"/>
        <w:i/>
        <w:noProof/>
        <w:sz w:val="18"/>
        <w:szCs w:val="18"/>
      </w:rPr>
      <w:t>4</w:t>
    </w:r>
    <w:r w:rsidR="00467137" w:rsidRPr="00BB7E88">
      <w:rPr>
        <w:rStyle w:val="PageNumber"/>
        <w:rFonts w:ascii="Arial" w:hAnsi="Arial" w:cs="Arial"/>
        <w:i/>
        <w:sz w:val="18"/>
        <w:szCs w:val="18"/>
      </w:rPr>
      <w:fldChar w:fldCharType="end"/>
    </w:r>
  </w:p>
  <w:p w:rsidR="00467137" w:rsidRDefault="00467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70C" w:rsidRDefault="00A47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399"/>
    <w:multiLevelType w:val="multilevel"/>
    <w:tmpl w:val="080ABF0C"/>
    <w:styleLink w:val="JacobsBulletList1"/>
    <w:lvl w:ilvl="0">
      <w:start w:val="1"/>
      <w:numFmt w:val="bullet"/>
      <w:pStyle w:val="Para0bullet"/>
      <w:lvlText w:val=""/>
      <w:lvlJc w:val="left"/>
      <w:pPr>
        <w:ind w:left="425" w:hanging="425"/>
      </w:pPr>
      <w:rPr>
        <w:rFonts w:ascii="Symbol" w:hAnsi="Symbol" w:hint="default"/>
        <w:color w:val="auto"/>
        <w:sz w:val="18"/>
      </w:rPr>
    </w:lvl>
    <w:lvl w:ilvl="1">
      <w:start w:val="1"/>
      <w:numFmt w:val="bullet"/>
      <w:pStyle w:val="Para1narrowarrow"/>
      <w:lvlText w:val="-"/>
      <w:lvlJc w:val="left"/>
      <w:pPr>
        <w:ind w:left="851" w:hanging="426"/>
      </w:pPr>
      <w:rPr>
        <w:rFonts w:ascii="Arial" w:hAnsi="Arial" w:hint="default"/>
        <w:color w:val="000000"/>
        <w:sz w:val="18"/>
      </w:rPr>
    </w:lvl>
    <w:lvl w:ilvl="2">
      <w:start w:val="1"/>
      <w:numFmt w:val="none"/>
      <w:lvlRestart w:val="0"/>
      <w:lvlText w:val=""/>
      <w:lvlJc w:val="left"/>
      <w:pPr>
        <w:ind w:left="851" w:hanging="426"/>
      </w:pPr>
      <w:rPr>
        <w:rFonts w:hint="default"/>
      </w:rPr>
    </w:lvl>
    <w:lvl w:ilvl="3">
      <w:start w:val="1"/>
      <w:numFmt w:val="none"/>
      <w:lvlRestart w:val="0"/>
      <w:lvlText w:val=""/>
      <w:lvlJc w:val="left"/>
      <w:pPr>
        <w:ind w:left="851" w:hanging="426"/>
      </w:pPr>
      <w:rPr>
        <w:rFonts w:hint="default"/>
      </w:rPr>
    </w:lvl>
    <w:lvl w:ilvl="4">
      <w:start w:val="1"/>
      <w:numFmt w:val="none"/>
      <w:lvlRestart w:val="0"/>
      <w:lvlText w:val=""/>
      <w:lvlJc w:val="left"/>
      <w:pPr>
        <w:ind w:left="851" w:hanging="426"/>
      </w:pPr>
      <w:rPr>
        <w:rFonts w:hint="default"/>
      </w:rPr>
    </w:lvl>
    <w:lvl w:ilvl="5">
      <w:start w:val="1"/>
      <w:numFmt w:val="none"/>
      <w:lvlRestart w:val="0"/>
      <w:lvlText w:val=""/>
      <w:lvlJc w:val="left"/>
      <w:pPr>
        <w:ind w:left="851" w:hanging="426"/>
      </w:pPr>
      <w:rPr>
        <w:rFonts w:hint="default"/>
      </w:rPr>
    </w:lvl>
    <w:lvl w:ilvl="6">
      <w:start w:val="1"/>
      <w:numFmt w:val="none"/>
      <w:lvlRestart w:val="0"/>
      <w:lvlText w:val=""/>
      <w:lvlJc w:val="left"/>
      <w:pPr>
        <w:ind w:left="851" w:hanging="426"/>
      </w:pPr>
      <w:rPr>
        <w:rFonts w:hint="default"/>
      </w:rPr>
    </w:lvl>
    <w:lvl w:ilvl="7">
      <w:start w:val="1"/>
      <w:numFmt w:val="none"/>
      <w:lvlRestart w:val="0"/>
      <w:lvlText w:val=""/>
      <w:lvlJc w:val="left"/>
      <w:pPr>
        <w:ind w:left="851" w:hanging="426"/>
      </w:pPr>
      <w:rPr>
        <w:rFonts w:hint="default"/>
      </w:rPr>
    </w:lvl>
    <w:lvl w:ilvl="8">
      <w:start w:val="1"/>
      <w:numFmt w:val="none"/>
      <w:lvlRestart w:val="0"/>
      <w:lvlText w:val=""/>
      <w:lvlJc w:val="left"/>
      <w:pPr>
        <w:ind w:left="851" w:hanging="426"/>
      </w:pPr>
      <w:rPr>
        <w:rFonts w:hint="default"/>
      </w:rPr>
    </w:lvl>
  </w:abstractNum>
  <w:abstractNum w:abstractNumId="1" w15:restartNumberingAfterBreak="0">
    <w:nsid w:val="04F02583"/>
    <w:multiLevelType w:val="hybridMultilevel"/>
    <w:tmpl w:val="BB08D5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53B47"/>
    <w:multiLevelType w:val="hybridMultilevel"/>
    <w:tmpl w:val="255CAABC"/>
    <w:lvl w:ilvl="0" w:tplc="092C556A">
      <w:start w:val="1"/>
      <w:numFmt w:val="bullet"/>
      <w:pStyle w:val="ContentBulletsDash"/>
      <w:lvlText w:val=""/>
      <w:lvlJc w:val="left"/>
      <w:pPr>
        <w:ind w:left="1418" w:hanging="851"/>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C3193"/>
    <w:multiLevelType w:val="hybridMultilevel"/>
    <w:tmpl w:val="AC8AB024"/>
    <w:lvl w:ilvl="0" w:tplc="96D60054">
      <w:start w:val="1"/>
      <w:numFmt w:val="lowerLetter"/>
      <w:pStyle w:val="ContentBulletsLetter"/>
      <w:lvlText w:val="%1)"/>
      <w:lvlJc w:val="left"/>
      <w:pPr>
        <w:ind w:left="1418" w:hanging="851"/>
      </w:pPr>
      <w:rPr>
        <w:rFonts w:hint="default"/>
      </w:rPr>
    </w:lvl>
    <w:lvl w:ilvl="1" w:tplc="CEAEA6BE">
      <w:start w:val="1"/>
      <w:numFmt w:val="lowerLetter"/>
      <w:lvlText w:val="%2."/>
      <w:lvlJc w:val="left"/>
      <w:pPr>
        <w:ind w:left="1440" w:hanging="360"/>
      </w:pPr>
    </w:lvl>
    <w:lvl w:ilvl="2" w:tplc="726281C0" w:tentative="1">
      <w:start w:val="1"/>
      <w:numFmt w:val="lowerRoman"/>
      <w:lvlText w:val="%3."/>
      <w:lvlJc w:val="right"/>
      <w:pPr>
        <w:ind w:left="2160" w:hanging="180"/>
      </w:pPr>
    </w:lvl>
    <w:lvl w:ilvl="3" w:tplc="441EB3B4" w:tentative="1">
      <w:start w:val="1"/>
      <w:numFmt w:val="decimal"/>
      <w:lvlText w:val="%4."/>
      <w:lvlJc w:val="left"/>
      <w:pPr>
        <w:ind w:left="2880" w:hanging="360"/>
      </w:pPr>
    </w:lvl>
    <w:lvl w:ilvl="4" w:tplc="8E12C5A2" w:tentative="1">
      <w:start w:val="1"/>
      <w:numFmt w:val="lowerLetter"/>
      <w:lvlText w:val="%5."/>
      <w:lvlJc w:val="left"/>
      <w:pPr>
        <w:ind w:left="3600" w:hanging="360"/>
      </w:pPr>
    </w:lvl>
    <w:lvl w:ilvl="5" w:tplc="7FBE19C0" w:tentative="1">
      <w:start w:val="1"/>
      <w:numFmt w:val="lowerRoman"/>
      <w:lvlText w:val="%6."/>
      <w:lvlJc w:val="right"/>
      <w:pPr>
        <w:ind w:left="4320" w:hanging="180"/>
      </w:pPr>
    </w:lvl>
    <w:lvl w:ilvl="6" w:tplc="37948A54" w:tentative="1">
      <w:start w:val="1"/>
      <w:numFmt w:val="decimal"/>
      <w:lvlText w:val="%7."/>
      <w:lvlJc w:val="left"/>
      <w:pPr>
        <w:ind w:left="5040" w:hanging="360"/>
      </w:pPr>
    </w:lvl>
    <w:lvl w:ilvl="7" w:tplc="4E9C4C02" w:tentative="1">
      <w:start w:val="1"/>
      <w:numFmt w:val="lowerLetter"/>
      <w:lvlText w:val="%8."/>
      <w:lvlJc w:val="left"/>
      <w:pPr>
        <w:ind w:left="5760" w:hanging="360"/>
      </w:pPr>
    </w:lvl>
    <w:lvl w:ilvl="8" w:tplc="81DE9170" w:tentative="1">
      <w:start w:val="1"/>
      <w:numFmt w:val="lowerRoman"/>
      <w:lvlText w:val="%9."/>
      <w:lvlJc w:val="right"/>
      <w:pPr>
        <w:ind w:left="6480" w:hanging="180"/>
      </w:pPr>
    </w:lvl>
  </w:abstractNum>
  <w:abstractNum w:abstractNumId="4" w15:restartNumberingAfterBreak="0">
    <w:nsid w:val="3A3C41A2"/>
    <w:multiLevelType w:val="multilevel"/>
    <w:tmpl w:val="F474C104"/>
    <w:styleLink w:val="JacobsNumberedList2"/>
    <w:lvl w:ilvl="0">
      <w:start w:val="1"/>
      <w:numFmt w:val="lowerLetter"/>
      <w:pStyle w:val="Para0letter"/>
      <w:lvlText w:val="%1)"/>
      <w:lvlJc w:val="left"/>
      <w:pPr>
        <w:ind w:left="425" w:hanging="425"/>
      </w:pPr>
      <w:rPr>
        <w:rFonts w:hint="default"/>
      </w:rPr>
    </w:lvl>
    <w:lvl w:ilvl="1">
      <w:start w:val="1"/>
      <w:numFmt w:val="lowerRoman"/>
      <w:lvlText w:val="%2."/>
      <w:lvlJc w:val="left"/>
      <w:pPr>
        <w:ind w:left="851" w:hanging="426"/>
      </w:pPr>
      <w:rPr>
        <w:rFonts w:hint="default"/>
      </w:rPr>
    </w:lvl>
    <w:lvl w:ilvl="2">
      <w:start w:val="1"/>
      <w:numFmt w:val="none"/>
      <w:lvlRestart w:val="0"/>
      <w:lvlText w:val=""/>
      <w:lvlJc w:val="left"/>
      <w:pPr>
        <w:ind w:left="851" w:hanging="426"/>
      </w:pPr>
      <w:rPr>
        <w:rFonts w:hint="default"/>
      </w:rPr>
    </w:lvl>
    <w:lvl w:ilvl="3">
      <w:start w:val="1"/>
      <w:numFmt w:val="none"/>
      <w:lvlRestart w:val="0"/>
      <w:lvlText w:val=""/>
      <w:lvlJc w:val="left"/>
      <w:pPr>
        <w:ind w:left="851" w:hanging="426"/>
      </w:pPr>
      <w:rPr>
        <w:rFonts w:hint="default"/>
      </w:rPr>
    </w:lvl>
    <w:lvl w:ilvl="4">
      <w:start w:val="1"/>
      <w:numFmt w:val="none"/>
      <w:lvlRestart w:val="0"/>
      <w:lvlText w:val=""/>
      <w:lvlJc w:val="left"/>
      <w:pPr>
        <w:ind w:left="851" w:hanging="426"/>
      </w:pPr>
      <w:rPr>
        <w:rFonts w:hint="default"/>
      </w:rPr>
    </w:lvl>
    <w:lvl w:ilvl="5">
      <w:start w:val="1"/>
      <w:numFmt w:val="none"/>
      <w:lvlRestart w:val="0"/>
      <w:lvlText w:val=""/>
      <w:lvlJc w:val="left"/>
      <w:pPr>
        <w:ind w:left="851" w:hanging="426"/>
      </w:pPr>
      <w:rPr>
        <w:rFonts w:hint="default"/>
      </w:rPr>
    </w:lvl>
    <w:lvl w:ilvl="6">
      <w:start w:val="1"/>
      <w:numFmt w:val="none"/>
      <w:lvlRestart w:val="0"/>
      <w:lvlText w:val=""/>
      <w:lvlJc w:val="left"/>
      <w:pPr>
        <w:ind w:left="851" w:hanging="426"/>
      </w:pPr>
      <w:rPr>
        <w:rFonts w:hint="default"/>
      </w:rPr>
    </w:lvl>
    <w:lvl w:ilvl="7">
      <w:start w:val="1"/>
      <w:numFmt w:val="none"/>
      <w:lvlRestart w:val="0"/>
      <w:lvlText w:val=""/>
      <w:lvlJc w:val="left"/>
      <w:pPr>
        <w:ind w:left="851" w:hanging="426"/>
      </w:pPr>
      <w:rPr>
        <w:rFonts w:hint="default"/>
      </w:rPr>
    </w:lvl>
    <w:lvl w:ilvl="8">
      <w:start w:val="1"/>
      <w:numFmt w:val="none"/>
      <w:lvlRestart w:val="0"/>
      <w:lvlText w:val=""/>
      <w:lvlJc w:val="left"/>
      <w:pPr>
        <w:ind w:left="851" w:hanging="426"/>
      </w:pPr>
      <w:rPr>
        <w:rFonts w:hint="default"/>
      </w:rPr>
    </w:lvl>
  </w:abstractNum>
  <w:abstractNum w:abstractNumId="5" w15:restartNumberingAfterBreak="0">
    <w:nsid w:val="5520077F"/>
    <w:multiLevelType w:val="hybridMultilevel"/>
    <w:tmpl w:val="21D8BBD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5C7C4E77"/>
    <w:multiLevelType w:val="multilevel"/>
    <w:tmpl w:val="78AAB3A4"/>
    <w:lvl w:ilvl="0">
      <w:start w:val="1"/>
      <w:numFmt w:val="decimal"/>
      <w:pStyle w:val="Heading1"/>
      <w:lvlText w:val="%1."/>
      <w:lvlJc w:val="left"/>
      <w:pPr>
        <w:ind w:left="360" w:hanging="360"/>
      </w:pPr>
      <w:rPr>
        <w:rFonts w:ascii="Arial" w:hAnsi="Arial" w:hint="default"/>
        <w:b/>
        <w:bCs/>
        <w:i w:val="0"/>
        <w:iCs w:val="0"/>
        <w:color w:val="00338D"/>
        <w:sz w:val="32"/>
        <w:szCs w:val="32"/>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851" w:hanging="851"/>
      </w:pPr>
      <w:rPr>
        <w:rFonts w:ascii="Arial" w:hAnsi="Arial" w:hint="default"/>
        <w:b/>
        <w:i w:val="0"/>
        <w:sz w:val="20"/>
      </w:rPr>
    </w:lvl>
    <w:lvl w:ilvl="6">
      <w:numFmt w:val="decimal"/>
      <w:pStyle w:val="Heading7"/>
      <w:lvlText w:val="%1.%2.%3.%4.%5.%6.%7"/>
      <w:lvlJc w:val="left"/>
      <w:pPr>
        <w:ind w:left="851" w:hanging="851"/>
      </w:pPr>
      <w:rPr>
        <w:rFonts w:ascii="Arial Narrow" w:hAnsi="Arial Narrow" w:hint="default"/>
        <w:b/>
        <w:i w:val="0"/>
        <w:sz w:val="20"/>
      </w:rPr>
    </w:lvl>
    <w:lvl w:ilvl="7">
      <w:numFmt w:val="decimal"/>
      <w:pStyle w:val="Heading8"/>
      <w:lvlText w:val="%1.%2.%3.%4.%5.%6.%8"/>
      <w:lvlJc w:val="left"/>
      <w:pPr>
        <w:ind w:left="851" w:hanging="851"/>
      </w:pPr>
      <w:rPr>
        <w:rFonts w:ascii="Arial Narrow" w:hAnsi="Arial Narrow" w:hint="default"/>
        <w:b/>
        <w:i w:val="0"/>
        <w:sz w:val="20"/>
      </w:rPr>
    </w:lvl>
    <w:lvl w:ilvl="8">
      <w:numFmt w:val="none"/>
      <w:lvlRestart w:val="0"/>
      <w:suff w:val="nothing"/>
      <w:lvlText w:val=""/>
      <w:lvlJc w:val="left"/>
      <w:pPr>
        <w:ind w:left="-32767" w:firstLine="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num>
  <w:num w:numId="5">
    <w:abstractNumId w:val="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24"/>
    <w:rsid w:val="00005967"/>
    <w:rsid w:val="00043F98"/>
    <w:rsid w:val="00083535"/>
    <w:rsid w:val="00087E73"/>
    <w:rsid w:val="000C31FF"/>
    <w:rsid w:val="00102CE0"/>
    <w:rsid w:val="00134C6E"/>
    <w:rsid w:val="00143D53"/>
    <w:rsid w:val="00166D78"/>
    <w:rsid w:val="00167020"/>
    <w:rsid w:val="00177882"/>
    <w:rsid w:val="001837B7"/>
    <w:rsid w:val="001847E9"/>
    <w:rsid w:val="001C2BE3"/>
    <w:rsid w:val="001F4884"/>
    <w:rsid w:val="00231490"/>
    <w:rsid w:val="00235625"/>
    <w:rsid w:val="002477C8"/>
    <w:rsid w:val="00251D2E"/>
    <w:rsid w:val="0026657B"/>
    <w:rsid w:val="002670DB"/>
    <w:rsid w:val="00271505"/>
    <w:rsid w:val="002A55BD"/>
    <w:rsid w:val="002E523F"/>
    <w:rsid w:val="002F267A"/>
    <w:rsid w:val="00352508"/>
    <w:rsid w:val="003747BF"/>
    <w:rsid w:val="003877FC"/>
    <w:rsid w:val="00393B8E"/>
    <w:rsid w:val="003A3177"/>
    <w:rsid w:val="003E421C"/>
    <w:rsid w:val="00403697"/>
    <w:rsid w:val="00436105"/>
    <w:rsid w:val="00443505"/>
    <w:rsid w:val="00455D4F"/>
    <w:rsid w:val="00467137"/>
    <w:rsid w:val="004C58A7"/>
    <w:rsid w:val="004E7A55"/>
    <w:rsid w:val="004F5498"/>
    <w:rsid w:val="004F77C0"/>
    <w:rsid w:val="0050300C"/>
    <w:rsid w:val="00533B13"/>
    <w:rsid w:val="00547959"/>
    <w:rsid w:val="00573E8E"/>
    <w:rsid w:val="00582D36"/>
    <w:rsid w:val="00595791"/>
    <w:rsid w:val="00595A0F"/>
    <w:rsid w:val="005C6C40"/>
    <w:rsid w:val="005F4FCF"/>
    <w:rsid w:val="00621291"/>
    <w:rsid w:val="006649E3"/>
    <w:rsid w:val="0069683F"/>
    <w:rsid w:val="006A7F7F"/>
    <w:rsid w:val="006E43D1"/>
    <w:rsid w:val="006E4C68"/>
    <w:rsid w:val="00704538"/>
    <w:rsid w:val="00710B9F"/>
    <w:rsid w:val="00717E39"/>
    <w:rsid w:val="007421F2"/>
    <w:rsid w:val="00753A65"/>
    <w:rsid w:val="007567F5"/>
    <w:rsid w:val="00784FBA"/>
    <w:rsid w:val="007D6A41"/>
    <w:rsid w:val="008079E3"/>
    <w:rsid w:val="008119A9"/>
    <w:rsid w:val="008249BB"/>
    <w:rsid w:val="00833C10"/>
    <w:rsid w:val="0085419A"/>
    <w:rsid w:val="008635FE"/>
    <w:rsid w:val="008918FD"/>
    <w:rsid w:val="00893948"/>
    <w:rsid w:val="008A169A"/>
    <w:rsid w:val="008B3EF2"/>
    <w:rsid w:val="008B44BC"/>
    <w:rsid w:val="008C107E"/>
    <w:rsid w:val="008E57F8"/>
    <w:rsid w:val="00916D57"/>
    <w:rsid w:val="009273AD"/>
    <w:rsid w:val="009777B4"/>
    <w:rsid w:val="00987323"/>
    <w:rsid w:val="009A3685"/>
    <w:rsid w:val="009B34D8"/>
    <w:rsid w:val="009C501E"/>
    <w:rsid w:val="009C6776"/>
    <w:rsid w:val="009E1E81"/>
    <w:rsid w:val="00A27C03"/>
    <w:rsid w:val="00A304F1"/>
    <w:rsid w:val="00A378A9"/>
    <w:rsid w:val="00A42EA5"/>
    <w:rsid w:val="00A45169"/>
    <w:rsid w:val="00A461DA"/>
    <w:rsid w:val="00A46525"/>
    <w:rsid w:val="00A46E3B"/>
    <w:rsid w:val="00A47196"/>
    <w:rsid w:val="00A4770C"/>
    <w:rsid w:val="00AA5C61"/>
    <w:rsid w:val="00AB0377"/>
    <w:rsid w:val="00AB1253"/>
    <w:rsid w:val="00AB181B"/>
    <w:rsid w:val="00AB307E"/>
    <w:rsid w:val="00AE0009"/>
    <w:rsid w:val="00AE315B"/>
    <w:rsid w:val="00AE7942"/>
    <w:rsid w:val="00B07511"/>
    <w:rsid w:val="00B21003"/>
    <w:rsid w:val="00B4200B"/>
    <w:rsid w:val="00B53A9C"/>
    <w:rsid w:val="00B72E7D"/>
    <w:rsid w:val="00B75CA2"/>
    <w:rsid w:val="00BA17F8"/>
    <w:rsid w:val="00BB7E88"/>
    <w:rsid w:val="00BF1F15"/>
    <w:rsid w:val="00C052B6"/>
    <w:rsid w:val="00C07EB6"/>
    <w:rsid w:val="00C105F4"/>
    <w:rsid w:val="00C24503"/>
    <w:rsid w:val="00C31A47"/>
    <w:rsid w:val="00C335A9"/>
    <w:rsid w:val="00C81F41"/>
    <w:rsid w:val="00C9570A"/>
    <w:rsid w:val="00CB5456"/>
    <w:rsid w:val="00CD3A35"/>
    <w:rsid w:val="00CE7D1D"/>
    <w:rsid w:val="00CF6962"/>
    <w:rsid w:val="00D00705"/>
    <w:rsid w:val="00D2509B"/>
    <w:rsid w:val="00D2666B"/>
    <w:rsid w:val="00D272F0"/>
    <w:rsid w:val="00D34B11"/>
    <w:rsid w:val="00D711AE"/>
    <w:rsid w:val="00D75901"/>
    <w:rsid w:val="00DC10DD"/>
    <w:rsid w:val="00DE1393"/>
    <w:rsid w:val="00DF4016"/>
    <w:rsid w:val="00DF4D62"/>
    <w:rsid w:val="00DF51E2"/>
    <w:rsid w:val="00DF6DE3"/>
    <w:rsid w:val="00DF749E"/>
    <w:rsid w:val="00E01EE1"/>
    <w:rsid w:val="00E22305"/>
    <w:rsid w:val="00E419FA"/>
    <w:rsid w:val="00E61BBD"/>
    <w:rsid w:val="00E80B42"/>
    <w:rsid w:val="00E84AA6"/>
    <w:rsid w:val="00E9567A"/>
    <w:rsid w:val="00EB5B9A"/>
    <w:rsid w:val="00EF0A34"/>
    <w:rsid w:val="00EF66EC"/>
    <w:rsid w:val="00F31B67"/>
    <w:rsid w:val="00F403DE"/>
    <w:rsid w:val="00F4091B"/>
    <w:rsid w:val="00F54AC8"/>
    <w:rsid w:val="00F62E24"/>
    <w:rsid w:val="00F63B95"/>
    <w:rsid w:val="00F70C8B"/>
    <w:rsid w:val="00F93651"/>
    <w:rsid w:val="00FA1B14"/>
    <w:rsid w:val="00FC589B"/>
    <w:rsid w:val="00FE6F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EF2BCFB-7809-4414-9C72-3A05ED33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3F"/>
    <w:pPr>
      <w:widowControl w:val="0"/>
      <w:autoSpaceDE w:val="0"/>
      <w:autoSpaceDN w:val="0"/>
      <w:adjustRightInd w:val="0"/>
    </w:pPr>
    <w:rPr>
      <w:sz w:val="24"/>
      <w:szCs w:val="24"/>
      <w:lang w:val="en-NZ" w:eastAsia="en-US"/>
    </w:rPr>
  </w:style>
  <w:style w:type="paragraph" w:styleId="Heading1">
    <w:name w:val="heading 1"/>
    <w:basedOn w:val="Para0"/>
    <w:next w:val="Para0"/>
    <w:link w:val="Heading1Char"/>
    <w:qFormat/>
    <w:rsid w:val="00E01EE1"/>
    <w:pPr>
      <w:keepNext/>
      <w:keepLines/>
      <w:pageBreakBefore/>
      <w:numPr>
        <w:numId w:val="2"/>
      </w:numPr>
      <w:tabs>
        <w:tab w:val="num" w:pos="360"/>
      </w:tabs>
      <w:spacing w:line="360" w:lineRule="exact"/>
      <w:ind w:left="851" w:hanging="851"/>
      <w:outlineLvl w:val="0"/>
    </w:pPr>
    <w:rPr>
      <w:b/>
      <w:bCs/>
      <w:color w:val="00338D"/>
      <w:sz w:val="32"/>
      <w:szCs w:val="32"/>
    </w:rPr>
  </w:style>
  <w:style w:type="paragraph" w:styleId="Heading2">
    <w:name w:val="heading 2"/>
    <w:basedOn w:val="Para0"/>
    <w:next w:val="Para0"/>
    <w:link w:val="Heading2Char"/>
    <w:qFormat/>
    <w:rsid w:val="00E01EE1"/>
    <w:pPr>
      <w:keepNext/>
      <w:keepLines/>
      <w:numPr>
        <w:ilvl w:val="1"/>
        <w:numId w:val="2"/>
      </w:numPr>
      <w:tabs>
        <w:tab w:val="num" w:pos="360"/>
      </w:tabs>
      <w:ind w:left="0" w:firstLine="0"/>
      <w:outlineLvl w:val="1"/>
    </w:pPr>
    <w:rPr>
      <w:b/>
      <w:bCs/>
      <w:color w:val="00338D"/>
      <w:sz w:val="24"/>
      <w:szCs w:val="26"/>
    </w:rPr>
  </w:style>
  <w:style w:type="paragraph" w:styleId="Heading3">
    <w:name w:val="heading 3"/>
    <w:basedOn w:val="Para0"/>
    <w:next w:val="Para0"/>
    <w:link w:val="Heading3Char"/>
    <w:qFormat/>
    <w:rsid w:val="00E01EE1"/>
    <w:pPr>
      <w:keepNext/>
      <w:keepLines/>
      <w:numPr>
        <w:ilvl w:val="2"/>
        <w:numId w:val="2"/>
      </w:numPr>
      <w:tabs>
        <w:tab w:val="num" w:pos="360"/>
      </w:tabs>
      <w:ind w:left="0" w:firstLine="0"/>
      <w:outlineLvl w:val="2"/>
    </w:pPr>
    <w:rPr>
      <w:b/>
      <w:bCs/>
    </w:rPr>
  </w:style>
  <w:style w:type="paragraph" w:styleId="Heading4">
    <w:name w:val="heading 4"/>
    <w:basedOn w:val="Para0"/>
    <w:next w:val="Para0"/>
    <w:link w:val="Heading4Char"/>
    <w:rsid w:val="00E01EE1"/>
    <w:pPr>
      <w:keepNext/>
      <w:keepLines/>
      <w:numPr>
        <w:ilvl w:val="3"/>
        <w:numId w:val="2"/>
      </w:numPr>
      <w:tabs>
        <w:tab w:val="num" w:pos="360"/>
      </w:tabs>
      <w:ind w:left="0" w:firstLine="0"/>
      <w:outlineLvl w:val="3"/>
    </w:pPr>
    <w:rPr>
      <w:b/>
      <w:bCs/>
      <w:iCs/>
    </w:rPr>
  </w:style>
  <w:style w:type="paragraph" w:styleId="Heading5">
    <w:name w:val="heading 5"/>
    <w:basedOn w:val="Para0"/>
    <w:next w:val="Para0"/>
    <w:link w:val="Heading5Char"/>
    <w:rsid w:val="00E01EE1"/>
    <w:pPr>
      <w:keepNext/>
      <w:keepLines/>
      <w:numPr>
        <w:ilvl w:val="4"/>
        <w:numId w:val="2"/>
      </w:numPr>
      <w:tabs>
        <w:tab w:val="num" w:pos="360"/>
      </w:tabs>
      <w:ind w:left="0" w:firstLine="0"/>
      <w:outlineLvl w:val="4"/>
    </w:pPr>
    <w:rPr>
      <w:b/>
    </w:rPr>
  </w:style>
  <w:style w:type="paragraph" w:styleId="Heading6">
    <w:name w:val="heading 6"/>
    <w:basedOn w:val="Para0"/>
    <w:next w:val="Para0"/>
    <w:link w:val="Heading6Char"/>
    <w:rsid w:val="00E01EE1"/>
    <w:pPr>
      <w:keepNext/>
      <w:keepLines/>
      <w:numPr>
        <w:ilvl w:val="5"/>
        <w:numId w:val="2"/>
      </w:numPr>
      <w:tabs>
        <w:tab w:val="num" w:pos="360"/>
      </w:tabs>
      <w:ind w:left="0" w:firstLine="0"/>
      <w:outlineLvl w:val="5"/>
    </w:pPr>
    <w:rPr>
      <w:b/>
      <w:iCs/>
    </w:rPr>
  </w:style>
  <w:style w:type="paragraph" w:styleId="Heading7">
    <w:name w:val="heading 7"/>
    <w:basedOn w:val="Normal"/>
    <w:next w:val="Para0"/>
    <w:link w:val="Heading7Char"/>
    <w:rsid w:val="00E01EE1"/>
    <w:pPr>
      <w:widowControl/>
      <w:numPr>
        <w:ilvl w:val="6"/>
        <w:numId w:val="2"/>
      </w:numPr>
      <w:autoSpaceDE/>
      <w:autoSpaceDN/>
      <w:adjustRightInd/>
      <w:spacing w:before="240" w:after="120" w:line="360" w:lineRule="exact"/>
      <w:outlineLvl w:val="6"/>
    </w:pPr>
    <w:rPr>
      <w:rFonts w:ascii="Arial" w:eastAsia="SimSun" w:hAnsi="Arial"/>
      <w:b/>
      <w:color w:val="00338D"/>
      <w:sz w:val="20"/>
      <w:lang w:val="en-GB"/>
    </w:rPr>
  </w:style>
  <w:style w:type="paragraph" w:styleId="Heading8">
    <w:name w:val="heading 8"/>
    <w:basedOn w:val="Heading2"/>
    <w:next w:val="Para0"/>
    <w:link w:val="Heading8Char"/>
    <w:qFormat/>
    <w:rsid w:val="00E01EE1"/>
    <w:pPr>
      <w:numPr>
        <w:ilvl w:val="7"/>
      </w:numPr>
      <w:tabs>
        <w:tab w:val="num" w:pos="360"/>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683F"/>
    <w:rPr>
      <w:rFonts w:ascii="Tahoma" w:hAnsi="Tahoma" w:cs="Tahoma"/>
      <w:sz w:val="16"/>
      <w:szCs w:val="16"/>
    </w:rPr>
  </w:style>
  <w:style w:type="character" w:styleId="Hyperlink">
    <w:name w:val="Hyperlink"/>
    <w:rsid w:val="0069683F"/>
    <w:rPr>
      <w:color w:val="0000FF"/>
      <w:u w:val="single"/>
    </w:rPr>
  </w:style>
  <w:style w:type="paragraph" w:styleId="Header">
    <w:name w:val="header"/>
    <w:basedOn w:val="Normal"/>
    <w:rsid w:val="00BB7E88"/>
    <w:pPr>
      <w:tabs>
        <w:tab w:val="center" w:pos="4320"/>
        <w:tab w:val="right" w:pos="8640"/>
      </w:tabs>
    </w:pPr>
  </w:style>
  <w:style w:type="paragraph" w:styleId="Footer">
    <w:name w:val="footer"/>
    <w:basedOn w:val="Normal"/>
    <w:rsid w:val="00BB7E88"/>
    <w:pPr>
      <w:tabs>
        <w:tab w:val="center" w:pos="4320"/>
        <w:tab w:val="right" w:pos="8640"/>
      </w:tabs>
    </w:pPr>
  </w:style>
  <w:style w:type="paragraph" w:styleId="BodyText3">
    <w:name w:val="Body Text 3"/>
    <w:basedOn w:val="Normal"/>
    <w:link w:val="BodyText3Char"/>
    <w:rsid w:val="00BB7E88"/>
    <w:pPr>
      <w:widowControl/>
    </w:pPr>
    <w:rPr>
      <w:rFonts w:ascii="Arial" w:hAnsi="Arial" w:cs="Arial"/>
      <w:sz w:val="20"/>
      <w:szCs w:val="20"/>
    </w:rPr>
  </w:style>
  <w:style w:type="character" w:customStyle="1" w:styleId="BodyText3Char">
    <w:name w:val="Body Text 3 Char"/>
    <w:link w:val="BodyText3"/>
    <w:rsid w:val="00BB7E88"/>
    <w:rPr>
      <w:rFonts w:ascii="Arial" w:hAnsi="Arial" w:cs="Arial"/>
      <w:lang w:val="en-NZ" w:eastAsia="en-US" w:bidi="ar-SA"/>
    </w:rPr>
  </w:style>
  <w:style w:type="character" w:styleId="PageNumber">
    <w:name w:val="page number"/>
    <w:basedOn w:val="DefaultParagraphFont"/>
    <w:rsid w:val="00BB7E88"/>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A27C03"/>
    <w:pPr>
      <w:widowControl/>
      <w:autoSpaceDE/>
      <w:autoSpaceDN/>
      <w:adjustRightInd/>
      <w:ind w:left="720"/>
    </w:pPr>
    <w:rPr>
      <w:rFonts w:eastAsia="Calibri"/>
      <w:lang w:eastAsia="en-NZ"/>
    </w:rPr>
  </w:style>
  <w:style w:type="character" w:styleId="CommentReference">
    <w:name w:val="annotation reference"/>
    <w:rsid w:val="008635FE"/>
    <w:rPr>
      <w:sz w:val="16"/>
      <w:szCs w:val="16"/>
    </w:rPr>
  </w:style>
  <w:style w:type="paragraph" w:styleId="CommentText">
    <w:name w:val="annotation text"/>
    <w:basedOn w:val="Normal"/>
    <w:link w:val="CommentTextChar"/>
    <w:rsid w:val="008635FE"/>
    <w:rPr>
      <w:sz w:val="20"/>
      <w:szCs w:val="20"/>
    </w:rPr>
  </w:style>
  <w:style w:type="character" w:customStyle="1" w:styleId="CommentTextChar">
    <w:name w:val="Comment Text Char"/>
    <w:link w:val="CommentText"/>
    <w:rsid w:val="008635FE"/>
    <w:rPr>
      <w:lang w:eastAsia="en-US"/>
    </w:rPr>
  </w:style>
  <w:style w:type="paragraph" w:styleId="CommentSubject">
    <w:name w:val="annotation subject"/>
    <w:basedOn w:val="CommentText"/>
    <w:next w:val="CommentText"/>
    <w:link w:val="CommentSubjectChar"/>
    <w:rsid w:val="008635FE"/>
    <w:rPr>
      <w:b/>
      <w:bCs/>
    </w:rPr>
  </w:style>
  <w:style w:type="character" w:customStyle="1" w:styleId="CommentSubjectChar">
    <w:name w:val="Comment Subject Char"/>
    <w:link w:val="CommentSubject"/>
    <w:rsid w:val="008635FE"/>
    <w:rPr>
      <w:b/>
      <w:bCs/>
      <w:lang w:eastAsia="en-US"/>
    </w:rPr>
  </w:style>
  <w:style w:type="character" w:styleId="UnresolvedMention">
    <w:name w:val="Unresolved Mention"/>
    <w:uiPriority w:val="99"/>
    <w:semiHidden/>
    <w:unhideWhenUsed/>
    <w:rsid w:val="00D711AE"/>
    <w:rPr>
      <w:color w:val="808080"/>
      <w:shd w:val="clear" w:color="auto" w:fill="E6E6E6"/>
    </w:rPr>
  </w:style>
  <w:style w:type="table" w:styleId="TableGrid">
    <w:name w:val="Table Grid"/>
    <w:basedOn w:val="TableNormal"/>
    <w:uiPriority w:val="59"/>
    <w:rsid w:val="00177882"/>
    <w:rPr>
      <w:rFonts w:ascii="Calibri" w:eastAsia="SimSun"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
    <w:name w:val="Document Title"/>
    <w:basedOn w:val="Normal"/>
    <w:uiPriority w:val="19"/>
    <w:rsid w:val="00177882"/>
    <w:pPr>
      <w:widowControl/>
      <w:autoSpaceDE/>
      <w:autoSpaceDN/>
      <w:adjustRightInd/>
      <w:spacing w:after="60" w:line="240" w:lineRule="atLeast"/>
    </w:pPr>
    <w:rPr>
      <w:rFonts w:ascii="Arial" w:eastAsia="SimSun" w:hAnsi="Arial"/>
      <w:sz w:val="20"/>
      <w:lang w:val="en-GB"/>
    </w:rPr>
  </w:style>
  <w:style w:type="character" w:customStyle="1" w:styleId="Heading1Char">
    <w:name w:val="Heading 1 Char"/>
    <w:link w:val="Heading1"/>
    <w:rsid w:val="00E01EE1"/>
    <w:rPr>
      <w:rFonts w:ascii="Arial" w:eastAsia="SimSun" w:hAnsi="Arial"/>
      <w:b/>
      <w:bCs/>
      <w:color w:val="00338D"/>
      <w:sz w:val="32"/>
      <w:szCs w:val="32"/>
      <w:lang w:val="en-GB" w:eastAsia="en-US"/>
    </w:rPr>
  </w:style>
  <w:style w:type="character" w:customStyle="1" w:styleId="Heading2Char">
    <w:name w:val="Heading 2 Char"/>
    <w:link w:val="Heading2"/>
    <w:rsid w:val="00E01EE1"/>
    <w:rPr>
      <w:rFonts w:ascii="Arial" w:eastAsia="SimSun" w:hAnsi="Arial"/>
      <w:b/>
      <w:bCs/>
      <w:color w:val="00338D"/>
      <w:sz w:val="24"/>
      <w:szCs w:val="26"/>
      <w:lang w:val="en-GB" w:eastAsia="en-US"/>
    </w:rPr>
  </w:style>
  <w:style w:type="character" w:customStyle="1" w:styleId="Heading3Char">
    <w:name w:val="Heading 3 Char"/>
    <w:link w:val="Heading3"/>
    <w:rsid w:val="00E01EE1"/>
    <w:rPr>
      <w:rFonts w:ascii="Arial" w:eastAsia="SimSun" w:hAnsi="Arial"/>
      <w:b/>
      <w:bCs/>
      <w:szCs w:val="24"/>
      <w:lang w:val="en-GB" w:eastAsia="en-US"/>
    </w:rPr>
  </w:style>
  <w:style w:type="character" w:customStyle="1" w:styleId="Heading4Char">
    <w:name w:val="Heading 4 Char"/>
    <w:link w:val="Heading4"/>
    <w:rsid w:val="00E01EE1"/>
    <w:rPr>
      <w:rFonts w:ascii="Arial" w:eastAsia="SimSun" w:hAnsi="Arial"/>
      <w:b/>
      <w:bCs/>
      <w:iCs/>
      <w:szCs w:val="24"/>
      <w:lang w:val="en-GB" w:eastAsia="en-US"/>
    </w:rPr>
  </w:style>
  <w:style w:type="character" w:customStyle="1" w:styleId="Heading5Char">
    <w:name w:val="Heading 5 Char"/>
    <w:link w:val="Heading5"/>
    <w:rsid w:val="00E01EE1"/>
    <w:rPr>
      <w:rFonts w:ascii="Arial" w:eastAsia="SimSun" w:hAnsi="Arial"/>
      <w:b/>
      <w:szCs w:val="24"/>
      <w:lang w:val="en-GB" w:eastAsia="en-US"/>
    </w:rPr>
  </w:style>
  <w:style w:type="character" w:customStyle="1" w:styleId="Heading6Char">
    <w:name w:val="Heading 6 Char"/>
    <w:link w:val="Heading6"/>
    <w:rsid w:val="00E01EE1"/>
    <w:rPr>
      <w:rFonts w:ascii="Arial" w:eastAsia="SimSun" w:hAnsi="Arial"/>
      <w:b/>
      <w:iCs/>
      <w:szCs w:val="24"/>
      <w:lang w:val="en-GB" w:eastAsia="en-US"/>
    </w:rPr>
  </w:style>
  <w:style w:type="character" w:customStyle="1" w:styleId="Heading7Char">
    <w:name w:val="Heading 7 Char"/>
    <w:link w:val="Heading7"/>
    <w:rsid w:val="00E01EE1"/>
    <w:rPr>
      <w:rFonts w:ascii="Arial" w:eastAsia="SimSun" w:hAnsi="Arial"/>
      <w:b/>
      <w:color w:val="00338D"/>
      <w:szCs w:val="24"/>
      <w:lang w:val="en-GB" w:eastAsia="en-US"/>
    </w:rPr>
  </w:style>
  <w:style w:type="character" w:customStyle="1" w:styleId="Heading8Char">
    <w:name w:val="Heading 8 Char"/>
    <w:link w:val="Heading8"/>
    <w:rsid w:val="00E01EE1"/>
    <w:rPr>
      <w:rFonts w:ascii="Arial" w:eastAsia="SimSun" w:hAnsi="Arial"/>
      <w:b/>
      <w:bCs/>
      <w:color w:val="00338D"/>
      <w:sz w:val="24"/>
      <w:szCs w:val="26"/>
      <w:lang w:val="en-GB" w:eastAsia="en-US"/>
    </w:rPr>
  </w:style>
  <w:style w:type="paragraph" w:customStyle="1" w:styleId="Para0">
    <w:name w:val="Para 0"/>
    <w:basedOn w:val="Normal"/>
    <w:link w:val="Para0Char"/>
    <w:uiPriority w:val="4"/>
    <w:qFormat/>
    <w:rsid w:val="00E01EE1"/>
    <w:pPr>
      <w:widowControl/>
      <w:autoSpaceDE/>
      <w:autoSpaceDN/>
      <w:adjustRightInd/>
      <w:spacing w:before="240" w:after="120" w:line="240" w:lineRule="atLeast"/>
    </w:pPr>
    <w:rPr>
      <w:rFonts w:ascii="Arial" w:eastAsia="SimSun" w:hAnsi="Arial"/>
      <w:sz w:val="20"/>
      <w:lang w:val="en-GB"/>
    </w:rPr>
  </w:style>
  <w:style w:type="paragraph" w:customStyle="1" w:styleId="Para0bullet">
    <w:name w:val="Para 0 bullet"/>
    <w:basedOn w:val="Para0"/>
    <w:uiPriority w:val="4"/>
    <w:qFormat/>
    <w:rsid w:val="00E01EE1"/>
    <w:pPr>
      <w:numPr>
        <w:numId w:val="3"/>
      </w:numPr>
      <w:tabs>
        <w:tab w:val="num" w:pos="360"/>
        <w:tab w:val="left" w:pos="851"/>
      </w:tabs>
      <w:spacing w:before="0"/>
      <w:ind w:left="0" w:firstLine="0"/>
    </w:pPr>
  </w:style>
  <w:style w:type="paragraph" w:customStyle="1" w:styleId="Para1narrowarrow">
    <w:name w:val="Para 1 narrow arrow"/>
    <w:basedOn w:val="Normal"/>
    <w:uiPriority w:val="5"/>
    <w:unhideWhenUsed/>
    <w:rsid w:val="00E01EE1"/>
    <w:pPr>
      <w:widowControl/>
      <w:numPr>
        <w:ilvl w:val="1"/>
        <w:numId w:val="3"/>
      </w:numPr>
      <w:tabs>
        <w:tab w:val="num" w:pos="360"/>
        <w:tab w:val="left" w:pos="851"/>
      </w:tabs>
      <w:autoSpaceDE/>
      <w:autoSpaceDN/>
      <w:adjustRightInd/>
      <w:spacing w:after="120" w:line="240" w:lineRule="atLeast"/>
      <w:ind w:left="0" w:firstLine="0"/>
    </w:pPr>
    <w:rPr>
      <w:rFonts w:ascii="Arial" w:eastAsia="SimSun" w:hAnsi="Arial"/>
      <w:sz w:val="20"/>
      <w:lang w:val="en-GB"/>
    </w:rPr>
  </w:style>
  <w:style w:type="numbering" w:customStyle="1" w:styleId="JacobsBulletList1">
    <w:name w:val="Jacobs Bullet List 1"/>
    <w:uiPriority w:val="99"/>
    <w:rsid w:val="00E01EE1"/>
    <w:pPr>
      <w:numPr>
        <w:numId w:val="3"/>
      </w:numPr>
    </w:pPr>
  </w:style>
  <w:style w:type="character" w:customStyle="1" w:styleId="Para0Char">
    <w:name w:val="Para 0 Char"/>
    <w:link w:val="Para0"/>
    <w:uiPriority w:val="4"/>
    <w:rsid w:val="00E01EE1"/>
    <w:rPr>
      <w:rFonts w:ascii="Arial" w:eastAsia="SimSun" w:hAnsi="Arial"/>
      <w:szCs w:val="24"/>
      <w:lang w:val="en-GB" w:eastAsia="en-US"/>
    </w:rPr>
  </w:style>
  <w:style w:type="paragraph" w:customStyle="1" w:styleId="Tableheading">
    <w:name w:val="Table heading"/>
    <w:basedOn w:val="Normal"/>
    <w:uiPriority w:val="14"/>
    <w:qFormat/>
    <w:rsid w:val="00E01EE1"/>
    <w:pPr>
      <w:keepNext/>
      <w:widowControl/>
      <w:autoSpaceDE/>
      <w:autoSpaceDN/>
      <w:adjustRightInd/>
      <w:spacing w:before="100" w:after="100" w:line="240" w:lineRule="atLeast"/>
    </w:pPr>
    <w:rPr>
      <w:rFonts w:ascii="Arial Black" w:eastAsia="SimSun" w:hAnsi="Arial Black"/>
      <w:sz w:val="16"/>
      <w:lang w:val="en-GB"/>
    </w:rPr>
  </w:style>
  <w:style w:type="paragraph" w:customStyle="1" w:styleId="ContentBulletsLetter">
    <w:name w:val="Content Bullets Letter"/>
    <w:basedOn w:val="Para0"/>
    <w:semiHidden/>
    <w:qFormat/>
    <w:rsid w:val="00E01EE1"/>
    <w:pPr>
      <w:numPr>
        <w:numId w:val="5"/>
      </w:numPr>
      <w:ind w:left="425" w:hanging="425"/>
    </w:pPr>
  </w:style>
  <w:style w:type="paragraph" w:styleId="Caption">
    <w:name w:val="caption"/>
    <w:basedOn w:val="Tableheading"/>
    <w:next w:val="Para0"/>
    <w:uiPriority w:val="35"/>
    <w:qFormat/>
    <w:rsid w:val="00E01EE1"/>
    <w:pPr>
      <w:spacing w:before="240"/>
    </w:pPr>
    <w:rPr>
      <w:rFonts w:ascii="Arial Narrow" w:hAnsi="Arial Narrow"/>
      <w:b/>
      <w:sz w:val="20"/>
    </w:rPr>
  </w:style>
  <w:style w:type="paragraph" w:customStyle="1" w:styleId="Tabletext">
    <w:name w:val="Table text"/>
    <w:basedOn w:val="Normal"/>
    <w:uiPriority w:val="14"/>
    <w:qFormat/>
    <w:rsid w:val="00E01EE1"/>
    <w:pPr>
      <w:widowControl/>
      <w:autoSpaceDE/>
      <w:autoSpaceDN/>
      <w:adjustRightInd/>
      <w:spacing w:before="60" w:after="60" w:line="240" w:lineRule="atLeast"/>
    </w:pPr>
    <w:rPr>
      <w:rFonts w:ascii="Arial" w:eastAsia="SimSun" w:hAnsi="Arial"/>
      <w:sz w:val="20"/>
      <w:lang w:val="en-GB"/>
    </w:rPr>
  </w:style>
  <w:style w:type="paragraph" w:customStyle="1" w:styleId="ContentBulletsDash">
    <w:name w:val="Content Bullets Dash"/>
    <w:basedOn w:val="Para0"/>
    <w:semiHidden/>
    <w:qFormat/>
    <w:rsid w:val="00E01EE1"/>
    <w:pPr>
      <w:numPr>
        <w:numId w:val="4"/>
      </w:numPr>
      <w:ind w:left="360" w:hanging="360"/>
    </w:pPr>
  </w:style>
  <w:style w:type="paragraph" w:customStyle="1" w:styleId="Para0letter">
    <w:name w:val="Para 0 letter"/>
    <w:basedOn w:val="Para0"/>
    <w:uiPriority w:val="4"/>
    <w:qFormat/>
    <w:rsid w:val="00F31B67"/>
    <w:pPr>
      <w:numPr>
        <w:numId w:val="6"/>
      </w:numPr>
      <w:tabs>
        <w:tab w:val="num" w:pos="360"/>
        <w:tab w:val="left" w:pos="851"/>
      </w:tabs>
      <w:spacing w:before="0"/>
      <w:ind w:left="0" w:firstLine="0"/>
    </w:pPr>
  </w:style>
  <w:style w:type="numbering" w:customStyle="1" w:styleId="JacobsNumberedList2">
    <w:name w:val="Jacobs Numbered List 2"/>
    <w:uiPriority w:val="99"/>
    <w:rsid w:val="00F31B6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879672">
      <w:bodyDiv w:val="1"/>
      <w:marLeft w:val="0"/>
      <w:marRight w:val="0"/>
      <w:marTop w:val="0"/>
      <w:marBottom w:val="0"/>
      <w:divBdr>
        <w:top w:val="none" w:sz="0" w:space="0" w:color="auto"/>
        <w:left w:val="none" w:sz="0" w:space="0" w:color="auto"/>
        <w:bottom w:val="none" w:sz="0" w:space="0" w:color="auto"/>
        <w:right w:val="none" w:sz="0" w:space="0" w:color="auto"/>
      </w:divBdr>
    </w:div>
    <w:div w:id="959341908">
      <w:bodyDiv w:val="1"/>
      <w:marLeft w:val="0"/>
      <w:marRight w:val="0"/>
      <w:marTop w:val="0"/>
      <w:marBottom w:val="0"/>
      <w:divBdr>
        <w:top w:val="none" w:sz="0" w:space="0" w:color="auto"/>
        <w:left w:val="none" w:sz="0" w:space="0" w:color="auto"/>
        <w:bottom w:val="none" w:sz="0" w:space="0" w:color="auto"/>
        <w:right w:val="none" w:sz="0" w:space="0" w:color="auto"/>
      </w:divBdr>
    </w:div>
    <w:div w:id="148223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8D8EE-4774-453B-B816-0C6ADEFA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2910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 FORMAT INSTRUCTIONS</vt:lpstr>
    </vt:vector>
  </TitlesOfParts>
  <Company>The University of Auckland</Company>
  <LinksUpToDate>false</LinksUpToDate>
  <CharactersWithSpaces>19464</CharactersWithSpaces>
  <SharedDoc>false</SharedDoc>
  <HLinks>
    <vt:vector size="18" baseType="variant">
      <vt:variant>
        <vt:i4>589943</vt:i4>
      </vt:variant>
      <vt:variant>
        <vt:i4>6</vt:i4>
      </vt:variant>
      <vt:variant>
        <vt:i4>0</vt:i4>
      </vt:variant>
      <vt:variant>
        <vt:i4>5</vt:i4>
      </vt:variant>
      <vt:variant>
        <vt:lpwstr>mailto:glenda@hardingconsultants.co.nz</vt:lpwstr>
      </vt:variant>
      <vt:variant>
        <vt:lpwstr/>
      </vt:variant>
      <vt:variant>
        <vt:i4>6488103</vt:i4>
      </vt:variant>
      <vt:variant>
        <vt:i4>3</vt:i4>
      </vt:variant>
      <vt:variant>
        <vt:i4>0</vt:i4>
      </vt:variant>
      <vt:variant>
        <vt:i4>5</vt:i4>
      </vt:variant>
      <vt:variant>
        <vt:lpwstr>http://libguides.scu.edu.au/content.php?pid=269507&amp;sid=2223205</vt:lpwstr>
      </vt:variant>
      <vt:variant>
        <vt:lpwstr/>
      </vt:variant>
      <vt:variant>
        <vt:i4>589943</vt:i4>
      </vt:variant>
      <vt:variant>
        <vt:i4>0</vt:i4>
      </vt:variant>
      <vt:variant>
        <vt:i4>0</vt:i4>
      </vt:variant>
      <vt:variant>
        <vt:i4>5</vt:i4>
      </vt:variant>
      <vt:variant>
        <vt:lpwstr>mailto:glenda@hardingconsultants.co.nz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FORMAT INSTRUCTIONS</dc:title>
  <dc:subject/>
  <dc:creator>rdun028</dc:creator>
  <cp:keywords/>
  <cp:lastModifiedBy>jules@julianharding.co.nz</cp:lastModifiedBy>
  <cp:revision>2</cp:revision>
  <cp:lastPrinted>2013-10-15T01:27:00Z</cp:lastPrinted>
  <dcterms:created xsi:type="dcterms:W3CDTF">2019-11-13T20:25:00Z</dcterms:created>
  <dcterms:modified xsi:type="dcterms:W3CDTF">2019-11-13T20:25:00Z</dcterms:modified>
</cp:coreProperties>
</file>