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40D44FD4" w:rsidR="00714297" w:rsidRPr="00F37C39" w:rsidRDefault="005E555D"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Comparing Freight Transport Emissions by Mode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36C4F15E" w14:textId="6D0C044C" w:rsidR="00C84263" w:rsidRDefault="002977D8" w:rsidP="00F47D78">
            <w:r>
              <w:t>M</w:t>
            </w:r>
            <w:r w:rsidR="00F47D78">
              <w:t xml:space="preserve">oving domestic freight by rail and coastal shipping is widely regarded as using less energy, and emitting less greenhouse gas emissions, per tonne-km than road freight. While the evidence appears to support this view in general, the data that would tell us how much reduction in energy use and emissions we could expect if more freight were diverted from road to rail or coastal shipping </w:t>
            </w:r>
            <w:r>
              <w:t xml:space="preserve">in New Zealand </w:t>
            </w:r>
            <w:r w:rsidR="00C84263">
              <w:t>has been</w:t>
            </w:r>
            <w:r w:rsidR="00F47D78">
              <w:t xml:space="preserve"> quite limited.</w:t>
            </w:r>
          </w:p>
          <w:p w14:paraId="4B809F94" w14:textId="5DBD0064" w:rsidR="00F47D78" w:rsidRDefault="00F47D78" w:rsidP="00F47D78">
            <w:r>
              <w:t xml:space="preserve"> </w:t>
            </w:r>
          </w:p>
          <w:p w14:paraId="1C547E4D" w14:textId="591AE06C" w:rsidR="008B76FE" w:rsidRDefault="00F47D78" w:rsidP="00F47D78">
            <w:r>
              <w:t>This paper reviews the evidence on freight emissions by mode in New Zealand. We consider each of the three modes—coastal shipping, rail, and road transport</w:t>
            </w:r>
            <w:r w:rsidR="00575369">
              <w:t>.</w:t>
            </w:r>
            <w:r>
              <w:t xml:space="preserve"> </w:t>
            </w:r>
            <w:r w:rsidR="00575369">
              <w:t>For each mode</w:t>
            </w:r>
            <w:r>
              <w:t>, we look at the New Zealand-specific evidence, then compare this to overseas evidence.</w:t>
            </w:r>
            <w:r w:rsidR="008B76FE">
              <w:t xml:space="preserve"> </w:t>
            </w:r>
            <w:r w:rsidR="002D4AB8">
              <w:t xml:space="preserve">A particular </w:t>
            </w:r>
            <w:r w:rsidR="00160B2E">
              <w:t>challenge</w:t>
            </w:r>
            <w:r w:rsidR="002D4AB8">
              <w:t xml:space="preserve"> in comparing emissions by mode is that </w:t>
            </w:r>
            <w:r w:rsidR="00C70A74">
              <w:t xml:space="preserve">rail and coastal shipping compete mainly with </w:t>
            </w:r>
            <w:r w:rsidR="00730B7E">
              <w:t>long-haul heavy</w:t>
            </w:r>
            <w:r w:rsidR="00602AB7">
              <w:t xml:space="preserve"> trucks</w:t>
            </w:r>
            <w:r w:rsidR="007755E5">
              <w:t xml:space="preserve">. </w:t>
            </w:r>
            <w:r w:rsidR="00F52964">
              <w:t xml:space="preserve">Since </w:t>
            </w:r>
            <w:r w:rsidR="006E2B40">
              <w:t>long-haul heavy</w:t>
            </w:r>
            <w:r w:rsidR="00F52964">
              <w:t xml:space="preserve"> trucks </w:t>
            </w:r>
            <w:r w:rsidR="00602AB7">
              <w:t>are</w:t>
            </w:r>
            <w:r w:rsidR="005E1F93">
              <w:t xml:space="preserve"> considerably more energy-efficient</w:t>
            </w:r>
            <w:r w:rsidR="00602AB7">
              <w:t xml:space="preserve"> per tonne-km than </w:t>
            </w:r>
            <w:r w:rsidR="006E2B40">
              <w:t>urban delivery heavy trucks</w:t>
            </w:r>
            <w:r w:rsidR="00A203D5">
              <w:t>, a simple comparison</w:t>
            </w:r>
            <w:r w:rsidR="002E4599">
              <w:t xml:space="preserve"> of rail and coastal shipping</w:t>
            </w:r>
            <w:r w:rsidR="005E1F93">
              <w:t xml:space="preserve"> with an average</w:t>
            </w:r>
            <w:r w:rsidR="00914211">
              <w:t xml:space="preserve"> heavy</w:t>
            </w:r>
            <w:bookmarkStart w:id="0" w:name="_GoBack"/>
            <w:bookmarkEnd w:id="0"/>
            <w:r w:rsidR="005E1F93">
              <w:t xml:space="preserve"> truck would be misleading</w:t>
            </w:r>
            <w:r w:rsidR="00990D06">
              <w:t xml:space="preserve"> for estimating emissio</w:t>
            </w:r>
            <w:r w:rsidR="00D303FF">
              <w:t>n changes from mode shifts</w:t>
            </w:r>
            <w:r w:rsidR="005E1F93">
              <w:t xml:space="preserve">. </w:t>
            </w:r>
            <w:r w:rsidR="000019F0">
              <w:t>We</w:t>
            </w:r>
            <w:r w:rsidR="00E724D6">
              <w:t>, therefore,</w:t>
            </w:r>
            <w:r w:rsidR="000019F0">
              <w:t xml:space="preserve"> use a unique dataset obtained from eRoad to </w:t>
            </w:r>
            <w:r w:rsidR="00D21035">
              <w:t xml:space="preserve">estimate emissions per tonne-km </w:t>
            </w:r>
            <w:r w:rsidR="00D303FF">
              <w:t xml:space="preserve">separately </w:t>
            </w:r>
            <w:r w:rsidR="00D21035">
              <w:t xml:space="preserve">for </w:t>
            </w:r>
            <w:r w:rsidR="00842EB3">
              <w:t>long-haul</w:t>
            </w:r>
            <w:r w:rsidR="00D21035">
              <w:t xml:space="preserve"> and</w:t>
            </w:r>
            <w:r w:rsidR="002E4599">
              <w:t xml:space="preserve"> </w:t>
            </w:r>
            <w:r w:rsidR="00842EB3">
              <w:t>urban delivery heavy</w:t>
            </w:r>
            <w:r w:rsidR="00D303FF">
              <w:t xml:space="preserve"> trucks. </w:t>
            </w:r>
            <w:r>
              <w:t xml:space="preserve"> </w:t>
            </w:r>
          </w:p>
          <w:p w14:paraId="2EA1B594" w14:textId="77777777" w:rsidR="008B76FE" w:rsidRDefault="008B76FE" w:rsidP="00F47D78"/>
          <w:p w14:paraId="2076D326" w14:textId="5A8F15FB" w:rsidR="00F47D78" w:rsidRDefault="00F47D78" w:rsidP="00F47D78">
            <w:r>
              <w:t xml:space="preserve">We conclude with some recommendations regarding reasonable assumptions about average emissions per tonne-km </w:t>
            </w:r>
            <w:r w:rsidR="00D303FF">
              <w:t xml:space="preserve">by mode </w:t>
            </w:r>
            <w:r>
              <w:t xml:space="preserve">and some suggestions for further research.  </w:t>
            </w:r>
          </w:p>
          <w:p w14:paraId="6D10457B" w14:textId="3D85050B" w:rsidR="008C02DA" w:rsidRDefault="008C02DA" w:rsidP="00F47D78"/>
          <w:p w14:paraId="331F5CAD" w14:textId="55331EFB" w:rsidR="008C02DA" w:rsidRDefault="008C02DA" w:rsidP="00F47D78"/>
          <w:p w14:paraId="25385DA0" w14:textId="397262D7" w:rsidR="008C02DA" w:rsidRDefault="00A75678" w:rsidP="00F47D78">
            <w:r>
              <w:t>[</w:t>
            </w:r>
            <w:r w:rsidR="008C02DA">
              <w:t xml:space="preserve">Note: </w:t>
            </w:r>
            <w:r w:rsidR="005F3E4C">
              <w:t xml:space="preserve">An </w:t>
            </w:r>
            <w:r w:rsidR="00551CB1">
              <w:t>unpublished</w:t>
            </w:r>
            <w:r w:rsidR="005F3E4C">
              <w:t xml:space="preserve"> draft of this paper has been circulating privately for almost two years, and it has already been cited </w:t>
            </w:r>
            <w:r w:rsidR="0068797A">
              <w:t>in  MfE’s  </w:t>
            </w:r>
            <w:r w:rsidR="0068797A">
              <w:rPr>
                <w:i/>
                <w:iCs/>
              </w:rPr>
              <w:t xml:space="preserve">Measuring Emissions: a Guide for Organisations—2019 Detailed Guide </w:t>
            </w:r>
            <w:r w:rsidR="0068797A">
              <w:t xml:space="preserve">(see </w:t>
            </w:r>
            <w:hyperlink r:id="rId11" w:history="1">
              <w:r w:rsidR="0068797A">
                <w:rPr>
                  <w:rStyle w:val="Hyperlink"/>
                </w:rPr>
                <w:t>https://www.mfe.govt.nz/sites/default/files/media/Climate%20Change/2019-detailed-guide.pdf</w:t>
              </w:r>
            </w:hyperlink>
            <w:r w:rsidR="0068797A">
              <w:t>)</w:t>
            </w:r>
            <w:r w:rsidR="00F7193D">
              <w:t xml:space="preserve"> and co-author Wang’s presentation at the 2019 Transport Knowledge Conference</w:t>
            </w:r>
            <w:r w:rsidR="00D63722">
              <w:t xml:space="preserve"> </w:t>
            </w:r>
            <w:r w:rsidR="00D63722">
              <w:rPr>
                <w:i/>
                <w:iCs/>
              </w:rPr>
              <w:t xml:space="preserve"> </w:t>
            </w:r>
            <w:r w:rsidR="00D63722">
              <w:t>(</w:t>
            </w:r>
            <w:hyperlink r:id="rId12" w:history="1">
              <w:r w:rsidR="00D63722">
                <w:rPr>
                  <w:rStyle w:val="Hyperlink"/>
                </w:rPr>
                <w:t>https://www.transport.govt.nz/assets/Import/Uploads/Research/Documents/TKC2019/Wang-H_Real-world-fuel-economy-of-heavy-trucks_TKC2019-web.pdf</w:t>
              </w:r>
            </w:hyperlink>
            <w:r w:rsidR="00D63722">
              <w:t xml:space="preserve">). </w:t>
            </w:r>
            <w:r w:rsidR="00C96E35">
              <w:t xml:space="preserve">We have been seeking a suitable venue to have it peer-reviewed and published, and would be honoured to present it at </w:t>
            </w:r>
            <w:r>
              <w:t>this</w:t>
            </w:r>
            <w:r w:rsidR="00C96E35">
              <w:t xml:space="preserve"> conference.</w:t>
            </w:r>
            <w:r>
              <w:t>]</w:t>
            </w:r>
          </w:p>
          <w:p w14:paraId="2ACCD1EC" w14:textId="0426470E"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7919F" w14:textId="77777777" w:rsidR="00E212E1" w:rsidRDefault="00E212E1">
      <w:r>
        <w:separator/>
      </w:r>
    </w:p>
  </w:endnote>
  <w:endnote w:type="continuationSeparator" w:id="0">
    <w:p w14:paraId="2ABB226D" w14:textId="77777777" w:rsidR="00E212E1" w:rsidRDefault="00E2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1EC528B5" w:rsidR="000036D2" w:rsidRDefault="005E555D" w:rsidP="009202AF">
    <w:pPr>
      <w:pStyle w:val="Footer"/>
      <w:ind w:left="-709"/>
      <w:jc w:val="right"/>
    </w:pPr>
    <w:r>
      <w:rPr>
        <w:noProof/>
      </w:rPr>
      <mc:AlternateContent>
        <mc:Choice Requires="wps">
          <w:drawing>
            <wp:anchor distT="0" distB="0" distL="114300" distR="114300" simplePos="0" relativeHeight="251661312" behindDoc="0" locked="0" layoutInCell="0" allowOverlap="1" wp14:anchorId="0CB76559" wp14:editId="54EAC466">
              <wp:simplePos x="0" y="0"/>
              <wp:positionH relativeFrom="page">
                <wp:posOffset>0</wp:posOffset>
              </wp:positionH>
              <wp:positionV relativeFrom="page">
                <wp:posOffset>10234930</wp:posOffset>
              </wp:positionV>
              <wp:extent cx="7560310" cy="266700"/>
              <wp:effectExtent l="0" t="0" r="0" b="0"/>
              <wp:wrapNone/>
              <wp:docPr id="4" name="MSIPCMebf6439da49184c9abdcf329" descr="{&quot;HashCode&quot;:-31848221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E76721" w14:textId="2582BCAB" w:rsidR="005E555D" w:rsidRPr="005E555D" w:rsidRDefault="005E555D" w:rsidP="005E555D">
                          <w:pPr>
                            <w:jc w:val="center"/>
                            <w:rPr>
                              <w:rFonts w:ascii="Calibri" w:hAnsi="Calibri" w:cs="Calibri"/>
                              <w:color w:val="000000"/>
                              <w:sz w:val="20"/>
                            </w:rPr>
                          </w:pPr>
                          <w:r w:rsidRPr="005E555D">
                            <w:rPr>
                              <w:rFonts w:ascii="Calibri" w:hAnsi="Calibri" w:cs="Calibri"/>
                              <w:color w:val="000000"/>
                              <w:sz w:val="20"/>
                            </w:rPr>
                            <w:t>[UNCLASSIFIED]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B76559" id="_x0000_t202" coordsize="21600,21600" o:spt="202" path="m,l,21600r21600,l21600,xe">
              <v:stroke joinstyle="miter"/>
              <v:path gradientshapeok="t" o:connecttype="rect"/>
            </v:shapetype>
            <v:shape id="MSIPCMebf6439da49184c9abdcf329" o:spid="_x0000_s1027" type="#_x0000_t202" alt="{&quot;HashCode&quot;:-318482211,&quot;Height&quot;:841.0,&quot;Width&quot;:595.0,&quot;Placement&quot;:&quot;Footer&quot;,&quot;Index&quot;:&quot;Primary&quot;,&quot;Section&quot;:1,&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3I2Qoq8CAABNBQAADgAA&#10;AAAAAAAAAAAAAAAuAgAAZHJzL2Uyb0RvYy54bWxQSwECLQAUAAYACAAAACEAg7KPK98AAAALAQAA&#10;DwAAAAAAAAAAAAAAAAAJBQAAZHJzL2Rvd25yZXYueG1sUEsFBgAAAAAEAAQA8wAAABUGAAAAAA==&#10;" o:allowincell="f" filled="f" stroked="f" strokeweight=".5pt">
              <v:textbox inset=",0,,0">
                <w:txbxContent>
                  <w:p w14:paraId="07E76721" w14:textId="2582BCAB" w:rsidR="005E555D" w:rsidRPr="005E555D" w:rsidRDefault="005E555D" w:rsidP="005E555D">
                    <w:pPr>
                      <w:jc w:val="center"/>
                      <w:rPr>
                        <w:rFonts w:ascii="Calibri" w:hAnsi="Calibri" w:cs="Calibri"/>
                        <w:color w:val="000000"/>
                        <w:sz w:val="20"/>
                      </w:rPr>
                    </w:pPr>
                    <w:r w:rsidRPr="005E555D">
                      <w:rPr>
                        <w:rFonts w:ascii="Calibri" w:hAnsi="Calibri" w:cs="Calibri"/>
                        <w:color w:val="000000"/>
                        <w:sz w:val="20"/>
                      </w:rPr>
                      <w:t>[UNCLASSIFIED]</w:t>
                    </w:r>
                  </w:p>
                </w:txbxContent>
              </v:textbox>
              <w10:wrap anchorx="page" anchory="page"/>
            </v:shape>
          </w:pict>
        </mc:Fallback>
      </mc:AlternateContent>
    </w:r>
    <w:r w:rsidR="00F37C39">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5DC2" w14:textId="77777777" w:rsidR="005E555D" w:rsidRDefault="005E5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2A726" w14:textId="77777777" w:rsidR="00E212E1" w:rsidRDefault="00E212E1">
      <w:r>
        <w:separator/>
      </w:r>
    </w:p>
  </w:footnote>
  <w:footnote w:type="continuationSeparator" w:id="0">
    <w:p w14:paraId="63C210FD" w14:textId="77777777" w:rsidR="00E212E1" w:rsidRDefault="00E2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5A39C" w14:textId="77777777" w:rsidR="005E555D" w:rsidRDefault="005E5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6D7959D8" w:rsidR="00F37C39" w:rsidRDefault="005E555D">
    <w:pPr>
      <w:pStyle w:val="Header"/>
    </w:pPr>
    <w:r>
      <w:rPr>
        <w:noProof/>
      </w:rPr>
      <mc:AlternateContent>
        <mc:Choice Requires="wps">
          <w:drawing>
            <wp:anchor distT="0" distB="0" distL="114300" distR="114300" simplePos="0" relativeHeight="251660288" behindDoc="0" locked="0" layoutInCell="0" allowOverlap="1" wp14:anchorId="6378B7B7" wp14:editId="09AF5725">
              <wp:simplePos x="0" y="0"/>
              <wp:positionH relativeFrom="page">
                <wp:posOffset>0</wp:posOffset>
              </wp:positionH>
              <wp:positionV relativeFrom="page">
                <wp:posOffset>190500</wp:posOffset>
              </wp:positionV>
              <wp:extent cx="7560310" cy="266700"/>
              <wp:effectExtent l="0" t="0" r="0" b="0"/>
              <wp:wrapNone/>
              <wp:docPr id="3" name="MSIPCMedf3485d9ac9c7022aba7a92" descr="{&quot;HashCode&quot;:-34261978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2F040" w14:textId="468792EF" w:rsidR="005E555D" w:rsidRPr="005E555D" w:rsidRDefault="005E555D" w:rsidP="005E555D">
                          <w:pPr>
                            <w:jc w:val="center"/>
                            <w:rPr>
                              <w:rFonts w:ascii="Calibri" w:hAnsi="Calibri" w:cs="Calibri"/>
                              <w:color w:val="000000"/>
                              <w:sz w:val="20"/>
                            </w:rPr>
                          </w:pPr>
                          <w:r w:rsidRPr="005E555D">
                            <w:rPr>
                              <w:rFonts w:ascii="Calibri" w:hAnsi="Calibri" w:cs="Calibri"/>
                              <w:color w:val="000000"/>
                              <w:sz w:val="20"/>
                            </w:rPr>
                            <w:t>[UNCLASSIFIED]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78B7B7" id="_x0000_t202" coordsize="21600,21600" o:spt="202" path="m,l,21600r21600,l21600,xe">
              <v:stroke joinstyle="miter"/>
              <v:path gradientshapeok="t" o:connecttype="rect"/>
            </v:shapetype>
            <v:shape id="MSIPCMedf3485d9ac9c7022aba7a92" o:spid="_x0000_s1026" type="#_x0000_t202" alt="{&quot;HashCode&quot;:-342619780,&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" o:allowincell="f" filled="f" stroked="f" strokeweight=".5pt">
              <v:textbox inset=",0,,0">
                <w:txbxContent>
                  <w:p w14:paraId="3AE2F040" w14:textId="468792EF" w:rsidR="005E555D" w:rsidRPr="005E555D" w:rsidRDefault="005E555D" w:rsidP="005E555D">
                    <w:pPr>
                      <w:jc w:val="center"/>
                      <w:rPr>
                        <w:rFonts w:ascii="Calibri" w:hAnsi="Calibri" w:cs="Calibri"/>
                        <w:color w:val="000000"/>
                        <w:sz w:val="20"/>
                      </w:rPr>
                    </w:pPr>
                    <w:r w:rsidRPr="005E555D">
                      <w:rPr>
                        <w:rFonts w:ascii="Calibri" w:hAnsi="Calibri" w:cs="Calibri"/>
                        <w:color w:val="000000"/>
                        <w:sz w:val="20"/>
                      </w:rPr>
                      <w:t>[UNCLASSIFIED]</w:t>
                    </w:r>
                  </w:p>
                </w:txbxContent>
              </v:textbox>
              <w10:wrap anchorx="page" anchory="page"/>
            </v:shape>
          </w:pict>
        </mc:Fallback>
      </mc:AlternateContent>
    </w:r>
    <w:r w:rsidR="00F37C39">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B304" w14:textId="77777777" w:rsidR="005E555D" w:rsidRDefault="005E5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75pt;height:83.25pt" o:bullet="t">
        <v:imagedata r:id="rId1" o:title="Bullet Point"/>
      </v:shape>
    </w:pict>
  </w:numPicBullet>
  <w:numPicBullet w:numPicBulletId="1">
    <w:pict>
      <v:shape id="_x0000_i1037" type="#_x0000_t75" style="width:177pt;height:169.5pt" o:bullet="t">
        <v:imagedata r:id="rId2" o:title="Conf-Icon"/>
      </v:shape>
    </w:pict>
  </w:numPicBullet>
  <w:numPicBullet w:numPicBulletId="2">
    <w:pict>
      <v:shape id="_x0000_i1038" type="#_x0000_t75" style="width:151.5pt;height:144.75pt" o:bullet="t">
        <v:imagedata r:id="rId3" o:title="Conf-Icon"/>
      </v:shape>
    </w:pict>
  </w:numPicBullet>
  <w:numPicBullet w:numPicBulletId="3">
    <w:pict>
      <v:shape id="_x0000_i1039" type="#_x0000_t75" style="width:122.25pt;height:112.5pt" o:bullet="t">
        <v:imagedata r:id="rId4" o:title="Bullet Point"/>
      </v:shape>
    </w:pict>
  </w:numPicBullet>
  <w:numPicBullet w:numPicBulletId="4">
    <w:pict>
      <v:shape id="_x0000_i104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19F0"/>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0B2E"/>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977D8"/>
    <w:rsid w:val="002A1203"/>
    <w:rsid w:val="002A21A9"/>
    <w:rsid w:val="002A4E2F"/>
    <w:rsid w:val="002B5CB6"/>
    <w:rsid w:val="002C7540"/>
    <w:rsid w:val="002D4AB8"/>
    <w:rsid w:val="002E041E"/>
    <w:rsid w:val="002E334F"/>
    <w:rsid w:val="002E4599"/>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1CB1"/>
    <w:rsid w:val="005572C4"/>
    <w:rsid w:val="00566B84"/>
    <w:rsid w:val="00570EA5"/>
    <w:rsid w:val="005729BE"/>
    <w:rsid w:val="00575369"/>
    <w:rsid w:val="00575492"/>
    <w:rsid w:val="0057595A"/>
    <w:rsid w:val="00584673"/>
    <w:rsid w:val="005860C4"/>
    <w:rsid w:val="0058716A"/>
    <w:rsid w:val="005958D4"/>
    <w:rsid w:val="005964BA"/>
    <w:rsid w:val="005C31CE"/>
    <w:rsid w:val="005D75C6"/>
    <w:rsid w:val="005E1F93"/>
    <w:rsid w:val="005E35E4"/>
    <w:rsid w:val="005E555D"/>
    <w:rsid w:val="005F3E4C"/>
    <w:rsid w:val="005F69B7"/>
    <w:rsid w:val="0060147A"/>
    <w:rsid w:val="006029B3"/>
    <w:rsid w:val="00602AB7"/>
    <w:rsid w:val="00606880"/>
    <w:rsid w:val="0061707E"/>
    <w:rsid w:val="00643465"/>
    <w:rsid w:val="00643678"/>
    <w:rsid w:val="00657112"/>
    <w:rsid w:val="006617E3"/>
    <w:rsid w:val="00672785"/>
    <w:rsid w:val="00673EE7"/>
    <w:rsid w:val="00680D6F"/>
    <w:rsid w:val="006839A5"/>
    <w:rsid w:val="0068797A"/>
    <w:rsid w:val="00693116"/>
    <w:rsid w:val="00694AA2"/>
    <w:rsid w:val="006A3C4A"/>
    <w:rsid w:val="006A4828"/>
    <w:rsid w:val="006A7D7C"/>
    <w:rsid w:val="006C59A1"/>
    <w:rsid w:val="006C7FB0"/>
    <w:rsid w:val="006E2643"/>
    <w:rsid w:val="006E2B40"/>
    <w:rsid w:val="006F545D"/>
    <w:rsid w:val="00702E85"/>
    <w:rsid w:val="00711926"/>
    <w:rsid w:val="00714297"/>
    <w:rsid w:val="007249F0"/>
    <w:rsid w:val="007258AF"/>
    <w:rsid w:val="00730B7E"/>
    <w:rsid w:val="00733126"/>
    <w:rsid w:val="00745540"/>
    <w:rsid w:val="00755E06"/>
    <w:rsid w:val="00763C93"/>
    <w:rsid w:val="007755E5"/>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2EB3"/>
    <w:rsid w:val="00846CE2"/>
    <w:rsid w:val="00851929"/>
    <w:rsid w:val="00862192"/>
    <w:rsid w:val="00873D75"/>
    <w:rsid w:val="00880B42"/>
    <w:rsid w:val="0088236B"/>
    <w:rsid w:val="008836A1"/>
    <w:rsid w:val="00894760"/>
    <w:rsid w:val="008B35C8"/>
    <w:rsid w:val="008B4CFD"/>
    <w:rsid w:val="008B76FE"/>
    <w:rsid w:val="008C02DA"/>
    <w:rsid w:val="008C0D74"/>
    <w:rsid w:val="008C5194"/>
    <w:rsid w:val="008D5CAB"/>
    <w:rsid w:val="008F1855"/>
    <w:rsid w:val="009019AA"/>
    <w:rsid w:val="00904C0C"/>
    <w:rsid w:val="00904CC6"/>
    <w:rsid w:val="00906B7A"/>
    <w:rsid w:val="00914211"/>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0D06"/>
    <w:rsid w:val="00992E68"/>
    <w:rsid w:val="009D1BC8"/>
    <w:rsid w:val="009D3E21"/>
    <w:rsid w:val="009D7496"/>
    <w:rsid w:val="009E23F2"/>
    <w:rsid w:val="009E5A5F"/>
    <w:rsid w:val="009F381C"/>
    <w:rsid w:val="00A01EFD"/>
    <w:rsid w:val="00A110A0"/>
    <w:rsid w:val="00A1384F"/>
    <w:rsid w:val="00A13A39"/>
    <w:rsid w:val="00A17E7D"/>
    <w:rsid w:val="00A203D5"/>
    <w:rsid w:val="00A21E9C"/>
    <w:rsid w:val="00A2420B"/>
    <w:rsid w:val="00A3577C"/>
    <w:rsid w:val="00A43D01"/>
    <w:rsid w:val="00A460EC"/>
    <w:rsid w:val="00A625C3"/>
    <w:rsid w:val="00A70504"/>
    <w:rsid w:val="00A75678"/>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0A74"/>
    <w:rsid w:val="00C7440C"/>
    <w:rsid w:val="00C84263"/>
    <w:rsid w:val="00C93D31"/>
    <w:rsid w:val="00C96E35"/>
    <w:rsid w:val="00CA531A"/>
    <w:rsid w:val="00CA652B"/>
    <w:rsid w:val="00CC3F26"/>
    <w:rsid w:val="00CC5B1D"/>
    <w:rsid w:val="00CD37E8"/>
    <w:rsid w:val="00CE14E0"/>
    <w:rsid w:val="00CE155D"/>
    <w:rsid w:val="00CE6E57"/>
    <w:rsid w:val="00CE7A3D"/>
    <w:rsid w:val="00CF1AEF"/>
    <w:rsid w:val="00D055DF"/>
    <w:rsid w:val="00D21035"/>
    <w:rsid w:val="00D303FF"/>
    <w:rsid w:val="00D63722"/>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12E1"/>
    <w:rsid w:val="00E273FE"/>
    <w:rsid w:val="00E450B1"/>
    <w:rsid w:val="00E45664"/>
    <w:rsid w:val="00E565D1"/>
    <w:rsid w:val="00E60C56"/>
    <w:rsid w:val="00E63DE7"/>
    <w:rsid w:val="00E67033"/>
    <w:rsid w:val="00E71C11"/>
    <w:rsid w:val="00E724D6"/>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47D78"/>
    <w:rsid w:val="00F52964"/>
    <w:rsid w:val="00F56A54"/>
    <w:rsid w:val="00F612BD"/>
    <w:rsid w:val="00F701D4"/>
    <w:rsid w:val="00F7193D"/>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nsport.govt.nz/assets/Import/Uploads/Research/Documents/TKC2019/Wang-H_Real-world-fuel-economy-of-heavy-trucks_TKC2019-web.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fe.govt.nz/sites/default/files/media/Climate%20Change/2019-detailed-guid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0A9ADA57C5544BA80014326731E4A" ma:contentTypeVersion="11" ma:contentTypeDescription="Create a new document." ma:contentTypeScope="" ma:versionID="4ea3ed7a3c170daad68bf7029d48a5a6">
  <xsd:schema xmlns:xsd="http://www.w3.org/2001/XMLSchema" xmlns:xs="http://www.w3.org/2001/XMLSchema" xmlns:p="http://schemas.microsoft.com/office/2006/metadata/properties" xmlns:ns3="a4ca32af-9308-4916-ab2b-d0a1fe0e5dcc" xmlns:ns4="04213952-3d72-4b7a-abde-cc89b0a68746" targetNamespace="http://schemas.microsoft.com/office/2006/metadata/properties" ma:root="true" ma:fieldsID="95f0c97f97b6c238fa57e4d5d3780e60" ns3:_="" ns4:_="">
    <xsd:import namespace="a4ca32af-9308-4916-ab2b-d0a1fe0e5dcc"/>
    <xsd:import namespace="04213952-3d72-4b7a-abde-cc89b0a687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a32af-9308-4916-ab2b-d0a1fe0e5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13952-3d72-4b7a-abde-cc89b0a687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CF956-4E92-4EE3-AD3D-B521FD7FD8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EE2E76-815F-47C7-A0C6-DF0D4671C969}">
  <ds:schemaRefs>
    <ds:schemaRef ds:uri="http://schemas.microsoft.com/sharepoint/v3/contenttype/forms"/>
  </ds:schemaRefs>
</ds:datastoreItem>
</file>

<file path=customXml/itemProps3.xml><?xml version="1.0" encoding="utf-8"?>
<ds:datastoreItem xmlns:ds="http://schemas.openxmlformats.org/officeDocument/2006/customXml" ds:itemID="{166EA58B-4EE9-45C5-A48F-6571C24F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a32af-9308-4916-ab2b-d0a1fe0e5dcc"/>
    <ds:schemaRef ds:uri="04213952-3d72-4b7a-abde-cc89b0a68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2AF73-5F29-421D-A906-A8E3B034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2366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Ralph Samuelson</cp:lastModifiedBy>
  <cp:revision>35</cp:revision>
  <cp:lastPrinted>2017-09-24T23:53:00Z</cp:lastPrinted>
  <dcterms:created xsi:type="dcterms:W3CDTF">2020-10-08T23:01:00Z</dcterms:created>
  <dcterms:modified xsi:type="dcterms:W3CDTF">2020-10-09T23:41:00Z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265b78-25d0-4d54-b3b2-27c0ecf14e3e_Enabled">
    <vt:lpwstr>True</vt:lpwstr>
  </property>
  <property fmtid="{D5CDD505-2E9C-101B-9397-08002B2CF9AE}" pid="3" name="MSIP_Label_92265b78-25d0-4d54-b3b2-27c0ecf14e3e_SiteId">
    <vt:lpwstr>27523570-98da-4a95-b560-ba6bb21643d0</vt:lpwstr>
  </property>
  <property fmtid="{D5CDD505-2E9C-101B-9397-08002B2CF9AE}" pid="4" name="MSIP_Label_92265b78-25d0-4d54-b3b2-27c0ecf14e3e_Owner">
    <vt:lpwstr>Ralph.Samuelson@climatecommission.govt.nz</vt:lpwstr>
  </property>
  <property fmtid="{D5CDD505-2E9C-101B-9397-08002B2CF9AE}" pid="5" name="MSIP_Label_92265b78-25d0-4d54-b3b2-27c0ecf14e3e_SetDate">
    <vt:lpwstr>2020-10-08T23:00:46.6651001Z</vt:lpwstr>
  </property>
  <property fmtid="{D5CDD505-2E9C-101B-9397-08002B2CF9AE}" pid="6" name="MSIP_Label_92265b78-25d0-4d54-b3b2-27c0ecf14e3e_Name">
    <vt:lpwstr>Unclassified</vt:lpwstr>
  </property>
  <property fmtid="{D5CDD505-2E9C-101B-9397-08002B2CF9AE}" pid="7" name="MSIP_Label_92265b78-25d0-4d54-b3b2-27c0ecf14e3e_Application">
    <vt:lpwstr>Microsoft Azure Information Protection</vt:lpwstr>
  </property>
  <property fmtid="{D5CDD505-2E9C-101B-9397-08002B2CF9AE}" pid="8" name="MSIP_Label_92265b78-25d0-4d54-b3b2-27c0ecf14e3e_ActionId">
    <vt:lpwstr>b51076df-3efc-41d8-a94b-50634d28755b</vt:lpwstr>
  </property>
  <property fmtid="{D5CDD505-2E9C-101B-9397-08002B2CF9AE}" pid="9" name="MSIP_Label_92265b78-25d0-4d54-b3b2-27c0ecf14e3e_Extended_MSFT_Method">
    <vt:lpwstr>Automatic</vt:lpwstr>
  </property>
  <property fmtid="{D5CDD505-2E9C-101B-9397-08002B2CF9AE}" pid="10" name="Sensitivity">
    <vt:lpwstr>Unclassified</vt:lpwstr>
  </property>
  <property fmtid="{D5CDD505-2E9C-101B-9397-08002B2CF9AE}" pid="11" name="ContentTypeId">
    <vt:lpwstr>0x0101005A40A9ADA57C5544BA80014326731E4A</vt:lpwstr>
  </property>
</Properties>
</file>