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9638"/>
      </w:tblGrid>
      <w:tr w:rsidR="0037412F" w:rsidRPr="0037412F" w14:paraId="1111A270" w14:textId="77777777" w:rsidTr="006D0015">
        <w:sdt>
          <w:sdtPr>
            <w:id w:val="-437903036"/>
            <w:placeholder>
              <w:docPart w:val="C53AFB935F3D459DBE2D30CA53C3926C"/>
            </w:placeholder>
          </w:sdtPr>
          <w:sdtEndPr/>
          <w:sdtContent>
            <w:tc>
              <w:tcPr>
                <w:tcW w:w="9638" w:type="dxa"/>
                <w:shd w:val="clear" w:color="auto" w:fill="auto"/>
              </w:tcPr>
              <w:p w14:paraId="25177C8B" w14:textId="584A45AE" w:rsidR="0037412F" w:rsidRPr="0037412F" w:rsidRDefault="0037412F" w:rsidP="00EC51E3">
                <w:pPr>
                  <w:pStyle w:val="Title"/>
                </w:pPr>
                <w:proofErr w:type="spellStart"/>
                <w:r w:rsidRPr="0037412F">
                  <w:t>Terlipressin</w:t>
                </w:r>
                <w:proofErr w:type="spellEnd"/>
                <w:r w:rsidRPr="0037412F">
                  <w:t xml:space="preserve"> </w:t>
                </w:r>
                <w:r>
                  <w:t>i</w:t>
                </w:r>
                <w:r w:rsidRPr="0037412F">
                  <w:t xml:space="preserve">nfusion as a </w:t>
                </w:r>
                <w:r w:rsidRPr="00EC51E3">
                  <w:t>bridging</w:t>
                </w:r>
                <w:r w:rsidRPr="0037412F">
                  <w:t xml:space="preserve"> </w:t>
                </w:r>
                <w:r>
                  <w:t>t</w:t>
                </w:r>
                <w:r w:rsidRPr="0037412F">
                  <w:t xml:space="preserve">herapy to OLT (Orthotropic Liver Transplantation) </w:t>
                </w:r>
              </w:p>
            </w:tc>
          </w:sdtContent>
        </w:sdt>
      </w:tr>
      <w:tr w:rsidR="0037412F" w:rsidRPr="0037412F" w14:paraId="5130133F" w14:textId="77777777" w:rsidTr="006D0015">
        <w:tc>
          <w:tcPr>
            <w:tcW w:w="9638" w:type="dxa"/>
            <w:shd w:val="clear" w:color="auto" w:fill="auto"/>
          </w:tcPr>
          <w:sdt>
            <w:sdtPr>
              <w:id w:val="-1928731856"/>
              <w:placeholder>
                <w:docPart w:val="4778D45EAAAB4ACDA1E6E34BA1C8230E"/>
              </w:placeholder>
            </w:sdtPr>
            <w:sdtEndPr/>
            <w:sdtContent>
              <w:p w14:paraId="6C91502B" w14:textId="110105FF" w:rsidR="0037412F" w:rsidRPr="0037412F" w:rsidRDefault="0037412F" w:rsidP="00EC51E3">
                <w:r w:rsidRPr="00D50535">
                  <w:t>Gong</w:t>
                </w:r>
                <w:r w:rsidR="00D50535" w:rsidRPr="00D50535">
                  <w:t xml:space="preserve"> J</w:t>
                </w:r>
                <w:r w:rsidRPr="00D50535">
                  <w:t xml:space="preserve">, Singh M </w:t>
                </w:r>
              </w:p>
            </w:sdtContent>
          </w:sdt>
          <w:sdt>
            <w:sdtPr>
              <w:id w:val="380756813"/>
              <w:placeholder>
                <w:docPart w:val="4778D45EAAAB4ACDA1E6E34BA1C8230E"/>
              </w:placeholder>
            </w:sdtPr>
            <w:sdtEndPr/>
            <w:sdtContent>
              <w:p w14:paraId="1DBD6547" w14:textId="6CF380A7" w:rsidR="0037412F" w:rsidRPr="00D50535" w:rsidRDefault="00B667B9" w:rsidP="00EC51E3">
                <w:pPr>
                  <w:spacing w:before="0"/>
                </w:pPr>
                <w:hyperlink r:id="rId7" w:history="1">
                  <w:r w:rsidR="00D50535" w:rsidRPr="00931812">
                    <w:rPr>
                      <w:rStyle w:val="Hyperlink"/>
                      <w:rFonts w:cstheme="minorHAnsi"/>
                      <w:szCs w:val="22"/>
                    </w:rPr>
                    <w:t>JayG@adhb.govt.nz</w:t>
                  </w:r>
                </w:hyperlink>
                <w:r w:rsidR="00D50535">
                  <w:t xml:space="preserve"> </w:t>
                </w:r>
              </w:p>
            </w:sdtContent>
          </w:sdt>
          <w:sdt>
            <w:sdtPr>
              <w:id w:val="-1939515718"/>
              <w:placeholder>
                <w:docPart w:val="4778D45EAAAB4ACDA1E6E34BA1C8230E"/>
              </w:placeholder>
            </w:sdtPr>
            <w:sdtEndPr/>
            <w:sdtContent>
              <w:p w14:paraId="751F69F0" w14:textId="4DD74FDB" w:rsidR="0037412F" w:rsidRPr="00D50535" w:rsidRDefault="00D50535" w:rsidP="00EC51E3">
                <w:pPr>
                  <w:spacing w:before="0"/>
                  <w:rPr>
                    <w:color w:val="000000"/>
                  </w:rPr>
                </w:pPr>
                <w:r w:rsidRPr="00D50535">
                  <w:t xml:space="preserve">Auckland City Hospital, </w:t>
                </w:r>
                <w:r w:rsidR="00C87DB5">
                  <w:t xml:space="preserve">Te Toka Tumai, </w:t>
                </w:r>
                <w:r w:rsidRPr="00D50535">
                  <w:t xml:space="preserve">Auckland </w:t>
                </w:r>
              </w:p>
            </w:sdtContent>
          </w:sdt>
        </w:tc>
      </w:tr>
      <w:tr w:rsidR="0037412F" w:rsidRPr="00EC51E3" w14:paraId="2EA1149A" w14:textId="77777777" w:rsidTr="006D0015">
        <w:tc>
          <w:tcPr>
            <w:tcW w:w="9638" w:type="dxa"/>
            <w:shd w:val="clear" w:color="auto" w:fill="auto"/>
          </w:tcPr>
          <w:p w14:paraId="3C5F49DA" w14:textId="77777777" w:rsidR="0037412F" w:rsidRPr="00EC51E3" w:rsidRDefault="0037412F" w:rsidP="00EC51E3">
            <w:pPr>
              <w:pStyle w:val="Heading1"/>
            </w:pPr>
            <w:r w:rsidRPr="00EC51E3">
              <w:t>Introduction</w:t>
            </w:r>
          </w:p>
        </w:tc>
      </w:tr>
      <w:tr w:rsidR="0037412F" w:rsidRPr="0037412F" w14:paraId="3D2D6586" w14:textId="77777777" w:rsidTr="006D0015">
        <w:sdt>
          <w:sdtPr>
            <w:rPr>
              <w:rFonts w:eastAsiaTheme="minorEastAsia"/>
              <w:lang w:val="en-NZ" w:eastAsia="zh-CN" w:bidi="th-TH"/>
            </w:rPr>
            <w:id w:val="171387722"/>
            <w:placeholder>
              <w:docPart w:val="BECB4F48A8624D0E973BC305BC8BA596"/>
            </w:placeholder>
            <w:text/>
          </w:sdtPr>
          <w:sdtEndPr/>
          <w:sdtContent>
            <w:tc>
              <w:tcPr>
                <w:tcW w:w="9638" w:type="dxa"/>
                <w:shd w:val="clear" w:color="auto" w:fill="auto"/>
              </w:tcPr>
              <w:p w14:paraId="74A01AB4" w14:textId="496FC90A" w:rsidR="0037412F" w:rsidRPr="0037412F" w:rsidRDefault="00D50535" w:rsidP="00EC51E3">
                <w:proofErr w:type="spellStart"/>
                <w:r w:rsidRPr="00D50535">
                  <w:rPr>
                    <w:rFonts w:eastAsiaTheme="minorEastAsia"/>
                    <w:lang w:val="en-NZ" w:eastAsia="zh-CN" w:bidi="th-TH"/>
                  </w:rPr>
                  <w:t>Terlipressin</w:t>
                </w:r>
                <w:proofErr w:type="spellEnd"/>
                <w:r w:rsidRPr="00D50535">
                  <w:rPr>
                    <w:rFonts w:eastAsiaTheme="minorEastAsia"/>
                    <w:lang w:val="en-NZ" w:eastAsia="zh-CN" w:bidi="th-TH"/>
                  </w:rPr>
                  <w:t xml:space="preserve"> is used to treat hepatorenal syndrome in end stage liver disease. Traditionally some patients may have required ongoing </w:t>
                </w:r>
                <w:proofErr w:type="spellStart"/>
                <w:r w:rsidRPr="00D50535">
                  <w:rPr>
                    <w:rFonts w:eastAsiaTheme="minorEastAsia"/>
                    <w:lang w:val="en-NZ" w:eastAsia="zh-CN" w:bidi="th-TH"/>
                  </w:rPr>
                  <w:t>terlipressin</w:t>
                </w:r>
                <w:proofErr w:type="spellEnd"/>
                <w:r w:rsidRPr="00D50535">
                  <w:rPr>
                    <w:rFonts w:eastAsiaTheme="minorEastAsia"/>
                    <w:lang w:val="en-NZ" w:eastAsia="zh-CN" w:bidi="th-TH"/>
                  </w:rPr>
                  <w:t xml:space="preserve"> for bridging towards OLT. This was administered via IV bolus doses and managed as an inpatient. These patients will then remain on </w:t>
                </w:r>
                <w:proofErr w:type="spellStart"/>
                <w:r w:rsidRPr="00D50535">
                  <w:rPr>
                    <w:rFonts w:eastAsiaTheme="minorEastAsia"/>
                    <w:lang w:val="en-NZ" w:eastAsia="zh-CN" w:bidi="th-TH"/>
                  </w:rPr>
                  <w:t>terlipressin</w:t>
                </w:r>
                <w:proofErr w:type="spellEnd"/>
                <w:r w:rsidRPr="00D50535">
                  <w:rPr>
                    <w:rFonts w:eastAsiaTheme="minorEastAsia"/>
                    <w:lang w:val="en-NZ" w:eastAsia="zh-CN" w:bidi="th-TH"/>
                  </w:rPr>
                  <w:t xml:space="preserve"> until their transplant (which can be upwards of 2 weeks). We report the first case of using </w:t>
                </w:r>
                <w:proofErr w:type="spellStart"/>
                <w:r w:rsidRPr="00D50535">
                  <w:rPr>
                    <w:rFonts w:eastAsiaTheme="minorEastAsia"/>
                    <w:lang w:val="en-NZ" w:eastAsia="zh-CN" w:bidi="th-TH"/>
                  </w:rPr>
                  <w:t>terlipressin</w:t>
                </w:r>
                <w:proofErr w:type="spellEnd"/>
                <w:r w:rsidRPr="00D50535">
                  <w:rPr>
                    <w:rFonts w:eastAsiaTheme="minorEastAsia"/>
                    <w:lang w:val="en-NZ" w:eastAsia="zh-CN" w:bidi="th-TH"/>
                  </w:rPr>
                  <w:t xml:space="preserve"> as an infusion in New Zealand and management of hepatorenal syndrome in the outpatient setting.</w:t>
                </w:r>
              </w:p>
            </w:tc>
          </w:sdtContent>
        </w:sdt>
      </w:tr>
      <w:tr w:rsidR="0037412F" w:rsidRPr="00EC51E3" w14:paraId="41137DD1" w14:textId="77777777" w:rsidTr="006D0015">
        <w:tc>
          <w:tcPr>
            <w:tcW w:w="9638" w:type="dxa"/>
            <w:shd w:val="clear" w:color="auto" w:fill="auto"/>
          </w:tcPr>
          <w:p w14:paraId="119CA285" w14:textId="77777777" w:rsidR="0037412F" w:rsidRPr="00EC51E3" w:rsidRDefault="0037412F" w:rsidP="00EC51E3">
            <w:pPr>
              <w:pStyle w:val="Heading1"/>
            </w:pPr>
            <w:r w:rsidRPr="00EC51E3">
              <w:t>Case description</w:t>
            </w:r>
          </w:p>
        </w:tc>
      </w:tr>
      <w:tr w:rsidR="0037412F" w:rsidRPr="0037412F" w14:paraId="4567C94F" w14:textId="77777777" w:rsidTr="006D0015">
        <w:sdt>
          <w:sdtPr>
            <w:rPr>
              <w:rFonts w:eastAsiaTheme="minorEastAsia"/>
              <w:lang w:val="en-NZ" w:eastAsia="zh-CN" w:bidi="th-TH"/>
            </w:rPr>
            <w:id w:val="-66496568"/>
            <w:placeholder>
              <w:docPart w:val="94F8415562D843C2834CE526B1000DA5"/>
            </w:placeholder>
            <w:text/>
          </w:sdtPr>
          <w:sdtEndPr/>
          <w:sdtContent>
            <w:tc>
              <w:tcPr>
                <w:tcW w:w="9638" w:type="dxa"/>
                <w:shd w:val="clear" w:color="auto" w:fill="auto"/>
              </w:tcPr>
              <w:p w14:paraId="23CE88EE" w14:textId="3DA28385" w:rsidR="0037412F" w:rsidRPr="0037412F" w:rsidRDefault="00D50535" w:rsidP="00EC51E3">
                <w:r w:rsidRPr="00D50535">
                  <w:rPr>
                    <w:rFonts w:eastAsiaTheme="minorEastAsia"/>
                    <w:lang w:val="en-NZ" w:eastAsia="zh-CN" w:bidi="th-TH"/>
                  </w:rPr>
                  <w:t xml:space="preserve">A </w:t>
                </w:r>
                <w:proofErr w:type="gramStart"/>
                <w:r w:rsidRPr="00D50535">
                  <w:rPr>
                    <w:rFonts w:eastAsiaTheme="minorEastAsia"/>
                    <w:lang w:val="en-NZ" w:eastAsia="zh-CN" w:bidi="th-TH"/>
                  </w:rPr>
                  <w:t>49 year old</w:t>
                </w:r>
                <w:proofErr w:type="gramEnd"/>
                <w:r w:rsidRPr="00D50535">
                  <w:rPr>
                    <w:rFonts w:eastAsiaTheme="minorEastAsia"/>
                    <w:lang w:val="en-NZ" w:eastAsia="zh-CN" w:bidi="th-TH"/>
                  </w:rPr>
                  <w:t xml:space="preserve"> Caucasian male (GW) transferred to </w:t>
                </w:r>
                <w:r w:rsidR="00C87DB5">
                  <w:rPr>
                    <w:rFonts w:eastAsiaTheme="minorEastAsia"/>
                    <w:lang w:val="en-NZ" w:eastAsia="zh-CN" w:bidi="th-TH"/>
                  </w:rPr>
                  <w:t>a tertiary teaching</w:t>
                </w:r>
                <w:r w:rsidRPr="00D50535">
                  <w:rPr>
                    <w:rFonts w:eastAsiaTheme="minorEastAsia"/>
                    <w:lang w:val="en-NZ" w:eastAsia="zh-CN" w:bidi="th-TH"/>
                  </w:rPr>
                  <w:t xml:space="preserve"> hospital with end stage liver disease and worsening renal function was diagnosed with hepatorenal syndrome awaiting OLT. GW was initially started on 1mg of </w:t>
                </w:r>
                <w:proofErr w:type="spellStart"/>
                <w:r w:rsidRPr="00D50535">
                  <w:rPr>
                    <w:rFonts w:eastAsiaTheme="minorEastAsia"/>
                    <w:lang w:val="en-NZ" w:eastAsia="zh-CN" w:bidi="th-TH"/>
                  </w:rPr>
                  <w:t>terlipressin</w:t>
                </w:r>
                <w:proofErr w:type="spellEnd"/>
                <w:r w:rsidRPr="00D50535">
                  <w:rPr>
                    <w:rFonts w:eastAsiaTheme="minorEastAsia"/>
                    <w:lang w:val="en-NZ" w:eastAsia="zh-CN" w:bidi="th-TH"/>
                  </w:rPr>
                  <w:t xml:space="preserve"> every six hours given as IV boluses with albumin. On admission his serum creatinine was elevated to 340μmol/L (baseline 120-130μmol/L) and subsequently decreased and stabilised to 130μmol prior to discharge. GW was then discharged on </w:t>
                </w:r>
                <w:proofErr w:type="spellStart"/>
                <w:r w:rsidRPr="00D50535">
                  <w:rPr>
                    <w:rFonts w:eastAsiaTheme="minorEastAsia"/>
                    <w:lang w:val="en-NZ" w:eastAsia="zh-CN" w:bidi="th-TH"/>
                  </w:rPr>
                  <w:t>terlipressin</w:t>
                </w:r>
                <w:proofErr w:type="spellEnd"/>
                <w:r w:rsidRPr="00D50535">
                  <w:rPr>
                    <w:rFonts w:eastAsiaTheme="minorEastAsia"/>
                    <w:lang w:val="en-NZ" w:eastAsia="zh-CN" w:bidi="th-TH"/>
                  </w:rPr>
                  <w:t xml:space="preserve"> infusion at 4mg over 24 hours via an elastomeric pump and subsequent serum creatinine remained stable at around 130μmol/L for the next four days before he received a liver transplant.</w:t>
                </w:r>
              </w:p>
            </w:tc>
          </w:sdtContent>
        </w:sdt>
      </w:tr>
      <w:tr w:rsidR="0037412F" w:rsidRPr="00EC51E3" w14:paraId="31E1C364" w14:textId="77777777" w:rsidTr="006D0015">
        <w:tc>
          <w:tcPr>
            <w:tcW w:w="9638" w:type="dxa"/>
            <w:shd w:val="clear" w:color="auto" w:fill="auto"/>
          </w:tcPr>
          <w:p w14:paraId="39A2B40A" w14:textId="77777777" w:rsidR="0037412F" w:rsidRPr="00EC51E3" w:rsidRDefault="0037412F" w:rsidP="00EC51E3">
            <w:pPr>
              <w:pStyle w:val="Heading1"/>
            </w:pPr>
            <w:r w:rsidRPr="00EC51E3">
              <w:t>Discussion</w:t>
            </w:r>
          </w:p>
        </w:tc>
      </w:tr>
      <w:tr w:rsidR="0037412F" w:rsidRPr="0037412F" w14:paraId="6AF6533D" w14:textId="77777777" w:rsidTr="006D0015">
        <w:sdt>
          <w:sdtPr>
            <w:rPr>
              <w:rFonts w:eastAsiaTheme="minorEastAsia"/>
              <w:lang w:val="en-NZ" w:eastAsia="zh-CN" w:bidi="th-TH"/>
            </w:rPr>
            <w:id w:val="-174495928"/>
            <w:placeholder>
              <w:docPart w:val="EE8ACB770EA74BEEB596CE6C0CE662B2"/>
            </w:placeholder>
            <w:text/>
          </w:sdtPr>
          <w:sdtEndPr/>
          <w:sdtContent>
            <w:tc>
              <w:tcPr>
                <w:tcW w:w="9638" w:type="dxa"/>
                <w:shd w:val="clear" w:color="auto" w:fill="auto"/>
              </w:tcPr>
              <w:p w14:paraId="3D11B26A" w14:textId="349FEB9F" w:rsidR="0037412F" w:rsidRPr="0037412F" w:rsidRDefault="00D50535" w:rsidP="00EC51E3">
                <w:r w:rsidRPr="00D50535">
                  <w:rPr>
                    <w:rFonts w:eastAsiaTheme="minorEastAsia"/>
                    <w:lang w:val="en-NZ" w:eastAsia="zh-CN" w:bidi="th-TH"/>
                  </w:rPr>
                  <w:t xml:space="preserve">This case illustrates the first reported use of </w:t>
                </w:r>
                <w:proofErr w:type="spellStart"/>
                <w:r w:rsidRPr="00D50535">
                  <w:rPr>
                    <w:rFonts w:eastAsiaTheme="minorEastAsia"/>
                    <w:lang w:val="en-NZ" w:eastAsia="zh-CN" w:bidi="th-TH"/>
                  </w:rPr>
                  <w:t>terlipressin</w:t>
                </w:r>
                <w:proofErr w:type="spellEnd"/>
                <w:r w:rsidRPr="00D50535">
                  <w:rPr>
                    <w:rFonts w:eastAsiaTheme="minorEastAsia"/>
                    <w:lang w:val="en-NZ" w:eastAsia="zh-CN" w:bidi="th-TH"/>
                  </w:rPr>
                  <w:t xml:space="preserve"> infusion in an elastomeric pump for the management of hepatorenal syndrome as an outpatient. Cases have been reported from Australia regarding </w:t>
                </w:r>
                <w:proofErr w:type="spellStart"/>
                <w:r w:rsidRPr="00D50535">
                  <w:rPr>
                    <w:rFonts w:eastAsiaTheme="minorEastAsia"/>
                    <w:lang w:val="en-NZ" w:eastAsia="zh-CN" w:bidi="th-TH"/>
                  </w:rPr>
                  <w:t>terlipressin</w:t>
                </w:r>
                <w:proofErr w:type="spellEnd"/>
                <w:r w:rsidRPr="00D50535">
                  <w:rPr>
                    <w:rFonts w:eastAsiaTheme="minorEastAsia"/>
                    <w:lang w:val="en-NZ" w:eastAsia="zh-CN" w:bidi="th-TH"/>
                  </w:rPr>
                  <w:t xml:space="preserve"> infusions via conventional devices, offering patients limited ability to perform activities of daily living. Though the total duration of infusion was short, it is clear GW’s serum creatinine did not deteriorate further and he did not experience any adverse effects.</w:t>
                </w:r>
              </w:p>
            </w:tc>
          </w:sdtContent>
        </w:sdt>
      </w:tr>
      <w:tr w:rsidR="0037412F" w:rsidRPr="00EC51E3" w14:paraId="7C1E23B5" w14:textId="77777777" w:rsidTr="006D0015">
        <w:tc>
          <w:tcPr>
            <w:tcW w:w="9638" w:type="dxa"/>
            <w:shd w:val="clear" w:color="auto" w:fill="auto"/>
          </w:tcPr>
          <w:p w14:paraId="06E436FC" w14:textId="77777777" w:rsidR="0037412F" w:rsidRPr="00EC51E3" w:rsidRDefault="0037412F" w:rsidP="00EC51E3">
            <w:pPr>
              <w:pStyle w:val="Heading1"/>
            </w:pPr>
            <w:r w:rsidRPr="00EC51E3">
              <w:t>Conclusion</w:t>
            </w:r>
          </w:p>
        </w:tc>
      </w:tr>
      <w:tr w:rsidR="0037412F" w:rsidRPr="0037412F" w14:paraId="3A5B8F4E" w14:textId="77777777" w:rsidTr="006D0015">
        <w:sdt>
          <w:sdtPr>
            <w:rPr>
              <w:rFonts w:eastAsiaTheme="minorEastAsia"/>
              <w:lang w:val="en-NZ" w:eastAsia="zh-CN" w:bidi="th-TH"/>
            </w:rPr>
            <w:id w:val="-1604870946"/>
            <w:placeholder>
              <w:docPart w:val="540CB9D3B9EE488A91C257EB9163328A"/>
            </w:placeholder>
            <w:text/>
          </w:sdtPr>
          <w:sdtEndPr/>
          <w:sdtContent>
            <w:tc>
              <w:tcPr>
                <w:tcW w:w="9638" w:type="dxa"/>
                <w:shd w:val="clear" w:color="auto" w:fill="auto"/>
              </w:tcPr>
              <w:p w14:paraId="2B4CBF81" w14:textId="23954D2E" w:rsidR="0037412F" w:rsidRPr="0037412F" w:rsidRDefault="00D50535" w:rsidP="00EC51E3">
                <w:r w:rsidRPr="00D50535">
                  <w:rPr>
                    <w:rFonts w:eastAsiaTheme="minorEastAsia"/>
                    <w:lang w:val="en-NZ" w:eastAsia="zh-CN" w:bidi="th-TH"/>
                  </w:rPr>
                  <w:t xml:space="preserve">This is a novel approach to patients requiring ongoing </w:t>
                </w:r>
                <w:proofErr w:type="spellStart"/>
                <w:r w:rsidRPr="00D50535">
                  <w:rPr>
                    <w:rFonts w:eastAsiaTheme="minorEastAsia"/>
                    <w:lang w:val="en-NZ" w:eastAsia="zh-CN" w:bidi="th-TH"/>
                  </w:rPr>
                  <w:t>terlipressin</w:t>
                </w:r>
                <w:proofErr w:type="spellEnd"/>
                <w:r w:rsidRPr="00D50535">
                  <w:rPr>
                    <w:rFonts w:eastAsiaTheme="minorEastAsia"/>
                    <w:lang w:val="en-NZ" w:eastAsia="zh-CN" w:bidi="th-TH"/>
                  </w:rPr>
                  <w:t xml:space="preserve"> prior to OLT, and it will be developed into a protocol for future liver transplant patients. The advantages of this approach include cost savings, release of nursing time and hospital beds, and reduced risks associated with prolonged hospital stay.</w:t>
                </w:r>
                <w:r>
                  <w:rPr>
                    <w:rFonts w:eastAsiaTheme="minorEastAsia"/>
                    <w:lang w:val="en-NZ" w:eastAsia="zh-CN" w:bidi="th-TH"/>
                  </w:rPr>
                  <w:t xml:space="preserve"> </w:t>
                </w:r>
              </w:p>
            </w:tc>
          </w:sdtContent>
        </w:sdt>
      </w:tr>
    </w:tbl>
    <w:p w14:paraId="33F1C485" w14:textId="3AFDD3EC" w:rsidR="0037412F" w:rsidRDefault="0037412F">
      <w:pPr>
        <w:rPr>
          <w:rFonts w:cstheme="minorHAnsi"/>
          <w:szCs w:val="22"/>
        </w:rPr>
      </w:pPr>
      <w:r>
        <w:rPr>
          <w:rFonts w:cstheme="minorHAnsi"/>
          <w:szCs w:val="22"/>
        </w:rPr>
        <w:br w:type="page"/>
      </w:r>
    </w:p>
    <w:tbl>
      <w:tblPr>
        <w:tblW w:w="0" w:type="auto"/>
        <w:tblLook w:val="04A0" w:firstRow="1" w:lastRow="0" w:firstColumn="1" w:lastColumn="0" w:noHBand="0" w:noVBand="1"/>
      </w:tblPr>
      <w:tblGrid>
        <w:gridCol w:w="9638"/>
      </w:tblGrid>
      <w:tr w:rsidR="0037412F" w:rsidRPr="0037412F" w14:paraId="312CA4E2" w14:textId="77777777" w:rsidTr="006D0015">
        <w:sdt>
          <w:sdtPr>
            <w:id w:val="-1892411496"/>
            <w:placeholder>
              <w:docPart w:val="30B742FD42764538BC15FCB7822DE52C"/>
            </w:placeholder>
          </w:sdtPr>
          <w:sdtEndPr/>
          <w:sdtContent>
            <w:tc>
              <w:tcPr>
                <w:tcW w:w="9638" w:type="dxa"/>
                <w:shd w:val="clear" w:color="auto" w:fill="auto"/>
              </w:tcPr>
              <w:p w14:paraId="3987FE1E" w14:textId="511F1A50" w:rsidR="0037412F" w:rsidRPr="0037412F" w:rsidRDefault="008761C9" w:rsidP="009F4A76">
                <w:pPr>
                  <w:pStyle w:val="Title"/>
                </w:pPr>
                <w:r w:rsidRPr="008761C9">
                  <w:t xml:space="preserve">What has </w:t>
                </w:r>
                <w:proofErr w:type="spellStart"/>
                <w:proofErr w:type="gramStart"/>
                <w:r w:rsidRPr="008761C9">
                  <w:t>lead</w:t>
                </w:r>
                <w:proofErr w:type="spellEnd"/>
                <w:proofErr w:type="gramEnd"/>
                <w:r w:rsidRPr="008761C9">
                  <w:t xml:space="preserve"> to this: a case of heavy metal poisoning </w:t>
                </w:r>
              </w:p>
            </w:tc>
          </w:sdtContent>
        </w:sdt>
      </w:tr>
      <w:tr w:rsidR="0037412F" w:rsidRPr="0037412F" w14:paraId="3A75244E" w14:textId="77777777" w:rsidTr="006D0015">
        <w:tc>
          <w:tcPr>
            <w:tcW w:w="9638" w:type="dxa"/>
            <w:shd w:val="clear" w:color="auto" w:fill="auto"/>
          </w:tcPr>
          <w:p w14:paraId="15918E45" w14:textId="278A95DA" w:rsidR="008761C9" w:rsidRPr="008761C9" w:rsidRDefault="008761C9" w:rsidP="009F4A76">
            <w:r w:rsidRPr="008761C9">
              <w:t>Hossain</w:t>
            </w:r>
            <w:r w:rsidR="008B085A">
              <w:t xml:space="preserve"> N</w:t>
            </w:r>
            <w:r w:rsidRPr="008761C9">
              <w:t>, Numan</w:t>
            </w:r>
            <w:r w:rsidR="008B085A">
              <w:t xml:space="preserve"> H</w:t>
            </w:r>
          </w:p>
          <w:p w14:paraId="0F2256FA" w14:textId="761B6824" w:rsidR="008761C9" w:rsidRPr="00077E77" w:rsidRDefault="00B667B9" w:rsidP="009F4A76">
            <w:pPr>
              <w:spacing w:before="0"/>
              <w:rPr>
                <w:rStyle w:val="Hyperlink"/>
                <w:rFonts w:cstheme="minorHAnsi"/>
                <w:szCs w:val="22"/>
              </w:rPr>
            </w:pPr>
            <w:hyperlink r:id="rId8" w:history="1">
              <w:r w:rsidR="008761C9" w:rsidRPr="00077E77">
                <w:rPr>
                  <w:rStyle w:val="Hyperlink"/>
                  <w:rFonts w:cstheme="minorHAnsi"/>
                  <w:szCs w:val="24"/>
                </w:rPr>
                <w:t>Nazia.Hossain@waitematadhb.govt.nz</w:t>
              </w:r>
            </w:hyperlink>
            <w:r w:rsidR="008761C9" w:rsidRPr="00077E77">
              <w:rPr>
                <w:rStyle w:val="Hyperlink"/>
                <w:rFonts w:cstheme="minorHAnsi"/>
                <w:szCs w:val="22"/>
              </w:rPr>
              <w:t xml:space="preserve"> </w:t>
            </w:r>
          </w:p>
          <w:p w14:paraId="4744EE42" w14:textId="0A8BB966" w:rsidR="0037412F" w:rsidRPr="008761C9" w:rsidRDefault="00706186" w:rsidP="009F4A76">
            <w:pPr>
              <w:spacing w:before="0"/>
              <w:rPr>
                <w:color w:val="000000"/>
              </w:rPr>
            </w:pPr>
            <w:r w:rsidRPr="00706186">
              <w:t xml:space="preserve">North Shore Hospital, </w:t>
            </w:r>
            <w:r w:rsidR="008761C9" w:rsidRPr="00706186">
              <w:t>Waitemata, Auckland</w:t>
            </w:r>
            <w:r w:rsidR="008761C9" w:rsidRPr="008761C9">
              <w:t xml:space="preserve"> </w:t>
            </w:r>
          </w:p>
        </w:tc>
      </w:tr>
      <w:tr w:rsidR="0037412F" w:rsidRPr="0037412F" w14:paraId="561AE99A" w14:textId="77777777" w:rsidTr="006D0015">
        <w:tc>
          <w:tcPr>
            <w:tcW w:w="9638" w:type="dxa"/>
            <w:shd w:val="clear" w:color="auto" w:fill="auto"/>
          </w:tcPr>
          <w:p w14:paraId="3AFEA55E" w14:textId="77777777" w:rsidR="0037412F" w:rsidRPr="0037412F" w:rsidRDefault="0037412F" w:rsidP="009F4A76">
            <w:pPr>
              <w:pStyle w:val="Heading1"/>
            </w:pPr>
            <w:r w:rsidRPr="0037412F">
              <w:t>Introduction</w:t>
            </w:r>
          </w:p>
        </w:tc>
      </w:tr>
      <w:tr w:rsidR="0037412F" w:rsidRPr="0037412F" w14:paraId="206E8DF2" w14:textId="77777777" w:rsidTr="006D0015">
        <w:sdt>
          <w:sdtPr>
            <w:rPr>
              <w:rFonts w:eastAsiaTheme="minorEastAsia"/>
              <w:lang w:val="en-NZ" w:eastAsia="zh-CN" w:bidi="th-TH"/>
            </w:rPr>
            <w:id w:val="-1072729664"/>
            <w:placeholder>
              <w:docPart w:val="C55B3DE4803743D2807FDCBA73A93F3F"/>
            </w:placeholder>
            <w:text/>
          </w:sdtPr>
          <w:sdtEndPr/>
          <w:sdtContent>
            <w:tc>
              <w:tcPr>
                <w:tcW w:w="9638" w:type="dxa"/>
                <w:shd w:val="clear" w:color="auto" w:fill="auto"/>
              </w:tcPr>
              <w:p w14:paraId="6180ACB5" w14:textId="1AE1B1E7" w:rsidR="0037412F" w:rsidRPr="0037412F" w:rsidRDefault="008761C9" w:rsidP="009F4A76">
                <w:r w:rsidRPr="009F4A76">
                  <w:rPr>
                    <w:rFonts w:eastAsiaTheme="minorEastAsia"/>
                    <w:lang w:val="en-NZ" w:eastAsia="zh-CN" w:bidi="th-TH"/>
                  </w:rPr>
                  <w:t>Heavy metal toxicity is an uncommon but potentially lethal event. A contributing factor is the self- administration of unregulated Ayurvedic medications (Indian herbal medication) that may contain significant concentrations of heavy metals</w:t>
                </w:r>
                <w:r w:rsidR="00D850CE" w:rsidRPr="009F4A76">
                  <w:rPr>
                    <w:rFonts w:eastAsiaTheme="minorEastAsia"/>
                    <w:lang w:val="en-NZ" w:eastAsia="zh-CN" w:bidi="th-TH"/>
                  </w:rPr>
                  <w:t xml:space="preserve">. </w:t>
                </w:r>
                <w:r w:rsidRPr="009F4A76">
                  <w:rPr>
                    <w:rFonts w:eastAsiaTheme="minorEastAsia"/>
                    <w:lang w:val="en-NZ" w:eastAsia="zh-CN" w:bidi="th-TH"/>
                  </w:rPr>
                  <w:t>(1) This report describes an incident of chronic lead poisoning secondary to long term Ayurvedic medication use and the procurement of its antidote.</w:t>
                </w:r>
              </w:p>
            </w:tc>
          </w:sdtContent>
        </w:sdt>
      </w:tr>
      <w:tr w:rsidR="0037412F" w:rsidRPr="0037412F" w14:paraId="0D2C87B0" w14:textId="77777777" w:rsidTr="006D0015">
        <w:tc>
          <w:tcPr>
            <w:tcW w:w="9638" w:type="dxa"/>
            <w:shd w:val="clear" w:color="auto" w:fill="auto"/>
          </w:tcPr>
          <w:p w14:paraId="4C484FDC" w14:textId="77777777" w:rsidR="0037412F" w:rsidRPr="0037412F" w:rsidRDefault="0037412F" w:rsidP="009F4A76">
            <w:pPr>
              <w:pStyle w:val="Heading1"/>
            </w:pPr>
            <w:r w:rsidRPr="0037412F">
              <w:t>Case description</w:t>
            </w:r>
          </w:p>
        </w:tc>
      </w:tr>
      <w:tr w:rsidR="0037412F" w:rsidRPr="0037412F" w14:paraId="3503E2B7" w14:textId="77777777" w:rsidTr="006D0015">
        <w:sdt>
          <w:sdtPr>
            <w:rPr>
              <w:rFonts w:eastAsiaTheme="minorEastAsia"/>
              <w:lang w:val="en-NZ" w:eastAsia="zh-CN" w:bidi="th-TH"/>
            </w:rPr>
            <w:id w:val="806590420"/>
            <w:placeholder>
              <w:docPart w:val="B6D64AE27B614527A66C6A024D98C498"/>
            </w:placeholder>
            <w:text/>
          </w:sdtPr>
          <w:sdtEndPr/>
          <w:sdtContent>
            <w:tc>
              <w:tcPr>
                <w:tcW w:w="9638" w:type="dxa"/>
                <w:shd w:val="clear" w:color="auto" w:fill="auto"/>
              </w:tcPr>
              <w:p w14:paraId="005E1979" w14:textId="70C1CECF" w:rsidR="0037412F" w:rsidRPr="0037412F" w:rsidRDefault="008761C9" w:rsidP="009F4A76">
                <w:r w:rsidRPr="008761C9">
                  <w:rPr>
                    <w:rFonts w:eastAsiaTheme="minorEastAsia"/>
                    <w:lang w:val="en-NZ" w:eastAsia="zh-CN" w:bidi="th-TH"/>
                  </w:rPr>
                  <w:t xml:space="preserve">Mrs X, a </w:t>
                </w:r>
                <w:proofErr w:type="gramStart"/>
                <w:r w:rsidRPr="008761C9">
                  <w:rPr>
                    <w:rFonts w:eastAsiaTheme="minorEastAsia"/>
                    <w:lang w:val="en-NZ" w:eastAsia="zh-CN" w:bidi="th-TH"/>
                  </w:rPr>
                  <w:t>40 year-old</w:t>
                </w:r>
                <w:proofErr w:type="gramEnd"/>
                <w:r w:rsidRPr="008761C9">
                  <w:rPr>
                    <w:rFonts w:eastAsiaTheme="minorEastAsia"/>
                    <w:lang w:val="en-NZ" w:eastAsia="zh-CN" w:bidi="th-TH"/>
                  </w:rPr>
                  <w:t xml:space="preserve"> Fijian Indian female presented to hospital with biparietal headache and high lead levels following chronic use of ayurvedic medicines for essential tremor management. No other obvious source of lead exposure was noted. Treatment with IM dimercaprol and sodium calcium EDTA was commenced in hospital however stock was limited. Given the patient was asymptomatic, treatment was changed to PO </w:t>
                </w:r>
                <w:proofErr w:type="spellStart"/>
                <w:r w:rsidRPr="008761C9">
                  <w:rPr>
                    <w:rFonts w:eastAsiaTheme="minorEastAsia"/>
                    <w:lang w:val="en-NZ" w:eastAsia="zh-CN" w:bidi="th-TH"/>
                  </w:rPr>
                  <w:t>succimer</w:t>
                </w:r>
                <w:proofErr w:type="spellEnd"/>
                <w:r w:rsidRPr="008761C9">
                  <w:rPr>
                    <w:rFonts w:eastAsiaTheme="minorEastAsia"/>
                    <w:lang w:val="en-NZ" w:eastAsia="zh-CN" w:bidi="th-TH"/>
                  </w:rPr>
                  <w:t xml:space="preserve"> as per toxicologist advice. The choice and procurement of antidote agents required significant teamwork and liaison between </w:t>
                </w:r>
                <w:r w:rsidR="008B085A">
                  <w:rPr>
                    <w:rFonts w:eastAsiaTheme="minorEastAsia"/>
                    <w:lang w:val="en-NZ" w:eastAsia="zh-CN" w:bidi="th-TH"/>
                  </w:rPr>
                  <w:t>hospitals nationally</w:t>
                </w:r>
                <w:r w:rsidRPr="008761C9">
                  <w:rPr>
                    <w:rFonts w:eastAsiaTheme="minorEastAsia"/>
                    <w:lang w:val="en-NZ" w:eastAsia="zh-CN" w:bidi="th-TH"/>
                  </w:rPr>
                  <w:t xml:space="preserve">. </w:t>
                </w:r>
                <w:proofErr w:type="spellStart"/>
                <w:r w:rsidRPr="008761C9">
                  <w:rPr>
                    <w:rFonts w:eastAsiaTheme="minorEastAsia"/>
                    <w:lang w:val="en-NZ" w:eastAsia="zh-CN" w:bidi="th-TH"/>
                  </w:rPr>
                  <w:t>Succimer</w:t>
                </w:r>
                <w:proofErr w:type="spellEnd"/>
                <w:r w:rsidRPr="008761C9">
                  <w:rPr>
                    <w:rFonts w:eastAsiaTheme="minorEastAsia"/>
                    <w:lang w:val="en-NZ" w:eastAsia="zh-CN" w:bidi="th-TH"/>
                  </w:rPr>
                  <w:t xml:space="preserve"> was supplied to the patient along with medication counselling on discharge to ensure completion of course. Public health unit was notified for further community follow up whereby repeat blood levels ultimately showed response to treatment.</w:t>
                </w:r>
              </w:p>
            </w:tc>
          </w:sdtContent>
        </w:sdt>
      </w:tr>
      <w:tr w:rsidR="0037412F" w:rsidRPr="0037412F" w14:paraId="0F7804AD" w14:textId="77777777" w:rsidTr="006D0015">
        <w:tc>
          <w:tcPr>
            <w:tcW w:w="9638" w:type="dxa"/>
            <w:shd w:val="clear" w:color="auto" w:fill="auto"/>
          </w:tcPr>
          <w:p w14:paraId="711D6351" w14:textId="77777777" w:rsidR="0037412F" w:rsidRPr="0037412F" w:rsidRDefault="0037412F" w:rsidP="009F4A76">
            <w:pPr>
              <w:pStyle w:val="Heading1"/>
            </w:pPr>
            <w:r w:rsidRPr="0037412F">
              <w:t>Discussion</w:t>
            </w:r>
          </w:p>
        </w:tc>
      </w:tr>
      <w:tr w:rsidR="0037412F" w:rsidRPr="0037412F" w14:paraId="7357E00F" w14:textId="77777777" w:rsidTr="006D0015">
        <w:sdt>
          <w:sdtPr>
            <w:rPr>
              <w:rFonts w:eastAsiaTheme="minorEastAsia"/>
              <w:lang w:val="en-NZ" w:eastAsia="zh-CN" w:bidi="th-TH"/>
            </w:rPr>
            <w:id w:val="30924959"/>
            <w:placeholder>
              <w:docPart w:val="0B09B11FAD884331A1DAE7BCE50B1E91"/>
            </w:placeholder>
            <w:text/>
          </w:sdtPr>
          <w:sdtEndPr/>
          <w:sdtContent>
            <w:tc>
              <w:tcPr>
                <w:tcW w:w="9638" w:type="dxa"/>
                <w:shd w:val="clear" w:color="auto" w:fill="auto"/>
              </w:tcPr>
              <w:p w14:paraId="0A582A35" w14:textId="5AC46BBA" w:rsidR="0037412F" w:rsidRPr="0037412F" w:rsidRDefault="008761C9" w:rsidP="009F4A76">
                <w:r w:rsidRPr="008761C9">
                  <w:rPr>
                    <w:rFonts w:eastAsiaTheme="minorEastAsia"/>
                    <w:lang w:val="en-NZ" w:eastAsia="zh-CN" w:bidi="th-TH"/>
                  </w:rPr>
                  <w:t>Mrs X’s case exposes the potential for ingestion of lead-containing ayurvedic medication to cause lead poisoning. A myriad of toxicity related symptoms may occur including vomiting, headaches, anaemia, renal insufficiency, neurological changes, and blue discolouration of the gums</w:t>
                </w:r>
                <w:r w:rsidR="00E02AD7">
                  <w:rPr>
                    <w:rFonts w:eastAsiaTheme="minorEastAsia"/>
                    <w:lang w:val="en-NZ" w:eastAsia="zh-CN" w:bidi="th-TH"/>
                  </w:rPr>
                  <w:t>.</w:t>
                </w:r>
                <w:r w:rsidRPr="008761C9">
                  <w:rPr>
                    <w:rFonts w:eastAsiaTheme="minorEastAsia"/>
                    <w:lang w:val="en-NZ" w:eastAsia="zh-CN" w:bidi="th-TH"/>
                  </w:rPr>
                  <w:t xml:space="preserve"> (2) The course of treatment is determined by blood lead levels along with patient symptoms. The antidote –which is usually of limited stock – would need to be sourced in an efficient manner to complete an entire course.</w:t>
                </w:r>
              </w:p>
            </w:tc>
          </w:sdtContent>
        </w:sdt>
      </w:tr>
      <w:tr w:rsidR="0037412F" w:rsidRPr="0037412F" w14:paraId="413AF481" w14:textId="77777777" w:rsidTr="006D0015">
        <w:tc>
          <w:tcPr>
            <w:tcW w:w="9638" w:type="dxa"/>
            <w:shd w:val="clear" w:color="auto" w:fill="auto"/>
          </w:tcPr>
          <w:p w14:paraId="0D3B911E" w14:textId="77777777" w:rsidR="0037412F" w:rsidRPr="0037412F" w:rsidRDefault="0037412F" w:rsidP="009F4A76">
            <w:pPr>
              <w:pStyle w:val="Heading1"/>
            </w:pPr>
            <w:r w:rsidRPr="0037412F">
              <w:t>Conclusion</w:t>
            </w:r>
          </w:p>
        </w:tc>
      </w:tr>
      <w:tr w:rsidR="0037412F" w:rsidRPr="0037412F" w14:paraId="0628746B" w14:textId="77777777" w:rsidTr="006D0015">
        <w:sdt>
          <w:sdtPr>
            <w:rPr>
              <w:rFonts w:eastAsiaTheme="minorEastAsia"/>
              <w:lang w:val="en-NZ" w:eastAsia="zh-CN" w:bidi="th-TH"/>
            </w:rPr>
            <w:id w:val="-1587912054"/>
            <w:placeholder>
              <w:docPart w:val="9B176EA77A7249709814F4226653988B"/>
            </w:placeholder>
            <w:text/>
          </w:sdtPr>
          <w:sdtEndPr/>
          <w:sdtContent>
            <w:tc>
              <w:tcPr>
                <w:tcW w:w="9638" w:type="dxa"/>
                <w:shd w:val="clear" w:color="auto" w:fill="auto"/>
              </w:tcPr>
              <w:p w14:paraId="0DC2D315" w14:textId="447DDD38" w:rsidR="0037412F" w:rsidRPr="0037412F" w:rsidRDefault="008761C9" w:rsidP="009F4A76">
                <w:r w:rsidRPr="008761C9">
                  <w:rPr>
                    <w:rFonts w:eastAsiaTheme="minorEastAsia"/>
                    <w:lang w:val="en-NZ" w:eastAsia="zh-CN" w:bidi="th-TH"/>
                  </w:rPr>
                  <w:t>This case demonstrates the importance of timely, sound management of lead toxicity that may potentially be fatal. It also highlights the need for readily available antidotes and the importance of knowing what different options of therapy are available to us. Currently, a registry of antidotes throughout the country is not available – should this be done?</w:t>
                </w:r>
              </w:p>
            </w:tc>
          </w:sdtContent>
        </w:sdt>
      </w:tr>
      <w:tr w:rsidR="0037412F" w:rsidRPr="0037412F" w14:paraId="7A718A20" w14:textId="77777777" w:rsidTr="006D0015">
        <w:tc>
          <w:tcPr>
            <w:tcW w:w="9638" w:type="dxa"/>
            <w:shd w:val="clear" w:color="auto" w:fill="auto"/>
          </w:tcPr>
          <w:p w14:paraId="5906F1A7" w14:textId="77777777" w:rsidR="0037412F" w:rsidRPr="00077E77" w:rsidRDefault="0037412F" w:rsidP="009F4A76">
            <w:pPr>
              <w:pStyle w:val="Heading1"/>
            </w:pPr>
            <w:r w:rsidRPr="00077E77">
              <w:t>References</w:t>
            </w:r>
          </w:p>
        </w:tc>
      </w:tr>
      <w:tr w:rsidR="0037412F" w:rsidRPr="0037412F" w14:paraId="01CC842E" w14:textId="77777777" w:rsidTr="006D0015">
        <w:tc>
          <w:tcPr>
            <w:tcW w:w="9638" w:type="dxa"/>
            <w:shd w:val="clear" w:color="auto" w:fill="auto"/>
          </w:tcPr>
          <w:p w14:paraId="7429B7AF" w14:textId="77777777" w:rsidR="008761C9" w:rsidRPr="00757096" w:rsidRDefault="008761C9" w:rsidP="00757096">
            <w:pPr>
              <w:numPr>
                <w:ilvl w:val="0"/>
                <w:numId w:val="4"/>
              </w:numPr>
              <w:autoSpaceDE w:val="0"/>
              <w:autoSpaceDN w:val="0"/>
              <w:adjustRightInd w:val="0"/>
              <w:ind w:left="360" w:hanging="360"/>
              <w:rPr>
                <w:rFonts w:cstheme="minorHAnsi"/>
                <w:color w:val="000000"/>
                <w:szCs w:val="22"/>
              </w:rPr>
            </w:pPr>
            <w:r w:rsidRPr="00757096">
              <w:rPr>
                <w:rFonts w:cstheme="minorHAnsi"/>
                <w:color w:val="000000"/>
                <w:szCs w:val="22"/>
              </w:rPr>
              <w:t>(</w:t>
            </w:r>
            <w:proofErr w:type="spellStart"/>
            <w:r w:rsidRPr="00757096">
              <w:rPr>
                <w:rFonts w:cstheme="minorHAnsi"/>
                <w:color w:val="000000"/>
                <w:szCs w:val="22"/>
              </w:rPr>
              <w:t>n.d</w:t>
            </w:r>
            <w:proofErr w:type="spellEnd"/>
            <w:r w:rsidRPr="00757096">
              <w:rPr>
                <w:rFonts w:cstheme="minorHAnsi"/>
                <w:color w:val="000000"/>
                <w:szCs w:val="22"/>
              </w:rPr>
              <w:t xml:space="preserve">). Retrieved June 02, 2017, from http://www.arphs.govt.nz/health-information/healthy-environments/hazardous-substances-and-chemicals/lead-and-lead-poisoning </w:t>
            </w:r>
          </w:p>
          <w:p w14:paraId="70CCF47E" w14:textId="79AA366C" w:rsidR="0037412F" w:rsidRPr="00077E77" w:rsidRDefault="00D850CE" w:rsidP="00077E77">
            <w:pPr>
              <w:numPr>
                <w:ilvl w:val="0"/>
                <w:numId w:val="4"/>
              </w:numPr>
              <w:autoSpaceDE w:val="0"/>
              <w:autoSpaceDN w:val="0"/>
              <w:adjustRightInd w:val="0"/>
              <w:ind w:left="360" w:hanging="360"/>
              <w:rPr>
                <w:rFonts w:cstheme="minorHAnsi"/>
                <w:color w:val="000000"/>
                <w:szCs w:val="22"/>
              </w:rPr>
            </w:pPr>
            <w:r w:rsidRPr="00757096">
              <w:rPr>
                <w:rFonts w:cstheme="minorHAnsi"/>
                <w:color w:val="000000"/>
                <w:szCs w:val="22"/>
              </w:rPr>
              <w:t xml:space="preserve">Retrieved June 02, 2017, from </w:t>
            </w:r>
            <w:r w:rsidR="008761C9" w:rsidRPr="00757096">
              <w:rPr>
                <w:rFonts w:cstheme="minorHAnsi"/>
                <w:color w:val="000000"/>
                <w:szCs w:val="22"/>
              </w:rPr>
              <w:t xml:space="preserve">http://www.toxinz.com/Spec/2020006#secrefID0EDMAI </w:t>
            </w:r>
          </w:p>
        </w:tc>
      </w:tr>
    </w:tbl>
    <w:p w14:paraId="36B7E35F" w14:textId="77777777" w:rsidR="00F50FBD" w:rsidRPr="0037412F" w:rsidRDefault="00F50FBD" w:rsidP="004E304A">
      <w:pPr>
        <w:rPr>
          <w:rFonts w:cstheme="minorHAnsi"/>
          <w:szCs w:val="22"/>
        </w:rPr>
      </w:pPr>
    </w:p>
    <w:sectPr w:rsidR="00F50FBD" w:rsidRPr="0037412F" w:rsidSect="002255B2">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C0419" w14:textId="77777777" w:rsidR="00B667B9" w:rsidRDefault="00B667B9" w:rsidP="009F4D37">
      <w:r>
        <w:separator/>
      </w:r>
    </w:p>
  </w:endnote>
  <w:endnote w:type="continuationSeparator" w:id="0">
    <w:p w14:paraId="01FE44D5" w14:textId="77777777" w:rsidR="00B667B9" w:rsidRDefault="00B667B9" w:rsidP="009F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35E5B" w14:textId="77777777" w:rsidR="00B667B9" w:rsidRDefault="00B667B9" w:rsidP="009F4D37">
      <w:r>
        <w:separator/>
      </w:r>
    </w:p>
  </w:footnote>
  <w:footnote w:type="continuationSeparator" w:id="0">
    <w:p w14:paraId="22F3A601" w14:textId="77777777" w:rsidR="00B667B9" w:rsidRDefault="00B667B9" w:rsidP="009F4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21944"/>
    <w:multiLevelType w:val="hybridMultilevel"/>
    <w:tmpl w:val="31F273F2"/>
    <w:lvl w:ilvl="0" w:tplc="2872267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065092"/>
    <w:multiLevelType w:val="hybridMultilevel"/>
    <w:tmpl w:val="8D405BE0"/>
    <w:lvl w:ilvl="0" w:tplc="2872267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7B501AB"/>
    <w:multiLevelType w:val="hybridMultilevel"/>
    <w:tmpl w:val="6ED2E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E0FA2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160"/>
    <w:rsid w:val="00043289"/>
    <w:rsid w:val="000628F4"/>
    <w:rsid w:val="00064470"/>
    <w:rsid w:val="00077E77"/>
    <w:rsid w:val="000B4A39"/>
    <w:rsid w:val="000D4D75"/>
    <w:rsid w:val="0014623A"/>
    <w:rsid w:val="00151F13"/>
    <w:rsid w:val="0015211C"/>
    <w:rsid w:val="00172A11"/>
    <w:rsid w:val="00186881"/>
    <w:rsid w:val="001A4629"/>
    <w:rsid w:val="001B4B1A"/>
    <w:rsid w:val="002255B2"/>
    <w:rsid w:val="002F3920"/>
    <w:rsid w:val="00321EF7"/>
    <w:rsid w:val="00336F1D"/>
    <w:rsid w:val="0037412F"/>
    <w:rsid w:val="00394130"/>
    <w:rsid w:val="003C44C9"/>
    <w:rsid w:val="00416593"/>
    <w:rsid w:val="00462442"/>
    <w:rsid w:val="00474E28"/>
    <w:rsid w:val="004E304A"/>
    <w:rsid w:val="00505C26"/>
    <w:rsid w:val="00507E43"/>
    <w:rsid w:val="005275A9"/>
    <w:rsid w:val="005661BB"/>
    <w:rsid w:val="00566AB1"/>
    <w:rsid w:val="005E6160"/>
    <w:rsid w:val="006548E6"/>
    <w:rsid w:val="00692638"/>
    <w:rsid w:val="006A398D"/>
    <w:rsid w:val="006B2FE5"/>
    <w:rsid w:val="00702D55"/>
    <w:rsid w:val="00706186"/>
    <w:rsid w:val="00757096"/>
    <w:rsid w:val="008272D3"/>
    <w:rsid w:val="00835016"/>
    <w:rsid w:val="00845DC1"/>
    <w:rsid w:val="008674C4"/>
    <w:rsid w:val="0087161B"/>
    <w:rsid w:val="008761C9"/>
    <w:rsid w:val="00891160"/>
    <w:rsid w:val="008A0786"/>
    <w:rsid w:val="008B085A"/>
    <w:rsid w:val="008F6304"/>
    <w:rsid w:val="00911CD4"/>
    <w:rsid w:val="00914262"/>
    <w:rsid w:val="00924C2C"/>
    <w:rsid w:val="00925E12"/>
    <w:rsid w:val="009F4A76"/>
    <w:rsid w:val="009F4D37"/>
    <w:rsid w:val="00A01AF0"/>
    <w:rsid w:val="00A07396"/>
    <w:rsid w:val="00A07791"/>
    <w:rsid w:val="00A107B5"/>
    <w:rsid w:val="00A152C8"/>
    <w:rsid w:val="00A23400"/>
    <w:rsid w:val="00A57047"/>
    <w:rsid w:val="00A70249"/>
    <w:rsid w:val="00A93E03"/>
    <w:rsid w:val="00AA4C5F"/>
    <w:rsid w:val="00AC59FC"/>
    <w:rsid w:val="00B667B9"/>
    <w:rsid w:val="00B8553E"/>
    <w:rsid w:val="00BA2959"/>
    <w:rsid w:val="00BE1D08"/>
    <w:rsid w:val="00C06A97"/>
    <w:rsid w:val="00C1139C"/>
    <w:rsid w:val="00C747B3"/>
    <w:rsid w:val="00C87DB5"/>
    <w:rsid w:val="00CB2524"/>
    <w:rsid w:val="00CC0574"/>
    <w:rsid w:val="00CD1DFA"/>
    <w:rsid w:val="00D33FC1"/>
    <w:rsid w:val="00D50535"/>
    <w:rsid w:val="00D84FF8"/>
    <w:rsid w:val="00D850CE"/>
    <w:rsid w:val="00D96E0D"/>
    <w:rsid w:val="00DE12AE"/>
    <w:rsid w:val="00E00E86"/>
    <w:rsid w:val="00E02AD7"/>
    <w:rsid w:val="00E41D29"/>
    <w:rsid w:val="00EA2DFC"/>
    <w:rsid w:val="00EC51E3"/>
    <w:rsid w:val="00ED10C2"/>
    <w:rsid w:val="00EE5039"/>
    <w:rsid w:val="00F30E8E"/>
    <w:rsid w:val="00F50FBD"/>
    <w:rsid w:val="00F52983"/>
    <w:rsid w:val="00FA16D3"/>
    <w:rsid w:val="00FC763E"/>
    <w:rsid w:val="00FD471B"/>
    <w:rsid w:val="00FE601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98639"/>
  <w15:docId w15:val="{BB7F3CC9-1428-4F12-B603-CD9C1ED4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zh-CN" w:bidi="th-TH"/>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983"/>
    <w:pPr>
      <w:spacing w:before="120"/>
    </w:pPr>
    <w:rPr>
      <w:rFonts w:asciiTheme="minorHAnsi" w:hAnsiTheme="minorHAnsi"/>
      <w:sz w:val="22"/>
      <w:lang w:val="en-AU" w:eastAsia="en-US" w:bidi="ar-SA"/>
    </w:rPr>
  </w:style>
  <w:style w:type="paragraph" w:styleId="Heading1">
    <w:name w:val="heading 1"/>
    <w:basedOn w:val="Normal"/>
    <w:next w:val="Normal"/>
    <w:link w:val="Heading1Char"/>
    <w:qFormat/>
    <w:locked/>
    <w:rsid w:val="00F52983"/>
    <w:pPr>
      <w:keepNext/>
      <w:keepLines/>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D37"/>
    <w:pPr>
      <w:tabs>
        <w:tab w:val="center" w:pos="4513"/>
        <w:tab w:val="right" w:pos="9026"/>
      </w:tabs>
    </w:pPr>
  </w:style>
  <w:style w:type="character" w:customStyle="1" w:styleId="HeaderChar">
    <w:name w:val="Header Char"/>
    <w:link w:val="Header"/>
    <w:uiPriority w:val="99"/>
    <w:rsid w:val="009F4D37"/>
    <w:rPr>
      <w:sz w:val="20"/>
      <w:szCs w:val="20"/>
      <w:lang w:val="en-AU" w:eastAsia="en-US"/>
    </w:rPr>
  </w:style>
  <w:style w:type="paragraph" w:styleId="Footer">
    <w:name w:val="footer"/>
    <w:basedOn w:val="Normal"/>
    <w:link w:val="FooterChar"/>
    <w:uiPriority w:val="99"/>
    <w:unhideWhenUsed/>
    <w:rsid w:val="009F4D37"/>
    <w:pPr>
      <w:tabs>
        <w:tab w:val="center" w:pos="4513"/>
        <w:tab w:val="right" w:pos="9026"/>
      </w:tabs>
    </w:pPr>
  </w:style>
  <w:style w:type="character" w:customStyle="1" w:styleId="FooterChar">
    <w:name w:val="Footer Char"/>
    <w:link w:val="Footer"/>
    <w:uiPriority w:val="99"/>
    <w:rsid w:val="009F4D37"/>
    <w:rPr>
      <w:sz w:val="20"/>
      <w:szCs w:val="20"/>
      <w:lang w:val="en-AU" w:eastAsia="en-US"/>
    </w:rPr>
  </w:style>
  <w:style w:type="table" w:styleId="TableGrid">
    <w:name w:val="Table Grid"/>
    <w:basedOn w:val="TableNormal"/>
    <w:unhideWhenUsed/>
    <w:locked/>
    <w:rsid w:val="009F4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48E6"/>
    <w:rPr>
      <w:color w:val="808080"/>
    </w:rPr>
  </w:style>
  <w:style w:type="paragraph" w:styleId="ListParagraph">
    <w:name w:val="List Paragraph"/>
    <w:basedOn w:val="Normal"/>
    <w:uiPriority w:val="34"/>
    <w:qFormat/>
    <w:rsid w:val="00FC763E"/>
    <w:pPr>
      <w:ind w:left="720"/>
      <w:contextualSpacing/>
    </w:pPr>
  </w:style>
  <w:style w:type="character" w:styleId="CommentReference">
    <w:name w:val="annotation reference"/>
    <w:basedOn w:val="DefaultParagraphFont"/>
    <w:uiPriority w:val="99"/>
    <w:semiHidden/>
    <w:unhideWhenUsed/>
    <w:rsid w:val="00FC763E"/>
    <w:rPr>
      <w:sz w:val="16"/>
      <w:szCs w:val="16"/>
    </w:rPr>
  </w:style>
  <w:style w:type="paragraph" w:styleId="CommentText">
    <w:name w:val="annotation text"/>
    <w:basedOn w:val="Normal"/>
    <w:link w:val="CommentTextChar"/>
    <w:uiPriority w:val="99"/>
    <w:unhideWhenUsed/>
    <w:rsid w:val="00FC763E"/>
  </w:style>
  <w:style w:type="character" w:customStyle="1" w:styleId="CommentTextChar">
    <w:name w:val="Comment Text Char"/>
    <w:basedOn w:val="DefaultParagraphFont"/>
    <w:link w:val="CommentText"/>
    <w:uiPriority w:val="99"/>
    <w:rsid w:val="00FC763E"/>
    <w:rPr>
      <w:lang w:val="en-AU" w:eastAsia="en-US" w:bidi="ar-SA"/>
    </w:rPr>
  </w:style>
  <w:style w:type="paragraph" w:styleId="CommentSubject">
    <w:name w:val="annotation subject"/>
    <w:basedOn w:val="CommentText"/>
    <w:next w:val="CommentText"/>
    <w:link w:val="CommentSubjectChar"/>
    <w:uiPriority w:val="99"/>
    <w:semiHidden/>
    <w:unhideWhenUsed/>
    <w:rsid w:val="00FC763E"/>
    <w:rPr>
      <w:b/>
      <w:bCs/>
    </w:rPr>
  </w:style>
  <w:style w:type="character" w:customStyle="1" w:styleId="CommentSubjectChar">
    <w:name w:val="Comment Subject Char"/>
    <w:basedOn w:val="CommentTextChar"/>
    <w:link w:val="CommentSubject"/>
    <w:uiPriority w:val="99"/>
    <w:semiHidden/>
    <w:rsid w:val="00FC763E"/>
    <w:rPr>
      <w:b/>
      <w:bCs/>
      <w:lang w:val="en-AU" w:eastAsia="en-US" w:bidi="ar-SA"/>
    </w:rPr>
  </w:style>
  <w:style w:type="paragraph" w:customStyle="1" w:styleId="Pa6">
    <w:name w:val="Pa6"/>
    <w:basedOn w:val="Normal"/>
    <w:next w:val="Normal"/>
    <w:uiPriority w:val="99"/>
    <w:rsid w:val="0087161B"/>
    <w:pPr>
      <w:autoSpaceDE w:val="0"/>
      <w:autoSpaceDN w:val="0"/>
      <w:adjustRightInd w:val="0"/>
      <w:spacing w:line="221" w:lineRule="atLeast"/>
    </w:pPr>
    <w:rPr>
      <w:rFonts w:ascii="Calibri" w:eastAsiaTheme="minorEastAsia" w:hAnsi="Calibri" w:cs="Angsana New"/>
      <w:sz w:val="24"/>
      <w:szCs w:val="24"/>
      <w:lang w:val="en-NZ" w:eastAsia="zh-CN" w:bidi="th-TH"/>
    </w:rPr>
  </w:style>
  <w:style w:type="paragraph" w:customStyle="1" w:styleId="Pa3">
    <w:name w:val="Pa3"/>
    <w:basedOn w:val="Normal"/>
    <w:next w:val="Normal"/>
    <w:uiPriority w:val="99"/>
    <w:rsid w:val="0087161B"/>
    <w:pPr>
      <w:autoSpaceDE w:val="0"/>
      <w:autoSpaceDN w:val="0"/>
      <w:adjustRightInd w:val="0"/>
      <w:spacing w:line="181" w:lineRule="atLeast"/>
    </w:pPr>
    <w:rPr>
      <w:rFonts w:ascii="Calibri" w:eastAsiaTheme="minorEastAsia" w:hAnsi="Calibri" w:cs="Angsana New"/>
      <w:sz w:val="24"/>
      <w:szCs w:val="24"/>
      <w:lang w:val="en-NZ" w:eastAsia="zh-CN" w:bidi="th-TH"/>
    </w:rPr>
  </w:style>
  <w:style w:type="character" w:customStyle="1" w:styleId="A6">
    <w:name w:val="A6"/>
    <w:uiPriority w:val="99"/>
    <w:rsid w:val="0087161B"/>
    <w:rPr>
      <w:rFonts w:ascii="Calibri Light" w:hAnsi="Calibri Light" w:cs="Calibri Light"/>
      <w:color w:val="000000"/>
      <w:sz w:val="18"/>
      <w:szCs w:val="18"/>
      <w:u w:val="single"/>
    </w:rPr>
  </w:style>
  <w:style w:type="character" w:customStyle="1" w:styleId="A8">
    <w:name w:val="A8"/>
    <w:uiPriority w:val="99"/>
    <w:rsid w:val="0087161B"/>
    <w:rPr>
      <w:rFonts w:ascii="Calibri Light" w:hAnsi="Calibri Light" w:cs="Calibri Light"/>
      <w:i/>
      <w:iCs/>
      <w:color w:val="000000"/>
      <w:sz w:val="10"/>
      <w:szCs w:val="10"/>
    </w:rPr>
  </w:style>
  <w:style w:type="paragraph" w:customStyle="1" w:styleId="Pa1">
    <w:name w:val="Pa1"/>
    <w:basedOn w:val="Normal"/>
    <w:next w:val="Normal"/>
    <w:uiPriority w:val="99"/>
    <w:rsid w:val="0087161B"/>
    <w:pPr>
      <w:autoSpaceDE w:val="0"/>
      <w:autoSpaceDN w:val="0"/>
      <w:adjustRightInd w:val="0"/>
      <w:spacing w:line="181" w:lineRule="atLeast"/>
    </w:pPr>
    <w:rPr>
      <w:rFonts w:ascii="Calibri" w:eastAsiaTheme="minorEastAsia" w:hAnsi="Calibri" w:cs="Angsana New"/>
      <w:sz w:val="24"/>
      <w:szCs w:val="24"/>
      <w:lang w:val="en-NZ" w:eastAsia="zh-CN" w:bidi="th-TH"/>
    </w:rPr>
  </w:style>
  <w:style w:type="character" w:styleId="Hyperlink">
    <w:name w:val="Hyperlink"/>
    <w:basedOn w:val="DefaultParagraphFont"/>
    <w:uiPriority w:val="99"/>
    <w:unhideWhenUsed/>
    <w:rsid w:val="0087161B"/>
    <w:rPr>
      <w:color w:val="0000FF" w:themeColor="hyperlink"/>
      <w:u w:val="single"/>
    </w:rPr>
  </w:style>
  <w:style w:type="character" w:customStyle="1" w:styleId="UnresolvedMention1">
    <w:name w:val="Unresolved Mention1"/>
    <w:basedOn w:val="DefaultParagraphFont"/>
    <w:uiPriority w:val="99"/>
    <w:semiHidden/>
    <w:unhideWhenUsed/>
    <w:rsid w:val="0087161B"/>
    <w:rPr>
      <w:color w:val="605E5C"/>
      <w:shd w:val="clear" w:color="auto" w:fill="E1DFDD"/>
    </w:rPr>
  </w:style>
  <w:style w:type="paragraph" w:styleId="Title">
    <w:name w:val="Title"/>
    <w:basedOn w:val="Normal"/>
    <w:next w:val="Normal"/>
    <w:link w:val="TitleChar"/>
    <w:qFormat/>
    <w:locked/>
    <w:rsid w:val="00F52983"/>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rsid w:val="00F52983"/>
    <w:rPr>
      <w:rFonts w:asciiTheme="minorHAnsi" w:eastAsiaTheme="majorEastAsia" w:hAnsiTheme="minorHAnsi" w:cstheme="majorBidi"/>
      <w:b/>
      <w:spacing w:val="-10"/>
      <w:kern w:val="28"/>
      <w:sz w:val="24"/>
      <w:szCs w:val="56"/>
      <w:lang w:val="en-AU" w:eastAsia="en-US" w:bidi="ar-SA"/>
    </w:rPr>
  </w:style>
  <w:style w:type="character" w:customStyle="1" w:styleId="Heading1Char">
    <w:name w:val="Heading 1 Char"/>
    <w:basedOn w:val="DefaultParagraphFont"/>
    <w:link w:val="Heading1"/>
    <w:rsid w:val="00F52983"/>
    <w:rPr>
      <w:rFonts w:asciiTheme="minorHAnsi" w:eastAsiaTheme="majorEastAsia" w:hAnsiTheme="minorHAnsi" w:cstheme="majorBidi"/>
      <w:b/>
      <w:color w:val="000000" w:themeColor="text1"/>
      <w:sz w:val="22"/>
      <w:szCs w:val="32"/>
      <w:lang w:val="en-AU" w:eastAsia="en-US" w:bidi="ar-SA"/>
    </w:rPr>
  </w:style>
  <w:style w:type="paragraph" w:styleId="BalloonText">
    <w:name w:val="Balloon Text"/>
    <w:basedOn w:val="Normal"/>
    <w:link w:val="BalloonTextChar"/>
    <w:uiPriority w:val="99"/>
    <w:semiHidden/>
    <w:unhideWhenUsed/>
    <w:rsid w:val="0014623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23A"/>
    <w:rPr>
      <w:rFonts w:ascii="Tahoma" w:hAnsi="Tahoma" w:cs="Tahoma"/>
      <w:sz w:val="16"/>
      <w:szCs w:val="16"/>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zia.Hossain@waitematadhb.govt.nz"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JayG@adhb.govt.nz"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53AFB935F3D459DBE2D30CA53C3926C"/>
        <w:category>
          <w:name w:val="General"/>
          <w:gallery w:val="placeholder"/>
        </w:category>
        <w:types>
          <w:type w:val="bbPlcHdr"/>
        </w:types>
        <w:behaviors>
          <w:behavior w:val="content"/>
        </w:behaviors>
        <w:guid w:val="{AC23C032-0CFC-4F5E-B559-27388C5CE24C}"/>
      </w:docPartPr>
      <w:docPartBody>
        <w:p w:rsidR="002E02BC" w:rsidRDefault="00AC7329" w:rsidP="00AC7329">
          <w:pPr>
            <w:pStyle w:val="C53AFB935F3D459DBE2D30CA53C3926C"/>
          </w:pPr>
          <w:r w:rsidRPr="006548E6">
            <w:rPr>
              <w:rStyle w:val="PlaceholderText"/>
              <w:rFonts w:ascii="Calibri" w:hAnsi="Calibri" w:cs="Calibri"/>
            </w:rPr>
            <w:t>Click or tap here to enter text.</w:t>
          </w:r>
        </w:p>
      </w:docPartBody>
    </w:docPart>
    <w:docPart>
      <w:docPartPr>
        <w:name w:val="4778D45EAAAB4ACDA1E6E34BA1C8230E"/>
        <w:category>
          <w:name w:val="General"/>
          <w:gallery w:val="placeholder"/>
        </w:category>
        <w:types>
          <w:type w:val="bbPlcHdr"/>
        </w:types>
        <w:behaviors>
          <w:behavior w:val="content"/>
        </w:behaviors>
        <w:guid w:val="{8E30280A-EE1E-4D83-9316-86A4B2742096}"/>
      </w:docPartPr>
      <w:docPartBody>
        <w:p w:rsidR="002E02BC" w:rsidRDefault="00AC7329" w:rsidP="00AC7329">
          <w:pPr>
            <w:pStyle w:val="4778D45EAAAB4ACDA1E6E34BA1C8230E"/>
          </w:pPr>
          <w:r w:rsidRPr="006548E6">
            <w:rPr>
              <w:rStyle w:val="PlaceholderText"/>
              <w:rFonts w:ascii="Calibri" w:hAnsi="Calibri" w:cs="Calibri"/>
            </w:rPr>
            <w:t>Click or tap here to enter text.</w:t>
          </w:r>
        </w:p>
      </w:docPartBody>
    </w:docPart>
    <w:docPart>
      <w:docPartPr>
        <w:name w:val="BECB4F48A8624D0E973BC305BC8BA596"/>
        <w:category>
          <w:name w:val="General"/>
          <w:gallery w:val="placeholder"/>
        </w:category>
        <w:types>
          <w:type w:val="bbPlcHdr"/>
        </w:types>
        <w:behaviors>
          <w:behavior w:val="content"/>
        </w:behaviors>
        <w:guid w:val="{5F8BFE48-8247-4962-9CC3-76FF8564342A}"/>
      </w:docPartPr>
      <w:docPartBody>
        <w:p w:rsidR="002E02BC" w:rsidRDefault="00AC7329" w:rsidP="00AC7329">
          <w:pPr>
            <w:pStyle w:val="BECB4F48A8624D0E973BC305BC8BA596"/>
          </w:pPr>
          <w:r w:rsidRPr="00F93A29">
            <w:rPr>
              <w:rStyle w:val="PlaceholderText"/>
            </w:rPr>
            <w:t>Click or tap here to enter text.</w:t>
          </w:r>
        </w:p>
      </w:docPartBody>
    </w:docPart>
    <w:docPart>
      <w:docPartPr>
        <w:name w:val="94F8415562D843C2834CE526B1000DA5"/>
        <w:category>
          <w:name w:val="General"/>
          <w:gallery w:val="placeholder"/>
        </w:category>
        <w:types>
          <w:type w:val="bbPlcHdr"/>
        </w:types>
        <w:behaviors>
          <w:behavior w:val="content"/>
        </w:behaviors>
        <w:guid w:val="{F9F8D9FB-2095-4761-9FFD-E9939F78EFED}"/>
      </w:docPartPr>
      <w:docPartBody>
        <w:p w:rsidR="002E02BC" w:rsidRDefault="00AC7329" w:rsidP="00AC7329">
          <w:pPr>
            <w:pStyle w:val="94F8415562D843C2834CE526B1000DA5"/>
          </w:pPr>
          <w:r w:rsidRPr="00F93A29">
            <w:rPr>
              <w:rStyle w:val="PlaceholderText"/>
            </w:rPr>
            <w:t>Click or tap here to enter text.</w:t>
          </w:r>
        </w:p>
      </w:docPartBody>
    </w:docPart>
    <w:docPart>
      <w:docPartPr>
        <w:name w:val="EE8ACB770EA74BEEB596CE6C0CE662B2"/>
        <w:category>
          <w:name w:val="General"/>
          <w:gallery w:val="placeholder"/>
        </w:category>
        <w:types>
          <w:type w:val="bbPlcHdr"/>
        </w:types>
        <w:behaviors>
          <w:behavior w:val="content"/>
        </w:behaviors>
        <w:guid w:val="{C15C5977-3267-4A87-A223-B3D9423A0C93}"/>
      </w:docPartPr>
      <w:docPartBody>
        <w:p w:rsidR="002E02BC" w:rsidRDefault="00AC7329" w:rsidP="00AC7329">
          <w:pPr>
            <w:pStyle w:val="EE8ACB770EA74BEEB596CE6C0CE662B2"/>
          </w:pPr>
          <w:r w:rsidRPr="00F93A29">
            <w:rPr>
              <w:rStyle w:val="PlaceholderText"/>
            </w:rPr>
            <w:t>Click or tap here to enter text.</w:t>
          </w:r>
        </w:p>
      </w:docPartBody>
    </w:docPart>
    <w:docPart>
      <w:docPartPr>
        <w:name w:val="540CB9D3B9EE488A91C257EB9163328A"/>
        <w:category>
          <w:name w:val="General"/>
          <w:gallery w:val="placeholder"/>
        </w:category>
        <w:types>
          <w:type w:val="bbPlcHdr"/>
        </w:types>
        <w:behaviors>
          <w:behavior w:val="content"/>
        </w:behaviors>
        <w:guid w:val="{EB5029C1-3BD6-4823-8B18-95CE43347103}"/>
      </w:docPartPr>
      <w:docPartBody>
        <w:p w:rsidR="002E02BC" w:rsidRDefault="00AC7329" w:rsidP="00AC7329">
          <w:pPr>
            <w:pStyle w:val="540CB9D3B9EE488A91C257EB9163328A"/>
          </w:pPr>
          <w:r w:rsidRPr="00F93A29">
            <w:rPr>
              <w:rStyle w:val="PlaceholderText"/>
            </w:rPr>
            <w:t>Click or tap here to enter text.</w:t>
          </w:r>
        </w:p>
      </w:docPartBody>
    </w:docPart>
    <w:docPart>
      <w:docPartPr>
        <w:name w:val="30B742FD42764538BC15FCB7822DE52C"/>
        <w:category>
          <w:name w:val="General"/>
          <w:gallery w:val="placeholder"/>
        </w:category>
        <w:types>
          <w:type w:val="bbPlcHdr"/>
        </w:types>
        <w:behaviors>
          <w:behavior w:val="content"/>
        </w:behaviors>
        <w:guid w:val="{BCB2C859-4794-45AE-98BE-E80C4FE4C97F}"/>
      </w:docPartPr>
      <w:docPartBody>
        <w:p w:rsidR="002E02BC" w:rsidRDefault="00AC7329" w:rsidP="00AC7329">
          <w:pPr>
            <w:pStyle w:val="30B742FD42764538BC15FCB7822DE52C"/>
          </w:pPr>
          <w:r w:rsidRPr="006548E6">
            <w:rPr>
              <w:rStyle w:val="PlaceholderText"/>
              <w:rFonts w:ascii="Calibri" w:hAnsi="Calibri" w:cs="Calibri"/>
            </w:rPr>
            <w:t>Click or tap here to enter text.</w:t>
          </w:r>
        </w:p>
      </w:docPartBody>
    </w:docPart>
    <w:docPart>
      <w:docPartPr>
        <w:name w:val="C55B3DE4803743D2807FDCBA73A93F3F"/>
        <w:category>
          <w:name w:val="General"/>
          <w:gallery w:val="placeholder"/>
        </w:category>
        <w:types>
          <w:type w:val="bbPlcHdr"/>
        </w:types>
        <w:behaviors>
          <w:behavior w:val="content"/>
        </w:behaviors>
        <w:guid w:val="{97D6B202-3431-44F3-8B71-8806E1196CB2}"/>
      </w:docPartPr>
      <w:docPartBody>
        <w:p w:rsidR="002E02BC" w:rsidRDefault="00AC7329" w:rsidP="00AC7329">
          <w:pPr>
            <w:pStyle w:val="C55B3DE4803743D2807FDCBA73A93F3F"/>
          </w:pPr>
          <w:r w:rsidRPr="00F93A29">
            <w:rPr>
              <w:rStyle w:val="PlaceholderText"/>
            </w:rPr>
            <w:t>Click or tap here to enter text.</w:t>
          </w:r>
        </w:p>
      </w:docPartBody>
    </w:docPart>
    <w:docPart>
      <w:docPartPr>
        <w:name w:val="B6D64AE27B614527A66C6A024D98C498"/>
        <w:category>
          <w:name w:val="General"/>
          <w:gallery w:val="placeholder"/>
        </w:category>
        <w:types>
          <w:type w:val="bbPlcHdr"/>
        </w:types>
        <w:behaviors>
          <w:behavior w:val="content"/>
        </w:behaviors>
        <w:guid w:val="{ED467116-B048-46A2-B7D8-43BC6337D559}"/>
      </w:docPartPr>
      <w:docPartBody>
        <w:p w:rsidR="002E02BC" w:rsidRDefault="00AC7329" w:rsidP="00AC7329">
          <w:pPr>
            <w:pStyle w:val="B6D64AE27B614527A66C6A024D98C498"/>
          </w:pPr>
          <w:r w:rsidRPr="00F93A29">
            <w:rPr>
              <w:rStyle w:val="PlaceholderText"/>
            </w:rPr>
            <w:t>Click or tap here to enter text.</w:t>
          </w:r>
        </w:p>
      </w:docPartBody>
    </w:docPart>
    <w:docPart>
      <w:docPartPr>
        <w:name w:val="0B09B11FAD884331A1DAE7BCE50B1E91"/>
        <w:category>
          <w:name w:val="General"/>
          <w:gallery w:val="placeholder"/>
        </w:category>
        <w:types>
          <w:type w:val="bbPlcHdr"/>
        </w:types>
        <w:behaviors>
          <w:behavior w:val="content"/>
        </w:behaviors>
        <w:guid w:val="{8B3E8442-DF94-44E4-AA28-4643028CCC4B}"/>
      </w:docPartPr>
      <w:docPartBody>
        <w:p w:rsidR="002E02BC" w:rsidRDefault="00AC7329" w:rsidP="00AC7329">
          <w:pPr>
            <w:pStyle w:val="0B09B11FAD884331A1DAE7BCE50B1E91"/>
          </w:pPr>
          <w:r w:rsidRPr="00F93A29">
            <w:rPr>
              <w:rStyle w:val="PlaceholderText"/>
            </w:rPr>
            <w:t>Click or tap here to enter text.</w:t>
          </w:r>
        </w:p>
      </w:docPartBody>
    </w:docPart>
    <w:docPart>
      <w:docPartPr>
        <w:name w:val="9B176EA77A7249709814F4226653988B"/>
        <w:category>
          <w:name w:val="General"/>
          <w:gallery w:val="placeholder"/>
        </w:category>
        <w:types>
          <w:type w:val="bbPlcHdr"/>
        </w:types>
        <w:behaviors>
          <w:behavior w:val="content"/>
        </w:behaviors>
        <w:guid w:val="{98C413B7-8BF5-4D0E-97D0-26ECDFA39180}"/>
      </w:docPartPr>
      <w:docPartBody>
        <w:p w:rsidR="002E02BC" w:rsidRDefault="00AC7329" w:rsidP="00AC7329">
          <w:pPr>
            <w:pStyle w:val="9B176EA77A7249709814F4226653988B"/>
          </w:pPr>
          <w:r w:rsidRPr="00F93A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7E8"/>
    <w:rsid w:val="00090609"/>
    <w:rsid w:val="000C67CB"/>
    <w:rsid w:val="002247C3"/>
    <w:rsid w:val="002E02BC"/>
    <w:rsid w:val="00310EE1"/>
    <w:rsid w:val="00323EE3"/>
    <w:rsid w:val="00490763"/>
    <w:rsid w:val="00535338"/>
    <w:rsid w:val="0067219D"/>
    <w:rsid w:val="00676D19"/>
    <w:rsid w:val="008E27E8"/>
    <w:rsid w:val="00A31CDC"/>
    <w:rsid w:val="00AC7329"/>
    <w:rsid w:val="00B77384"/>
    <w:rsid w:val="00CD0F77"/>
    <w:rsid w:val="00E3221D"/>
    <w:rsid w:val="00E83100"/>
    <w:rsid w:val="00EC02B3"/>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329"/>
    <w:rPr>
      <w:color w:val="808080"/>
    </w:rPr>
  </w:style>
  <w:style w:type="paragraph" w:customStyle="1" w:styleId="C53AFB935F3D459DBE2D30CA53C3926C">
    <w:name w:val="C53AFB935F3D459DBE2D30CA53C3926C"/>
    <w:rsid w:val="00AC7329"/>
  </w:style>
  <w:style w:type="paragraph" w:customStyle="1" w:styleId="4778D45EAAAB4ACDA1E6E34BA1C8230E">
    <w:name w:val="4778D45EAAAB4ACDA1E6E34BA1C8230E"/>
    <w:rsid w:val="00AC7329"/>
  </w:style>
  <w:style w:type="paragraph" w:customStyle="1" w:styleId="BECB4F48A8624D0E973BC305BC8BA596">
    <w:name w:val="BECB4F48A8624D0E973BC305BC8BA596"/>
    <w:rsid w:val="00AC7329"/>
  </w:style>
  <w:style w:type="paragraph" w:customStyle="1" w:styleId="94F8415562D843C2834CE526B1000DA5">
    <w:name w:val="94F8415562D843C2834CE526B1000DA5"/>
    <w:rsid w:val="00AC7329"/>
  </w:style>
  <w:style w:type="paragraph" w:customStyle="1" w:styleId="EE8ACB770EA74BEEB596CE6C0CE662B2">
    <w:name w:val="EE8ACB770EA74BEEB596CE6C0CE662B2"/>
    <w:rsid w:val="00AC7329"/>
  </w:style>
  <w:style w:type="paragraph" w:customStyle="1" w:styleId="540CB9D3B9EE488A91C257EB9163328A">
    <w:name w:val="540CB9D3B9EE488A91C257EB9163328A"/>
    <w:rsid w:val="00AC7329"/>
  </w:style>
  <w:style w:type="paragraph" w:customStyle="1" w:styleId="30B742FD42764538BC15FCB7822DE52C">
    <w:name w:val="30B742FD42764538BC15FCB7822DE52C"/>
    <w:rsid w:val="00AC7329"/>
  </w:style>
  <w:style w:type="paragraph" w:customStyle="1" w:styleId="C55B3DE4803743D2807FDCBA73A93F3F">
    <w:name w:val="C55B3DE4803743D2807FDCBA73A93F3F"/>
    <w:rsid w:val="00AC7329"/>
  </w:style>
  <w:style w:type="paragraph" w:customStyle="1" w:styleId="B6D64AE27B614527A66C6A024D98C498">
    <w:name w:val="B6D64AE27B614527A66C6A024D98C498"/>
    <w:rsid w:val="00AC7329"/>
  </w:style>
  <w:style w:type="paragraph" w:customStyle="1" w:styleId="0B09B11FAD884331A1DAE7BCE50B1E91">
    <w:name w:val="0B09B11FAD884331A1DAE7BCE50B1E91"/>
    <w:rsid w:val="00AC7329"/>
  </w:style>
  <w:style w:type="paragraph" w:customStyle="1" w:styleId="9B176EA77A7249709814F4226653988B">
    <w:name w:val="9B176EA77A7249709814F4226653988B"/>
    <w:rsid w:val="00AC7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3768BF4D48C4BAD5FDFD1EA7AB492" ma:contentTypeVersion="18" ma:contentTypeDescription="Create a new document." ma:contentTypeScope="" ma:versionID="68ddc8c50b279519dabe5e3cb758eb59">
  <xsd:schema xmlns:xsd="http://www.w3.org/2001/XMLSchema" xmlns:xs="http://www.w3.org/2001/XMLSchema" xmlns:p="http://schemas.microsoft.com/office/2006/metadata/properties" xmlns:ns2="f8378bff-0fb6-4abe-9f5d-618ace6b7864" xmlns:ns3="12a27b24-33e2-437a-950a-77e3660b54fd" targetNamespace="http://schemas.microsoft.com/office/2006/metadata/properties" ma:root="true" ma:fieldsID="3137205d2caaff40b848a1e51e0179c4" ns2:_="" ns3:_="">
    <xsd:import namespace="f8378bff-0fb6-4abe-9f5d-618ace6b7864"/>
    <xsd:import namespace="12a27b24-33e2-437a-950a-77e3660b54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78bff-0fb6-4abe-9f5d-618ace6b7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7164ac-8b15-4813-ac0b-43f98e813c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27b24-33e2-437a-950a-77e3660b54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e13ab4-29fa-4f14-8a8b-630cbbb407ff}" ma:internalName="TaxCatchAll" ma:showField="CatchAllData" ma:web="12a27b24-33e2-437a-950a-77e3660b5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378bff-0fb6-4abe-9f5d-618ace6b7864">
      <Terms xmlns="http://schemas.microsoft.com/office/infopath/2007/PartnerControls"/>
    </lcf76f155ced4ddcb4097134ff3c332f>
    <TaxCatchAll xmlns="12a27b24-33e2-437a-950a-77e3660b54fd" xsi:nil="true"/>
  </documentManagement>
</p:properties>
</file>

<file path=customXml/itemProps1.xml><?xml version="1.0" encoding="utf-8"?>
<ds:datastoreItem xmlns:ds="http://schemas.openxmlformats.org/officeDocument/2006/customXml" ds:itemID="{0C9A71FC-9BF8-4995-B53C-4F7017FD5D70}"/>
</file>

<file path=customXml/itemProps2.xml><?xml version="1.0" encoding="utf-8"?>
<ds:datastoreItem xmlns:ds="http://schemas.openxmlformats.org/officeDocument/2006/customXml" ds:itemID="{D1253D22-E982-425D-9098-8610F7C1C495}"/>
</file>

<file path=customXml/itemProps3.xml><?xml version="1.0" encoding="utf-8"?>
<ds:datastoreItem xmlns:ds="http://schemas.openxmlformats.org/officeDocument/2006/customXml" ds:itemID="{11509CC2-CED4-46D2-8360-7177A051C322}"/>
</file>

<file path=docProps/app.xml><?xml version="1.0" encoding="utf-8"?>
<Properties xmlns="http://schemas.openxmlformats.org/officeDocument/2006/extended-properties" xmlns:vt="http://schemas.openxmlformats.org/officeDocument/2006/docPropsVTypes">
  <Template>Normal.dotm</Template>
  <TotalTime>4</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Type your Title here </vt:lpstr>
    </vt:vector>
  </TitlesOfParts>
  <Company>Conferences &amp; Events</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Title here </dc:title>
  <dc:subject/>
  <dc:creator>Jude</dc:creator>
  <cp:keywords/>
  <dc:description/>
  <cp:lastModifiedBy>Kim Brackley (ADHB)</cp:lastModifiedBy>
  <cp:revision>4</cp:revision>
  <dcterms:created xsi:type="dcterms:W3CDTF">2023-03-29T21:13:00Z</dcterms:created>
  <dcterms:modified xsi:type="dcterms:W3CDTF">2023-03-29T21:17:00Z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0x0101000B23768BF4D48C4BAD5FDFD1EA7AB492</vt:lpwstr>
  </property>
  <property fmtid="{D5CDD505-2E9C-101B-9397-08002B2CF9AE}" pid="3" name="MediaServiceImageTags">
    <vt:lpwstr/>
  </property>
</Properties>
</file>