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9638"/>
      </w:tblGrid>
      <w:tr w:rsidR="00A07431" w:rsidRPr="00FF0E94" w14:paraId="41F9D181" w14:textId="77777777" w:rsidTr="00A07431">
        <w:sdt>
          <w:sdtPr>
            <w:rPr>
              <w:b w:val="0"/>
            </w:rPr>
            <w:id w:val="232744865"/>
            <w:placeholder>
              <w:docPart w:val="5BAB3FED61364ED6B8ACB7F786670D68"/>
            </w:placeholder>
          </w:sdtPr>
          <w:sdtEndPr/>
          <w:sdtContent>
            <w:tc>
              <w:tcPr>
                <w:tcW w:w="9638" w:type="dxa"/>
                <w:shd w:val="clear" w:color="auto" w:fill="auto"/>
              </w:tcPr>
              <w:p w14:paraId="792956F4" w14:textId="1915ADCB" w:rsidR="00A07431" w:rsidRPr="00FF0E94" w:rsidRDefault="008A5159" w:rsidP="00DA5547">
                <w:pPr>
                  <w:pStyle w:val="Title"/>
                  <w:rPr>
                    <w:b w:val="0"/>
                  </w:rPr>
                </w:pPr>
                <w:r w:rsidRPr="008A5159">
                  <w:t xml:space="preserve">The introduction of electronic prescription transfer using the Electronic Referral Management System (ERMS) during the COVID-19 pandemic. </w:t>
                </w:r>
              </w:p>
            </w:tc>
          </w:sdtContent>
        </w:sdt>
      </w:tr>
      <w:tr w:rsidR="00A07431" w:rsidRPr="002B1D6D" w14:paraId="7F46C776" w14:textId="77777777" w:rsidTr="006548E6">
        <w:tc>
          <w:tcPr>
            <w:tcW w:w="9638" w:type="dxa"/>
            <w:shd w:val="clear" w:color="auto" w:fill="auto"/>
          </w:tcPr>
          <w:p w14:paraId="1E4CEC25" w14:textId="14E2815B" w:rsidR="008A5159" w:rsidRPr="00BF72FE" w:rsidRDefault="008A5159" w:rsidP="00DA5547">
            <w:r w:rsidRPr="005511D9">
              <w:rPr>
                <w:u w:val="single"/>
              </w:rPr>
              <w:t>Fox S</w:t>
            </w:r>
            <w:r w:rsidRPr="008A5159">
              <w:rPr>
                <w:vertAlign w:val="superscript"/>
              </w:rPr>
              <w:t>1</w:t>
            </w:r>
            <w:r w:rsidRPr="00BF72FE">
              <w:t>, Harden B</w:t>
            </w:r>
            <w:r w:rsidRPr="008A5159">
              <w:rPr>
                <w:vertAlign w:val="superscript"/>
              </w:rPr>
              <w:t>1</w:t>
            </w:r>
            <w:r w:rsidRPr="00BF72FE">
              <w:t>, Chin P</w:t>
            </w:r>
            <w:r w:rsidRPr="008A5159">
              <w:rPr>
                <w:vertAlign w:val="superscript"/>
              </w:rPr>
              <w:t>1</w:t>
            </w:r>
            <w:r>
              <w:rPr>
                <w:vertAlign w:val="superscript"/>
              </w:rPr>
              <w:t>,2</w:t>
            </w:r>
            <w:r w:rsidRPr="00BF72FE">
              <w:t>, Shaw A</w:t>
            </w:r>
            <w:r w:rsidRPr="008A5159">
              <w:rPr>
                <w:vertAlign w:val="superscript"/>
              </w:rPr>
              <w:t>1</w:t>
            </w:r>
            <w:r w:rsidRPr="00BF72FE">
              <w:t>, Gow A</w:t>
            </w:r>
            <w:r w:rsidRPr="008A5159">
              <w:rPr>
                <w:vertAlign w:val="superscript"/>
              </w:rPr>
              <w:t>3</w:t>
            </w:r>
            <w:r w:rsidRPr="00BF72FE">
              <w:t>, Doogue M</w:t>
            </w:r>
            <w:r w:rsidRPr="008A5159">
              <w:rPr>
                <w:vertAlign w:val="superscript"/>
              </w:rPr>
              <w:t xml:space="preserve">1,2 </w:t>
            </w:r>
          </w:p>
          <w:p w14:paraId="080C1200" w14:textId="7CDE4610" w:rsidR="008A5159" w:rsidRPr="00BF72FE" w:rsidRDefault="008A5159" w:rsidP="00DA5547">
            <w:pPr>
              <w:spacing w:before="0"/>
              <w:rPr>
                <w:color w:val="0000FF"/>
              </w:rPr>
            </w:pPr>
            <w:hyperlink r:id="rId10" w:history="1">
              <w:r w:rsidRPr="001D68B2">
                <w:rPr>
                  <w:rStyle w:val="Hyperlink"/>
                  <w:rFonts w:cstheme="minorHAnsi"/>
                  <w:szCs w:val="22"/>
                </w:rPr>
                <w:t>sherryn.fox@cdhb.health.nz</w:t>
              </w:r>
            </w:hyperlink>
            <w:r>
              <w:rPr>
                <w:color w:val="0000FF"/>
              </w:rPr>
              <w:t xml:space="preserve"> </w:t>
            </w:r>
          </w:p>
          <w:p w14:paraId="521B3336" w14:textId="24D5E6EF" w:rsidR="008A5159" w:rsidRPr="00BF72FE" w:rsidRDefault="008A5159" w:rsidP="00DA5547">
            <w:pPr>
              <w:spacing w:before="0"/>
            </w:pPr>
            <w:r w:rsidRPr="008A5159">
              <w:rPr>
                <w:vertAlign w:val="superscript"/>
              </w:rPr>
              <w:t>1</w:t>
            </w:r>
            <w:r>
              <w:t xml:space="preserve"> </w:t>
            </w:r>
            <w:r w:rsidR="008448D6" w:rsidRPr="008448D6">
              <w:t>Waitaha</w:t>
            </w:r>
            <w:r w:rsidR="008448D6">
              <w:rPr>
                <w:sz w:val="20"/>
              </w:rPr>
              <w:t xml:space="preserve"> </w:t>
            </w:r>
            <w:r w:rsidRPr="00BF72FE">
              <w:t xml:space="preserve">Canterbury, Christchurch; </w:t>
            </w:r>
          </w:p>
          <w:p w14:paraId="788874B5" w14:textId="39D8A876" w:rsidR="008A5159" w:rsidRPr="00BF72FE" w:rsidRDefault="008A5159" w:rsidP="00DA5547">
            <w:pPr>
              <w:spacing w:before="0"/>
            </w:pPr>
            <w:r w:rsidRPr="008A5159">
              <w:rPr>
                <w:vertAlign w:val="superscript"/>
              </w:rPr>
              <w:t>2</w:t>
            </w:r>
            <w:r>
              <w:t xml:space="preserve"> </w:t>
            </w:r>
            <w:r w:rsidRPr="00BF72FE">
              <w:t xml:space="preserve">University of Otago, Christchurch; </w:t>
            </w:r>
          </w:p>
          <w:p w14:paraId="4D598B6E" w14:textId="6A61A2DD" w:rsidR="00A07431" w:rsidRPr="002B1D6D" w:rsidRDefault="008A5159" w:rsidP="00DA5547">
            <w:pPr>
              <w:spacing w:before="0"/>
            </w:pPr>
            <w:r w:rsidRPr="008A5159">
              <w:rPr>
                <w:vertAlign w:val="superscript"/>
              </w:rPr>
              <w:t>3</w:t>
            </w:r>
            <w:r>
              <w:t xml:space="preserve"> </w:t>
            </w:r>
            <w:r w:rsidRPr="00BF72FE">
              <w:t xml:space="preserve">Pegasus Health, Christchurch </w:t>
            </w:r>
          </w:p>
        </w:tc>
      </w:tr>
      <w:tr w:rsidR="002B1D6D" w:rsidRPr="002B1D6D" w14:paraId="7B933589" w14:textId="77777777" w:rsidTr="006548E6">
        <w:tc>
          <w:tcPr>
            <w:tcW w:w="9638" w:type="dxa"/>
            <w:shd w:val="clear" w:color="auto" w:fill="auto"/>
          </w:tcPr>
          <w:p w14:paraId="236883C1" w14:textId="77777777" w:rsidR="009F4D37" w:rsidRPr="002B1D6D" w:rsidRDefault="009F4D37" w:rsidP="00DA5547">
            <w:pPr>
              <w:pStyle w:val="Heading1"/>
              <w:rPr>
                <w:b w:val="0"/>
              </w:rPr>
            </w:pPr>
            <w:r w:rsidRPr="002B1D6D">
              <w:t>Context / existing situation</w:t>
            </w:r>
          </w:p>
        </w:tc>
      </w:tr>
      <w:tr w:rsidR="002B1D6D" w:rsidRPr="002B1D6D" w14:paraId="318719F7" w14:textId="77777777" w:rsidTr="006548E6">
        <w:sdt>
          <w:sdtPr>
            <w:rPr>
              <w:rFonts w:eastAsiaTheme="minorEastAsia"/>
              <w:lang w:val="en-NZ" w:eastAsia="zh-CN" w:bidi="th-TH"/>
            </w:rPr>
            <w:id w:val="-941759873"/>
            <w:placeholder>
              <w:docPart w:val="DefaultPlaceholder_-1854013440"/>
            </w:placeholder>
            <w:text/>
          </w:sdtPr>
          <w:sdtEndPr/>
          <w:sdtContent>
            <w:tc>
              <w:tcPr>
                <w:tcW w:w="9638" w:type="dxa"/>
                <w:shd w:val="clear" w:color="auto" w:fill="auto"/>
              </w:tcPr>
              <w:p w14:paraId="5979D256" w14:textId="603543BF" w:rsidR="009F4D37" w:rsidRPr="002B1D6D" w:rsidRDefault="008A5159" w:rsidP="00DA5547">
                <w:pPr>
                  <w:rPr>
                    <w:rFonts w:ascii="Calibri" w:hAnsi="Calibri" w:cs="Arial"/>
                  </w:rPr>
                </w:pPr>
                <w:r w:rsidRPr="008A5159">
                  <w:rPr>
                    <w:rFonts w:eastAsiaTheme="minorEastAsia"/>
                    <w:lang w:val="en-NZ" w:eastAsia="zh-CN" w:bidi="th-TH"/>
                  </w:rPr>
                  <w:t>With the emergence of the COVID-19 pandemic and rapid implementation of lockdown, paper prescriptions caused problems for patients’ access to medicines. Paper prescriptions require face-to-face contact and handling of paper, with associated concerns about infection risk. Overnight, clinics became virtual, and deliveries partly replaced face-to-face dispensing. To allow signatureless prescriptions the Ministry of Health issued a temporary waiver on 27th March 2020. Hospital prescribing systems were not NZePS compatible and new systems were urgently needed for patients to receive their medicines in a timely, safe, and secure manner.</w:t>
                </w:r>
              </w:p>
            </w:tc>
          </w:sdtContent>
        </w:sdt>
      </w:tr>
      <w:tr w:rsidR="002B1D6D" w:rsidRPr="002B1D6D" w14:paraId="280ED9D0" w14:textId="77777777" w:rsidTr="006548E6">
        <w:tc>
          <w:tcPr>
            <w:tcW w:w="9638" w:type="dxa"/>
            <w:shd w:val="clear" w:color="auto" w:fill="auto"/>
          </w:tcPr>
          <w:p w14:paraId="26FBE1B6" w14:textId="77777777" w:rsidR="009F4D37" w:rsidRPr="002B1D6D" w:rsidRDefault="009F4D37" w:rsidP="00DA5547">
            <w:pPr>
              <w:pStyle w:val="Heading1"/>
              <w:rPr>
                <w:b w:val="0"/>
              </w:rPr>
            </w:pPr>
            <w:r w:rsidRPr="002B1D6D">
              <w:t>Planned change</w:t>
            </w:r>
          </w:p>
        </w:tc>
      </w:tr>
      <w:tr w:rsidR="002B1D6D" w:rsidRPr="002B1D6D" w14:paraId="4EDE8AD4" w14:textId="77777777" w:rsidTr="006548E6">
        <w:sdt>
          <w:sdtPr>
            <w:rPr>
              <w:rFonts w:eastAsiaTheme="minorEastAsia"/>
              <w:lang w:val="en-NZ" w:eastAsia="zh-CN" w:bidi="th-TH"/>
            </w:rPr>
            <w:id w:val="-1289732227"/>
            <w:placeholder>
              <w:docPart w:val="0BA73F0D8F6E4CF48289893CB218D362"/>
            </w:placeholder>
            <w:text/>
          </w:sdtPr>
          <w:sdtEndPr/>
          <w:sdtContent>
            <w:tc>
              <w:tcPr>
                <w:tcW w:w="9638" w:type="dxa"/>
                <w:shd w:val="clear" w:color="auto" w:fill="auto"/>
              </w:tcPr>
              <w:p w14:paraId="5CC6BA1B" w14:textId="64BEE1BB" w:rsidR="009F4D37" w:rsidRPr="002B1D6D" w:rsidRDefault="008A5159" w:rsidP="00DA5547">
                <w:pPr>
                  <w:rPr>
                    <w:rFonts w:ascii="Calibri" w:hAnsi="Calibri" w:cs="Arial"/>
                  </w:rPr>
                </w:pPr>
                <w:r w:rsidRPr="008A5159">
                  <w:rPr>
                    <w:rFonts w:eastAsiaTheme="minorEastAsia"/>
                    <w:lang w:val="en-NZ" w:eastAsia="zh-CN" w:bidi="th-TH"/>
                  </w:rPr>
                  <w:t xml:space="preserve">To transfer hospital prescriptions to community pharmacies electronically using the Electronic Referral Management System (ERMS), an existing </w:t>
                </w:r>
                <w:r w:rsidR="008F4F56">
                  <w:rPr>
                    <w:rFonts w:eastAsiaTheme="minorEastAsia"/>
                    <w:lang w:val="en-NZ" w:eastAsia="zh-CN" w:bidi="th-TH"/>
                  </w:rPr>
                  <w:t xml:space="preserve">local </w:t>
                </w:r>
                <w:r w:rsidR="008448D6">
                  <w:rPr>
                    <w:rFonts w:eastAsiaTheme="minorEastAsia"/>
                    <w:lang w:val="en-NZ" w:eastAsia="zh-CN" w:bidi="th-TH"/>
                  </w:rPr>
                  <w:t>district</w:t>
                </w:r>
                <w:r w:rsidRPr="008A5159">
                  <w:rPr>
                    <w:rFonts w:eastAsiaTheme="minorEastAsia"/>
                    <w:lang w:val="en-NZ" w:eastAsia="zh-CN" w:bidi="th-TH"/>
                  </w:rPr>
                  <w:t xml:space="preserve"> system.</w:t>
                </w:r>
              </w:p>
            </w:tc>
          </w:sdtContent>
        </w:sdt>
      </w:tr>
      <w:tr w:rsidR="002B1D6D" w:rsidRPr="002B1D6D" w14:paraId="4A19F038" w14:textId="77777777" w:rsidTr="006548E6">
        <w:tc>
          <w:tcPr>
            <w:tcW w:w="9638" w:type="dxa"/>
            <w:shd w:val="clear" w:color="auto" w:fill="auto"/>
          </w:tcPr>
          <w:p w14:paraId="4A80CBDE" w14:textId="77777777" w:rsidR="009F4D37" w:rsidRPr="002B1D6D" w:rsidRDefault="009F4D37" w:rsidP="00DA5547">
            <w:pPr>
              <w:pStyle w:val="Heading1"/>
              <w:rPr>
                <w:b w:val="0"/>
              </w:rPr>
            </w:pPr>
            <w:r w:rsidRPr="002B1D6D">
              <w:t>Methods</w:t>
            </w:r>
          </w:p>
        </w:tc>
      </w:tr>
      <w:tr w:rsidR="002B1D6D" w:rsidRPr="002B1D6D" w14:paraId="7EAF25AE" w14:textId="77777777" w:rsidTr="006548E6">
        <w:sdt>
          <w:sdtPr>
            <w:rPr>
              <w:rFonts w:eastAsiaTheme="minorEastAsia"/>
              <w:lang w:val="en-NZ" w:eastAsia="zh-CN" w:bidi="th-TH"/>
            </w:rPr>
            <w:id w:val="531925908"/>
            <w:placeholder>
              <w:docPart w:val="F10736F6D2CF48B5AC21933B1D866A4D"/>
            </w:placeholder>
            <w:text/>
          </w:sdtPr>
          <w:sdtEndPr/>
          <w:sdtContent>
            <w:tc>
              <w:tcPr>
                <w:tcW w:w="9638" w:type="dxa"/>
                <w:shd w:val="clear" w:color="auto" w:fill="auto"/>
              </w:tcPr>
              <w:p w14:paraId="602175C0" w14:textId="564F1029" w:rsidR="009F4D37" w:rsidRPr="002B1D6D" w:rsidRDefault="008A5159" w:rsidP="00DA5547">
                <w:pPr>
                  <w:rPr>
                    <w:rFonts w:ascii="Calibri" w:hAnsi="Calibri" w:cs="Arial"/>
                  </w:rPr>
                </w:pPr>
                <w:r w:rsidRPr="008A5159">
                  <w:rPr>
                    <w:rFonts w:eastAsiaTheme="minorEastAsia"/>
                    <w:lang w:val="en-NZ" w:eastAsia="zh-CN" w:bidi="th-TH"/>
                  </w:rPr>
                  <w:t xml:space="preserve">A multi-disciplinary team across Clinical Pharmacology, Pharmacy, ISG, and </w:t>
                </w:r>
                <w:r w:rsidR="008F4F56">
                  <w:rPr>
                    <w:rFonts w:eastAsiaTheme="minorEastAsia"/>
                    <w:lang w:val="en-NZ" w:eastAsia="zh-CN" w:bidi="th-TH"/>
                  </w:rPr>
                  <w:t>local PHO</w:t>
                </w:r>
                <w:r w:rsidRPr="008A5159">
                  <w:rPr>
                    <w:rFonts w:eastAsiaTheme="minorEastAsia"/>
                    <w:lang w:val="en-NZ" w:eastAsia="zh-CN" w:bidi="th-TH"/>
                  </w:rPr>
                  <w:t xml:space="preserve"> was formed. To fit the requirements set out in the waiver, hospital prescription templates were developed, tested, and linked to ERMS. Workflow changes were mapped, staff training provided and all </w:t>
                </w:r>
                <w:r w:rsidR="008448D6">
                  <w:rPr>
                    <w:rFonts w:eastAsiaTheme="minorEastAsia"/>
                    <w:lang w:val="en-NZ" w:eastAsia="zh-CN" w:bidi="th-TH"/>
                  </w:rPr>
                  <w:t>district</w:t>
                </w:r>
                <w:r w:rsidRPr="008A5159">
                  <w:rPr>
                    <w:rFonts w:eastAsiaTheme="minorEastAsia"/>
                    <w:lang w:val="en-NZ" w:eastAsia="zh-CN" w:bidi="th-TH"/>
                  </w:rPr>
                  <w:t xml:space="preserve"> prescribers connected to ERMS. All </w:t>
                </w:r>
                <w:r w:rsidR="008448D6">
                  <w:rPr>
                    <w:rFonts w:eastAsiaTheme="minorEastAsia"/>
                    <w:lang w:val="en-NZ" w:eastAsia="zh-CN" w:bidi="th-TH"/>
                  </w:rPr>
                  <w:t>district</w:t>
                </w:r>
                <w:r w:rsidRPr="008A5159">
                  <w:rPr>
                    <w:rFonts w:eastAsiaTheme="minorEastAsia"/>
                    <w:lang w:val="en-NZ" w:eastAsia="zh-CN" w:bidi="th-TH"/>
                  </w:rPr>
                  <w:t xml:space="preserve"> community pharmacies were trained and connected to ERMS.</w:t>
                </w:r>
              </w:p>
            </w:tc>
          </w:sdtContent>
        </w:sdt>
      </w:tr>
      <w:tr w:rsidR="002B1D6D" w:rsidRPr="002B1D6D" w14:paraId="26C1BF26" w14:textId="77777777" w:rsidTr="006548E6">
        <w:tc>
          <w:tcPr>
            <w:tcW w:w="9638" w:type="dxa"/>
            <w:shd w:val="clear" w:color="auto" w:fill="auto"/>
          </w:tcPr>
          <w:p w14:paraId="204589BC" w14:textId="77777777" w:rsidR="009F4D37" w:rsidRPr="002B1D6D" w:rsidRDefault="009F4D37" w:rsidP="00DA5547">
            <w:pPr>
              <w:pStyle w:val="Heading1"/>
              <w:rPr>
                <w:b w:val="0"/>
              </w:rPr>
            </w:pPr>
            <w:r w:rsidRPr="002B1D6D">
              <w:t>Measurement of improvement</w:t>
            </w:r>
          </w:p>
        </w:tc>
      </w:tr>
      <w:tr w:rsidR="002B1D6D" w:rsidRPr="002B1D6D" w14:paraId="2910B3DA" w14:textId="77777777" w:rsidTr="006548E6">
        <w:tc>
          <w:tcPr>
            <w:tcW w:w="9638" w:type="dxa"/>
            <w:shd w:val="clear" w:color="auto" w:fill="auto"/>
          </w:tcPr>
          <w:p w14:paraId="71CEE413" w14:textId="788E9C08" w:rsidR="009F4D37" w:rsidRPr="002B1D6D" w:rsidRDefault="00560B20" w:rsidP="00DA5547">
            <w:sdt>
              <w:sdtPr>
                <w:id w:val="-1543590190"/>
                <w:placeholder>
                  <w:docPart w:val="F2ACA668970C45229200D4ED44B8EEF9"/>
                </w:placeholder>
                <w:text/>
              </w:sdtPr>
              <w:sdtEndPr/>
              <w:sdtContent>
                <w:r w:rsidR="000250AB">
                  <w:t xml:space="preserve">Time to implementation, </w:t>
                </w:r>
              </w:sdtContent>
            </w:sdt>
            <w:r w:rsidR="000250AB" w:rsidRPr="000250AB">
              <w:t xml:space="preserve"> proportion of prescribers and pharmacies able to use system.</w:t>
            </w:r>
          </w:p>
        </w:tc>
      </w:tr>
      <w:tr w:rsidR="002B1D6D" w:rsidRPr="002B1D6D" w14:paraId="56A2801A" w14:textId="77777777" w:rsidTr="006548E6">
        <w:tc>
          <w:tcPr>
            <w:tcW w:w="9638" w:type="dxa"/>
            <w:shd w:val="clear" w:color="auto" w:fill="auto"/>
          </w:tcPr>
          <w:p w14:paraId="00D06AEC" w14:textId="77777777" w:rsidR="009F4D37" w:rsidRPr="002B1D6D" w:rsidRDefault="009F4D37" w:rsidP="00DA5547">
            <w:pPr>
              <w:pStyle w:val="Heading1"/>
              <w:rPr>
                <w:b w:val="0"/>
              </w:rPr>
            </w:pPr>
            <w:r w:rsidRPr="002B1D6D">
              <w:t>Effects of changes</w:t>
            </w:r>
          </w:p>
        </w:tc>
      </w:tr>
      <w:tr w:rsidR="002B1D6D" w:rsidRPr="002B1D6D" w14:paraId="6D4F919D" w14:textId="77777777" w:rsidTr="006548E6">
        <w:sdt>
          <w:sdtPr>
            <w:rPr>
              <w:rFonts w:eastAsiaTheme="minorEastAsia"/>
              <w:lang w:val="en-NZ" w:eastAsia="zh-CN" w:bidi="th-TH"/>
            </w:rPr>
            <w:id w:val="1768962905"/>
            <w:placeholder>
              <w:docPart w:val="1231420C58384B75AF47AEA654CC25B3"/>
            </w:placeholder>
            <w:text/>
          </w:sdtPr>
          <w:sdtEndPr/>
          <w:sdtContent>
            <w:tc>
              <w:tcPr>
                <w:tcW w:w="9638" w:type="dxa"/>
                <w:shd w:val="clear" w:color="auto" w:fill="auto"/>
              </w:tcPr>
              <w:p w14:paraId="33195145" w14:textId="789B7493" w:rsidR="009F4D37" w:rsidRPr="002B1D6D" w:rsidRDefault="000250AB" w:rsidP="00DA5547">
                <w:pPr>
                  <w:rPr>
                    <w:rFonts w:ascii="Calibri" w:hAnsi="Calibri" w:cs="Arial"/>
                  </w:rPr>
                </w:pPr>
                <w:r w:rsidRPr="000250AB">
                  <w:rPr>
                    <w:rFonts w:eastAsiaTheme="minorEastAsia"/>
                    <w:lang w:val="en-NZ" w:eastAsia="zh-CN" w:bidi="th-TH"/>
                  </w:rPr>
                  <w:t xml:space="preserve">It took 2 weeks to implement electronic transfer of </w:t>
                </w:r>
                <w:r>
                  <w:rPr>
                    <w:rFonts w:eastAsiaTheme="minorEastAsia"/>
                    <w:lang w:val="en-NZ" w:eastAsia="zh-CN" w:bidi="th-TH"/>
                  </w:rPr>
                  <w:t>o</w:t>
                </w:r>
                <w:r w:rsidRPr="000250AB">
                  <w:rPr>
                    <w:rFonts w:eastAsiaTheme="minorEastAsia"/>
                    <w:lang w:val="en-NZ" w:eastAsia="zh-CN" w:bidi="th-TH"/>
                  </w:rPr>
                  <w:t xml:space="preserve">utpatient prescriptions. The system was rapidly rolled out across multiple inpatient and outpatient services. All prescribers using Health Connect South and all </w:t>
                </w:r>
                <w:r w:rsidR="008448D6">
                  <w:rPr>
                    <w:rFonts w:eastAsiaTheme="minorEastAsia"/>
                    <w:lang w:val="en-NZ" w:eastAsia="zh-CN" w:bidi="th-TH"/>
                  </w:rPr>
                  <w:t>district</w:t>
                </w:r>
                <w:r w:rsidRPr="000250AB">
                  <w:rPr>
                    <w:rFonts w:eastAsiaTheme="minorEastAsia"/>
                    <w:lang w:val="en-NZ" w:eastAsia="zh-CN" w:bidi="th-TH"/>
                  </w:rPr>
                  <w:t xml:space="preserve"> pharmacies were able to use the new system. A copy of each prescription is retained in the health record. Staff working in telehealth clinics could prescribe in a timely manner. Patients and staff were kept safe by removing the need for face-to-face contact. Outpatient prescriptions were able to be fully automated within the clinical record, but discharge prescriptions were not because of other workflow requirements.</w:t>
                </w:r>
              </w:p>
            </w:tc>
          </w:sdtContent>
        </w:sdt>
      </w:tr>
      <w:tr w:rsidR="002B1D6D" w:rsidRPr="002B1D6D" w14:paraId="23E7FA1D" w14:textId="77777777" w:rsidTr="006548E6">
        <w:tc>
          <w:tcPr>
            <w:tcW w:w="9638" w:type="dxa"/>
            <w:shd w:val="clear" w:color="auto" w:fill="auto"/>
          </w:tcPr>
          <w:p w14:paraId="2092342A" w14:textId="77777777" w:rsidR="009F4D37" w:rsidRPr="002B1D6D" w:rsidRDefault="009F4D37" w:rsidP="00DA5547">
            <w:pPr>
              <w:pStyle w:val="Heading1"/>
              <w:rPr>
                <w:b w:val="0"/>
              </w:rPr>
            </w:pPr>
            <w:r w:rsidRPr="002B1D6D">
              <w:t>Lessons learnt / implications for others</w:t>
            </w:r>
          </w:p>
        </w:tc>
      </w:tr>
      <w:tr w:rsidR="009F4D37" w:rsidRPr="002B1D6D" w14:paraId="755F6C5E" w14:textId="77777777" w:rsidTr="006548E6">
        <w:sdt>
          <w:sdtPr>
            <w:rPr>
              <w:rFonts w:eastAsiaTheme="minorEastAsia"/>
              <w:lang w:val="en-NZ" w:eastAsia="zh-CN" w:bidi="th-TH"/>
            </w:rPr>
            <w:id w:val="-1193143943"/>
            <w:placeholder>
              <w:docPart w:val="DA3888F6AD7145E593E7F9BC99D87D6D"/>
            </w:placeholder>
            <w:text/>
          </w:sdtPr>
          <w:sdtEndPr/>
          <w:sdtContent>
            <w:tc>
              <w:tcPr>
                <w:tcW w:w="9638" w:type="dxa"/>
                <w:shd w:val="clear" w:color="auto" w:fill="auto"/>
              </w:tcPr>
              <w:p w14:paraId="1572EF9F" w14:textId="72FC8D66" w:rsidR="009F4D37" w:rsidRPr="002B1D6D" w:rsidRDefault="000250AB" w:rsidP="00DA5547">
                <w:pPr>
                  <w:rPr>
                    <w:rFonts w:ascii="Calibri" w:hAnsi="Calibri" w:cs="Arial"/>
                  </w:rPr>
                </w:pPr>
                <w:r w:rsidRPr="000250AB">
                  <w:rPr>
                    <w:rFonts w:eastAsiaTheme="minorEastAsia"/>
                    <w:lang w:val="en-NZ" w:eastAsia="zh-CN" w:bidi="th-TH"/>
                  </w:rPr>
                  <w:t>An electronic prescription retains an enduring record, which did not occur with paper. There are a wide range of hospital workflows and patient flows. The requirements of controlled drug prescriptions were limiting, highlighting the need to update this legislation.</w:t>
                </w:r>
              </w:p>
            </w:tc>
          </w:sdtContent>
        </w:sdt>
      </w:tr>
    </w:tbl>
    <w:p w14:paraId="3DC51129" w14:textId="77777777" w:rsidR="008A5159" w:rsidRDefault="008A5159">
      <w:pPr>
        <w:rPr>
          <w:rFonts w:ascii="Calibri" w:hAnsi="Calibri" w:cs="Arial"/>
          <w:szCs w:val="22"/>
        </w:rPr>
      </w:pPr>
      <w:r>
        <w:rPr>
          <w:rFonts w:ascii="Calibri" w:hAnsi="Calibri" w:cs="Arial"/>
          <w:szCs w:val="22"/>
        </w:rPr>
        <w:br w:type="page"/>
      </w:r>
    </w:p>
    <w:tbl>
      <w:tblPr>
        <w:tblW w:w="0" w:type="auto"/>
        <w:tblLook w:val="04A0" w:firstRow="1" w:lastRow="0" w:firstColumn="1" w:lastColumn="0" w:noHBand="0" w:noVBand="1"/>
      </w:tblPr>
      <w:tblGrid>
        <w:gridCol w:w="9638"/>
      </w:tblGrid>
      <w:tr w:rsidR="008A5159" w:rsidRPr="00FF0E94" w14:paraId="0E414EC3" w14:textId="77777777" w:rsidTr="007B1F94">
        <w:sdt>
          <w:sdtPr>
            <w:id w:val="-325600493"/>
            <w:placeholder>
              <w:docPart w:val="6D461777B818483BBAC48BA3BBE79C0B"/>
            </w:placeholder>
          </w:sdtPr>
          <w:sdtEndPr/>
          <w:sdtContent>
            <w:tc>
              <w:tcPr>
                <w:tcW w:w="9638" w:type="dxa"/>
                <w:shd w:val="clear" w:color="auto" w:fill="auto"/>
              </w:tcPr>
              <w:p w14:paraId="7C52C44A" w14:textId="77DC7388" w:rsidR="008A5159" w:rsidRPr="00FF0E94" w:rsidRDefault="005511D9" w:rsidP="009E7345">
                <w:pPr>
                  <w:pStyle w:val="Title"/>
                </w:pPr>
                <w:r w:rsidRPr="005511D9">
                  <w:t xml:space="preserve">Addition of a pharmacist prescriber to a paediatric respite and rehabilitation service </w:t>
                </w:r>
              </w:p>
            </w:tc>
          </w:sdtContent>
        </w:sdt>
      </w:tr>
      <w:tr w:rsidR="008A5159" w:rsidRPr="002B1D6D" w14:paraId="5A064291" w14:textId="77777777" w:rsidTr="007B1F94">
        <w:tc>
          <w:tcPr>
            <w:tcW w:w="9638" w:type="dxa"/>
            <w:shd w:val="clear" w:color="auto" w:fill="auto"/>
          </w:tcPr>
          <w:p w14:paraId="0DE2C628" w14:textId="77777777" w:rsidR="005511D9" w:rsidRPr="00BF72FE" w:rsidRDefault="005511D9" w:rsidP="009E7345">
            <w:r w:rsidRPr="00BF72FE">
              <w:t xml:space="preserve">Wheeler LM </w:t>
            </w:r>
          </w:p>
          <w:p w14:paraId="4FD89D3C" w14:textId="5AFECA62" w:rsidR="005511D9" w:rsidRPr="00BF72FE" w:rsidRDefault="008F4F56" w:rsidP="009E7345">
            <w:pPr>
              <w:spacing w:before="0"/>
              <w:rPr>
                <w:color w:val="0000FF"/>
              </w:rPr>
            </w:pPr>
            <w:hyperlink r:id="rId11" w:history="1">
              <w:r w:rsidRPr="001D68B2">
                <w:rPr>
                  <w:rStyle w:val="Hyperlink"/>
                  <w:rFonts w:cstheme="minorHAnsi"/>
                  <w:szCs w:val="22"/>
                </w:rPr>
                <w:t>lucy.wheeler@waitematadhb.govt.nz</w:t>
              </w:r>
            </w:hyperlink>
            <w:r>
              <w:rPr>
                <w:color w:val="0000FF"/>
              </w:rPr>
              <w:t xml:space="preserve"> </w:t>
            </w:r>
          </w:p>
          <w:p w14:paraId="4B676E7B" w14:textId="7AC14BA9" w:rsidR="008A5159" w:rsidRPr="005511D9" w:rsidRDefault="00DB39F7" w:rsidP="009E7345">
            <w:pPr>
              <w:spacing w:before="0"/>
            </w:pPr>
            <w:r>
              <w:t xml:space="preserve">North Shore Hospital, </w:t>
            </w:r>
            <w:r w:rsidR="005511D9" w:rsidRPr="00BF72FE">
              <w:t xml:space="preserve">Waitematā, Auckland </w:t>
            </w:r>
          </w:p>
        </w:tc>
      </w:tr>
      <w:tr w:rsidR="008A5159" w:rsidRPr="002B1D6D" w14:paraId="27B8E82F" w14:textId="77777777" w:rsidTr="007B1F94">
        <w:tc>
          <w:tcPr>
            <w:tcW w:w="9638" w:type="dxa"/>
            <w:shd w:val="clear" w:color="auto" w:fill="auto"/>
          </w:tcPr>
          <w:p w14:paraId="3D34A55E" w14:textId="77777777" w:rsidR="008A5159" w:rsidRPr="002B1D6D" w:rsidRDefault="008A5159" w:rsidP="009E7345">
            <w:pPr>
              <w:pStyle w:val="Heading1"/>
            </w:pPr>
            <w:r w:rsidRPr="002B1D6D">
              <w:t>Context / existing situation</w:t>
            </w:r>
          </w:p>
        </w:tc>
      </w:tr>
      <w:tr w:rsidR="008A5159" w:rsidRPr="002B1D6D" w14:paraId="2C42B206" w14:textId="77777777" w:rsidTr="007B1F94">
        <w:sdt>
          <w:sdtPr>
            <w:rPr>
              <w:rFonts w:eastAsiaTheme="minorEastAsia"/>
              <w:color w:val="000000"/>
              <w:lang w:val="en-NZ" w:eastAsia="zh-CN" w:bidi="th-TH"/>
            </w:rPr>
            <w:id w:val="1512022902"/>
            <w:placeholder>
              <w:docPart w:val="7079C5F2CB1241EBB368855B0E9BD968"/>
            </w:placeholder>
            <w:text/>
          </w:sdtPr>
          <w:sdtEndPr/>
          <w:sdtContent>
            <w:tc>
              <w:tcPr>
                <w:tcW w:w="9638" w:type="dxa"/>
                <w:shd w:val="clear" w:color="auto" w:fill="auto"/>
              </w:tcPr>
              <w:p w14:paraId="7BB00F2A" w14:textId="7AE90471" w:rsidR="008A5159" w:rsidRPr="002B1D6D" w:rsidRDefault="005511D9" w:rsidP="009E7345">
                <w:pPr>
                  <w:rPr>
                    <w:rFonts w:ascii="Calibri" w:hAnsi="Calibri" w:cs="Arial"/>
                  </w:rPr>
                </w:pPr>
                <w:r w:rsidRPr="00BF72FE">
                  <w:t xml:space="preserve">The Wilson Centre is a paediatric respite and rehabilitation facility, located in </w:t>
                </w:r>
                <w:r w:rsidR="00DB39F7">
                  <w:t>a metro area</w:t>
                </w:r>
                <w:r w:rsidRPr="00BF72FE">
                  <w:t>, but drawing patients from across New Zealand. It is a nurse run service, with no prescribers routinely present on site.</w:t>
                </w:r>
                <w:r>
                  <w:t xml:space="preserve"> </w:t>
                </w:r>
                <w:r w:rsidRPr="00BF72FE">
                  <w:t xml:space="preserve">Although it uses an internet-based electronic prescribing system, there are frequently delays in getting medicines prescribed for residents. This has led to missed, incorrect and delayed doses. </w:t>
                </w:r>
              </w:p>
            </w:tc>
          </w:sdtContent>
        </w:sdt>
      </w:tr>
      <w:tr w:rsidR="008A5159" w:rsidRPr="002B1D6D" w14:paraId="433D6B8B" w14:textId="77777777" w:rsidTr="007B1F94">
        <w:tc>
          <w:tcPr>
            <w:tcW w:w="9638" w:type="dxa"/>
            <w:shd w:val="clear" w:color="auto" w:fill="auto"/>
          </w:tcPr>
          <w:p w14:paraId="15B45C16" w14:textId="77777777" w:rsidR="008A5159" w:rsidRPr="002B1D6D" w:rsidRDefault="008A5159" w:rsidP="009E7345">
            <w:pPr>
              <w:pStyle w:val="Heading1"/>
            </w:pPr>
            <w:r w:rsidRPr="002B1D6D">
              <w:t>Planned change</w:t>
            </w:r>
          </w:p>
        </w:tc>
      </w:tr>
      <w:tr w:rsidR="008A5159" w:rsidRPr="002B1D6D" w14:paraId="6E33EFFB" w14:textId="77777777" w:rsidTr="007B1F94">
        <w:sdt>
          <w:sdtPr>
            <w:rPr>
              <w:rFonts w:eastAsiaTheme="minorEastAsia"/>
              <w:lang w:val="en-NZ" w:eastAsia="zh-CN" w:bidi="th-TH"/>
            </w:rPr>
            <w:id w:val="1414357950"/>
            <w:placeholder>
              <w:docPart w:val="D835256F92C64500A55A6EE5895880AB"/>
            </w:placeholder>
            <w:text/>
          </w:sdtPr>
          <w:sdtEndPr/>
          <w:sdtContent>
            <w:tc>
              <w:tcPr>
                <w:tcW w:w="9638" w:type="dxa"/>
                <w:shd w:val="clear" w:color="auto" w:fill="auto"/>
              </w:tcPr>
              <w:p w14:paraId="26538C23" w14:textId="00C08B30" w:rsidR="008A5159" w:rsidRPr="002B1D6D" w:rsidRDefault="005511D9" w:rsidP="009E7345">
                <w:pPr>
                  <w:rPr>
                    <w:rFonts w:ascii="Calibri" w:hAnsi="Calibri" w:cs="Arial"/>
                  </w:rPr>
                </w:pPr>
                <w:r w:rsidRPr="005511D9">
                  <w:rPr>
                    <w:rFonts w:eastAsiaTheme="minorEastAsia"/>
                    <w:lang w:val="en-NZ" w:eastAsia="zh-CN" w:bidi="th-TH"/>
                  </w:rPr>
                  <w:t>To add a pharmacist prescriber to the Wilson centre team, to ensure that residents have their medication prescribed in a timely and accurate manner.</w:t>
                </w:r>
              </w:p>
            </w:tc>
          </w:sdtContent>
        </w:sdt>
      </w:tr>
      <w:tr w:rsidR="008A5159" w:rsidRPr="002B1D6D" w14:paraId="2D572B1D" w14:textId="77777777" w:rsidTr="007B1F94">
        <w:tc>
          <w:tcPr>
            <w:tcW w:w="9638" w:type="dxa"/>
            <w:shd w:val="clear" w:color="auto" w:fill="auto"/>
          </w:tcPr>
          <w:p w14:paraId="598A6525" w14:textId="77777777" w:rsidR="008A5159" w:rsidRPr="002B1D6D" w:rsidRDefault="008A5159" w:rsidP="009E7345">
            <w:pPr>
              <w:pStyle w:val="Heading1"/>
            </w:pPr>
            <w:r w:rsidRPr="002B1D6D">
              <w:t>Methods</w:t>
            </w:r>
          </w:p>
        </w:tc>
      </w:tr>
      <w:tr w:rsidR="008A5159" w:rsidRPr="002B1D6D" w14:paraId="02D73103" w14:textId="77777777" w:rsidTr="007B1F94">
        <w:sdt>
          <w:sdtPr>
            <w:rPr>
              <w:rFonts w:eastAsiaTheme="minorEastAsia"/>
              <w:lang w:val="en-NZ" w:eastAsia="zh-CN" w:bidi="th-TH"/>
            </w:rPr>
            <w:id w:val="-801771898"/>
            <w:placeholder>
              <w:docPart w:val="B098BA27CE444FD9A614D1204E492855"/>
            </w:placeholder>
            <w:text/>
          </w:sdtPr>
          <w:sdtEndPr/>
          <w:sdtContent>
            <w:tc>
              <w:tcPr>
                <w:tcW w:w="9638" w:type="dxa"/>
                <w:shd w:val="clear" w:color="auto" w:fill="auto"/>
              </w:tcPr>
              <w:p w14:paraId="041DB5E1" w14:textId="12CD2EAB" w:rsidR="008A5159" w:rsidRPr="002B1D6D" w:rsidRDefault="005511D9" w:rsidP="009E7345">
                <w:pPr>
                  <w:rPr>
                    <w:rFonts w:ascii="Calibri" w:hAnsi="Calibri" w:cs="Arial"/>
                  </w:rPr>
                </w:pPr>
                <w:r w:rsidRPr="005511D9">
                  <w:rPr>
                    <w:rFonts w:eastAsiaTheme="minorEastAsia"/>
                    <w:lang w:val="en-NZ" w:eastAsia="zh-CN" w:bidi="th-TH"/>
                  </w:rPr>
                  <w:t xml:space="preserve">A pharmacist already working within the team met with the key stakeholders to develop a plan. A </w:t>
                </w:r>
                <w:r w:rsidR="00184EA1" w:rsidRPr="005511D9">
                  <w:rPr>
                    <w:rFonts w:eastAsiaTheme="minorEastAsia"/>
                    <w:lang w:val="en-NZ" w:eastAsia="zh-CN" w:bidi="th-TH"/>
                  </w:rPr>
                  <w:t>3-month</w:t>
                </w:r>
                <w:r w:rsidRPr="005511D9">
                  <w:rPr>
                    <w:rFonts w:eastAsiaTheme="minorEastAsia"/>
                    <w:lang w:val="en-NZ" w:eastAsia="zh-CN" w:bidi="th-TH"/>
                  </w:rPr>
                  <w:t xml:space="preserve"> trial of pharmacist prescribing was commenced with supervision from the clinical director.</w:t>
                </w:r>
              </w:p>
            </w:tc>
          </w:sdtContent>
        </w:sdt>
      </w:tr>
      <w:tr w:rsidR="008A5159" w:rsidRPr="002B1D6D" w14:paraId="0E0E5811" w14:textId="77777777" w:rsidTr="007B1F94">
        <w:tc>
          <w:tcPr>
            <w:tcW w:w="9638" w:type="dxa"/>
            <w:shd w:val="clear" w:color="auto" w:fill="auto"/>
          </w:tcPr>
          <w:p w14:paraId="14800361" w14:textId="77777777" w:rsidR="008A5159" w:rsidRPr="002B1D6D" w:rsidRDefault="008A5159" w:rsidP="009E7345">
            <w:pPr>
              <w:pStyle w:val="Heading1"/>
            </w:pPr>
            <w:r w:rsidRPr="002B1D6D">
              <w:t>Measurement of improvement</w:t>
            </w:r>
          </w:p>
        </w:tc>
      </w:tr>
      <w:tr w:rsidR="008A5159" w:rsidRPr="002B1D6D" w14:paraId="7AD1D882" w14:textId="77777777" w:rsidTr="007B1F94">
        <w:sdt>
          <w:sdtPr>
            <w:rPr>
              <w:rFonts w:eastAsiaTheme="minorEastAsia"/>
              <w:lang w:val="en-NZ" w:eastAsia="zh-CN" w:bidi="th-TH"/>
            </w:rPr>
            <w:id w:val="-33508036"/>
            <w:placeholder>
              <w:docPart w:val="037B2FDD2ABD438FBC22860A7110C5BF"/>
            </w:placeholder>
            <w:text/>
          </w:sdtPr>
          <w:sdtEndPr/>
          <w:sdtContent>
            <w:tc>
              <w:tcPr>
                <w:tcW w:w="9638" w:type="dxa"/>
                <w:shd w:val="clear" w:color="auto" w:fill="auto"/>
              </w:tcPr>
              <w:p w14:paraId="575534A7" w14:textId="5F5891C5" w:rsidR="008A5159" w:rsidRPr="002B1D6D" w:rsidRDefault="00184EA1" w:rsidP="009E7345">
                <w:pPr>
                  <w:rPr>
                    <w:rFonts w:ascii="Calibri" w:hAnsi="Calibri" w:cs="Arial"/>
                  </w:rPr>
                </w:pPr>
                <w:r w:rsidRPr="00184EA1">
                  <w:rPr>
                    <w:rFonts w:eastAsiaTheme="minorEastAsia"/>
                    <w:lang w:val="en-NZ" w:eastAsia="zh-CN" w:bidi="th-TH"/>
                  </w:rPr>
                  <w:t>Number of prescriptions, requests for external prescribers, time taken for a prescription to be legally signed, errors, delays and missed doses. These were compared before and after the implementation of a pharmacist prescriber.</w:t>
                </w:r>
              </w:p>
            </w:tc>
          </w:sdtContent>
        </w:sdt>
      </w:tr>
      <w:tr w:rsidR="008A5159" w:rsidRPr="002B1D6D" w14:paraId="4D0A41D3" w14:textId="77777777" w:rsidTr="007B1F94">
        <w:tc>
          <w:tcPr>
            <w:tcW w:w="9638" w:type="dxa"/>
            <w:shd w:val="clear" w:color="auto" w:fill="auto"/>
          </w:tcPr>
          <w:p w14:paraId="5F6BFE5E" w14:textId="77777777" w:rsidR="008A5159" w:rsidRPr="002B1D6D" w:rsidRDefault="008A5159" w:rsidP="009E7345">
            <w:pPr>
              <w:pStyle w:val="Heading1"/>
            </w:pPr>
            <w:r w:rsidRPr="002B1D6D">
              <w:t>Effects of changes</w:t>
            </w:r>
          </w:p>
        </w:tc>
      </w:tr>
      <w:tr w:rsidR="008A5159" w:rsidRPr="002B1D6D" w14:paraId="24ED143F" w14:textId="77777777" w:rsidTr="007B1F94">
        <w:sdt>
          <w:sdtPr>
            <w:rPr>
              <w:rFonts w:eastAsiaTheme="minorEastAsia"/>
              <w:lang w:val="en-NZ" w:eastAsia="zh-CN" w:bidi="th-TH"/>
            </w:rPr>
            <w:id w:val="687184529"/>
            <w:placeholder>
              <w:docPart w:val="5B4621AB5F1649E49ABB84EB6A657352"/>
            </w:placeholder>
            <w:text/>
          </w:sdtPr>
          <w:sdtEndPr/>
          <w:sdtContent>
            <w:tc>
              <w:tcPr>
                <w:tcW w:w="9638" w:type="dxa"/>
                <w:shd w:val="clear" w:color="auto" w:fill="auto"/>
              </w:tcPr>
              <w:p w14:paraId="1D8C2827" w14:textId="55A33E0D" w:rsidR="008A5159" w:rsidRPr="002B1D6D" w:rsidRDefault="00184EA1" w:rsidP="009E7345">
                <w:pPr>
                  <w:rPr>
                    <w:rFonts w:ascii="Calibri" w:hAnsi="Calibri" w:cs="Arial"/>
                  </w:rPr>
                </w:pPr>
                <w:r w:rsidRPr="00184EA1">
                  <w:rPr>
                    <w:rFonts w:eastAsiaTheme="minorEastAsia"/>
                    <w:lang w:val="en-NZ" w:eastAsia="zh-CN" w:bidi="th-TH"/>
                  </w:rPr>
                  <w:t>The pharmacist prescriber wrote 126 prescriptions. The number of requests for external prescribers dropped from 79 to 15 over a 3 month period. The average time for a prescription to be signed reduced from 4.2 days to &lt;1 day (p &lt;0.05)</w:t>
                </w:r>
                <w:r>
                  <w:rPr>
                    <w:rFonts w:eastAsiaTheme="minorEastAsia"/>
                    <w:lang w:val="en-NZ" w:eastAsia="zh-CN" w:bidi="th-TH"/>
                  </w:rPr>
                  <w:t xml:space="preserve">. </w:t>
                </w:r>
                <w:r w:rsidRPr="00184EA1">
                  <w:rPr>
                    <w:rFonts w:eastAsiaTheme="minorEastAsia"/>
                    <w:lang w:val="en-NZ" w:eastAsia="zh-CN" w:bidi="th-TH"/>
                  </w:rPr>
                  <w:t xml:space="preserve"> Errors, delays and missed doses were reduced.</w:t>
                </w:r>
              </w:p>
            </w:tc>
          </w:sdtContent>
        </w:sdt>
      </w:tr>
      <w:tr w:rsidR="008A5159" w:rsidRPr="002B1D6D" w14:paraId="2EC8198D" w14:textId="77777777" w:rsidTr="007B1F94">
        <w:tc>
          <w:tcPr>
            <w:tcW w:w="9638" w:type="dxa"/>
            <w:shd w:val="clear" w:color="auto" w:fill="auto"/>
          </w:tcPr>
          <w:p w14:paraId="362E7194" w14:textId="77777777" w:rsidR="008A5159" w:rsidRPr="002B1D6D" w:rsidRDefault="008A5159" w:rsidP="009E7345">
            <w:pPr>
              <w:pStyle w:val="Heading1"/>
            </w:pPr>
            <w:r w:rsidRPr="002B1D6D">
              <w:t>Lessons learnt / implications for others</w:t>
            </w:r>
          </w:p>
        </w:tc>
      </w:tr>
      <w:tr w:rsidR="008A5159" w:rsidRPr="002B1D6D" w14:paraId="1CEF765C" w14:textId="77777777" w:rsidTr="007B1F94">
        <w:sdt>
          <w:sdtPr>
            <w:rPr>
              <w:rFonts w:eastAsiaTheme="minorEastAsia"/>
              <w:lang w:val="en-NZ" w:eastAsia="zh-CN" w:bidi="th-TH"/>
            </w:rPr>
            <w:id w:val="-39363018"/>
            <w:placeholder>
              <w:docPart w:val="812B7F56DB334A8F87A915127DCB6F62"/>
            </w:placeholder>
            <w:text/>
          </w:sdtPr>
          <w:sdtEndPr/>
          <w:sdtContent>
            <w:tc>
              <w:tcPr>
                <w:tcW w:w="9638" w:type="dxa"/>
                <w:shd w:val="clear" w:color="auto" w:fill="auto"/>
              </w:tcPr>
              <w:p w14:paraId="4D890772" w14:textId="6CAB24DE" w:rsidR="008A5159" w:rsidRPr="002B1D6D" w:rsidRDefault="00184EA1" w:rsidP="009E7345">
                <w:pPr>
                  <w:rPr>
                    <w:rFonts w:ascii="Calibri" w:hAnsi="Calibri" w:cs="Arial"/>
                  </w:rPr>
                </w:pPr>
                <w:r w:rsidRPr="00184EA1">
                  <w:rPr>
                    <w:rFonts w:eastAsiaTheme="minorEastAsia"/>
                    <w:lang w:val="en-NZ" w:eastAsia="zh-CN" w:bidi="th-TH"/>
                  </w:rPr>
                  <w:t>The addition of a pharmacist prescriber to the Wilson Centre has had a positive impact and improved the timely and accurate delivery of medication to these residents. There are less than 40 pharmacist prescribers working in NZ with the majority in general practice. This project demonstrates a valuable role for a pharmacist prescriber in improving access to medication, which could be applied to other respite care settings.</w:t>
                </w:r>
              </w:p>
            </w:tc>
          </w:sdtContent>
        </w:sdt>
      </w:tr>
    </w:tbl>
    <w:p w14:paraId="4AFE034E" w14:textId="20231443" w:rsidR="008A5159" w:rsidRDefault="008A5159">
      <w:pPr>
        <w:rPr>
          <w:rFonts w:ascii="Calibri" w:hAnsi="Calibri" w:cs="Arial"/>
          <w:szCs w:val="22"/>
        </w:rPr>
      </w:pPr>
      <w:r>
        <w:rPr>
          <w:rFonts w:ascii="Calibri" w:hAnsi="Calibri" w:cs="Arial"/>
          <w:szCs w:val="22"/>
        </w:rPr>
        <w:br w:type="page"/>
      </w:r>
    </w:p>
    <w:tbl>
      <w:tblPr>
        <w:tblW w:w="0" w:type="auto"/>
        <w:tblLook w:val="04A0" w:firstRow="1" w:lastRow="0" w:firstColumn="1" w:lastColumn="0" w:noHBand="0" w:noVBand="1"/>
      </w:tblPr>
      <w:tblGrid>
        <w:gridCol w:w="9638"/>
      </w:tblGrid>
      <w:tr w:rsidR="008A5159" w:rsidRPr="00FF0E94" w14:paraId="1D3219F7" w14:textId="77777777" w:rsidTr="007B1F94">
        <w:sdt>
          <w:sdtPr>
            <w:id w:val="-1007976371"/>
            <w:placeholder>
              <w:docPart w:val="E2CC6A4D47B848ACB109384ECE6A30C5"/>
            </w:placeholder>
          </w:sdtPr>
          <w:sdtEndPr/>
          <w:sdtContent>
            <w:tc>
              <w:tcPr>
                <w:tcW w:w="9638" w:type="dxa"/>
                <w:shd w:val="clear" w:color="auto" w:fill="auto"/>
              </w:tcPr>
              <w:p w14:paraId="4408B5C5" w14:textId="06DADCBD" w:rsidR="008A5159" w:rsidRPr="00FF0E94" w:rsidRDefault="00B30A9C" w:rsidP="00327FFA">
                <w:pPr>
                  <w:pStyle w:val="Title"/>
                </w:pPr>
                <w:r w:rsidRPr="00B30A9C">
                  <w:t>WASP – Taking the sting out of training new pharmacists</w:t>
                </w:r>
              </w:p>
            </w:tc>
          </w:sdtContent>
        </w:sdt>
      </w:tr>
      <w:tr w:rsidR="008A5159" w:rsidRPr="002B1D6D" w14:paraId="50EB9B13" w14:textId="77777777" w:rsidTr="007B1F94">
        <w:tc>
          <w:tcPr>
            <w:tcW w:w="9638" w:type="dxa"/>
            <w:shd w:val="clear" w:color="auto" w:fill="auto"/>
          </w:tcPr>
          <w:p w14:paraId="775E03C5" w14:textId="77777777" w:rsidR="00B30A9C" w:rsidRPr="00BF72FE" w:rsidRDefault="00B30A9C" w:rsidP="00327FFA">
            <w:r w:rsidRPr="00BF72FE">
              <w:t xml:space="preserve">Brackley K, Lam Z, Greville K, Wright-St. Clair A, Algargoosh M, Dawson S </w:t>
            </w:r>
          </w:p>
          <w:p w14:paraId="6CC39307" w14:textId="33DB5A7C" w:rsidR="00B30A9C" w:rsidRPr="00BF72FE" w:rsidRDefault="00B30A9C" w:rsidP="0099367F">
            <w:pPr>
              <w:spacing w:before="0"/>
              <w:rPr>
                <w:color w:val="0000FF"/>
              </w:rPr>
            </w:pPr>
            <w:hyperlink r:id="rId12" w:history="1">
              <w:r w:rsidRPr="001D68B2">
                <w:rPr>
                  <w:rStyle w:val="Hyperlink"/>
                  <w:rFonts w:cstheme="minorHAnsi"/>
                  <w:szCs w:val="22"/>
                </w:rPr>
                <w:t>kbrackley@adhb.govt.nz</w:t>
              </w:r>
            </w:hyperlink>
            <w:r>
              <w:rPr>
                <w:color w:val="0000FF"/>
              </w:rPr>
              <w:t xml:space="preserve"> </w:t>
            </w:r>
          </w:p>
          <w:p w14:paraId="68424205" w14:textId="202574BF" w:rsidR="008A5159" w:rsidRPr="00B30A9C" w:rsidRDefault="00B30A9C" w:rsidP="0099367F">
            <w:pPr>
              <w:spacing w:before="0"/>
            </w:pPr>
            <w:r w:rsidRPr="00BF72FE">
              <w:t xml:space="preserve">Auckland </w:t>
            </w:r>
            <w:r w:rsidR="00B17985">
              <w:t>City Hospital, Te Toka Tumai</w:t>
            </w:r>
            <w:r w:rsidRPr="00BF72FE">
              <w:t xml:space="preserve"> Auckland</w:t>
            </w:r>
          </w:p>
        </w:tc>
      </w:tr>
      <w:tr w:rsidR="008A5159" w:rsidRPr="002B1D6D" w14:paraId="626176F4" w14:textId="77777777" w:rsidTr="007B1F94">
        <w:tc>
          <w:tcPr>
            <w:tcW w:w="9638" w:type="dxa"/>
            <w:shd w:val="clear" w:color="auto" w:fill="auto"/>
          </w:tcPr>
          <w:p w14:paraId="79A8F8E6" w14:textId="77777777" w:rsidR="008A5159" w:rsidRPr="002B1D6D" w:rsidRDefault="008A5159" w:rsidP="00327FFA">
            <w:pPr>
              <w:pStyle w:val="Heading1"/>
            </w:pPr>
            <w:r w:rsidRPr="002B1D6D">
              <w:t>Context / existing situation</w:t>
            </w:r>
          </w:p>
        </w:tc>
      </w:tr>
      <w:tr w:rsidR="008A5159" w:rsidRPr="002B1D6D" w14:paraId="1243BC63" w14:textId="77777777" w:rsidTr="007B1F94">
        <w:sdt>
          <w:sdtPr>
            <w:rPr>
              <w:rFonts w:eastAsiaTheme="minorEastAsia"/>
              <w:lang w:val="en-NZ" w:eastAsia="zh-CN" w:bidi="th-TH"/>
            </w:rPr>
            <w:id w:val="2091037052"/>
            <w:placeholder>
              <w:docPart w:val="FFD3A0BAD63F4C6DB9D9DB2C474BC00F"/>
            </w:placeholder>
            <w:text/>
          </w:sdtPr>
          <w:sdtEndPr/>
          <w:sdtContent>
            <w:tc>
              <w:tcPr>
                <w:tcW w:w="9638" w:type="dxa"/>
                <w:shd w:val="clear" w:color="auto" w:fill="auto"/>
              </w:tcPr>
              <w:p w14:paraId="501D61F4" w14:textId="1509C4CB" w:rsidR="008A5159" w:rsidRPr="002B1D6D" w:rsidRDefault="00B30A9C" w:rsidP="00327FFA">
                <w:pPr>
                  <w:rPr>
                    <w:rFonts w:ascii="Calibri" w:hAnsi="Calibri" w:cs="Arial"/>
                  </w:rPr>
                </w:pPr>
                <w:r w:rsidRPr="00B30A9C">
                  <w:rPr>
                    <w:rFonts w:eastAsiaTheme="minorEastAsia"/>
                    <w:lang w:val="en-NZ" w:eastAsia="zh-CN" w:bidi="th-TH"/>
                  </w:rPr>
                  <w:t xml:space="preserve">In 2014 the Clinical Induction Training Scheme (CITS) </w:t>
                </w:r>
                <w:r w:rsidR="008F4F56">
                  <w:rPr>
                    <w:rFonts w:eastAsiaTheme="minorEastAsia"/>
                    <w:lang w:val="en-NZ" w:eastAsia="zh-CN" w:bidi="th-TH"/>
                  </w:rPr>
                  <w:t xml:space="preserve">was implemented </w:t>
                </w:r>
                <w:r w:rsidRPr="00B30A9C">
                  <w:rPr>
                    <w:rFonts w:eastAsiaTheme="minorEastAsia"/>
                    <w:lang w:val="en-NZ" w:eastAsia="zh-CN" w:bidi="th-TH"/>
                  </w:rPr>
                  <w:t xml:space="preserve">to validate newly hired pharmacists to </w:t>
                </w:r>
                <w:r w:rsidR="008F4F56">
                  <w:rPr>
                    <w:rFonts w:eastAsiaTheme="minorEastAsia"/>
                    <w:lang w:val="en-NZ" w:eastAsia="zh-CN" w:bidi="th-TH"/>
                  </w:rPr>
                  <w:t>local</w:t>
                </w:r>
                <w:r w:rsidRPr="00B30A9C">
                  <w:rPr>
                    <w:rFonts w:eastAsiaTheme="minorEastAsia"/>
                    <w:lang w:val="en-NZ" w:eastAsia="zh-CN" w:bidi="th-TH"/>
                  </w:rPr>
                  <w:t xml:space="preserve"> clinical processes. CITS was designed around the assumption of prior hospital experience. By 2018-19, we recognised an increasing number of our new pharmacists had little previous hospital experience and a new scheme was needed; one that provided structured clinical skills training as well as validation.</w:t>
                </w:r>
              </w:p>
            </w:tc>
          </w:sdtContent>
        </w:sdt>
      </w:tr>
      <w:tr w:rsidR="008A5159" w:rsidRPr="002B1D6D" w14:paraId="2A1B42F2" w14:textId="77777777" w:rsidTr="007B1F94">
        <w:tc>
          <w:tcPr>
            <w:tcW w:w="9638" w:type="dxa"/>
            <w:shd w:val="clear" w:color="auto" w:fill="auto"/>
          </w:tcPr>
          <w:p w14:paraId="4B9EE746" w14:textId="77777777" w:rsidR="008A5159" w:rsidRPr="002B1D6D" w:rsidRDefault="008A5159" w:rsidP="00327FFA">
            <w:pPr>
              <w:pStyle w:val="Heading1"/>
            </w:pPr>
            <w:r w:rsidRPr="002B1D6D">
              <w:t>Planned change</w:t>
            </w:r>
          </w:p>
        </w:tc>
      </w:tr>
      <w:tr w:rsidR="008A5159" w:rsidRPr="002B1D6D" w14:paraId="301D3F11" w14:textId="77777777" w:rsidTr="007B1F94">
        <w:sdt>
          <w:sdtPr>
            <w:rPr>
              <w:rFonts w:eastAsiaTheme="minorEastAsia"/>
              <w:lang w:val="en-NZ" w:eastAsia="zh-CN" w:bidi="th-TH"/>
            </w:rPr>
            <w:id w:val="1203837331"/>
            <w:placeholder>
              <w:docPart w:val="331A6F4306D84EAEB344E0C672930D5A"/>
            </w:placeholder>
            <w:text/>
          </w:sdtPr>
          <w:sdtEndPr/>
          <w:sdtContent>
            <w:tc>
              <w:tcPr>
                <w:tcW w:w="9638" w:type="dxa"/>
                <w:shd w:val="clear" w:color="auto" w:fill="auto"/>
              </w:tcPr>
              <w:p w14:paraId="72E40192" w14:textId="6AA50D1C" w:rsidR="008A5159" w:rsidRPr="002B1D6D" w:rsidRDefault="00B30A9C" w:rsidP="00327FFA">
                <w:pPr>
                  <w:rPr>
                    <w:rFonts w:ascii="Calibri" w:hAnsi="Calibri" w:cs="Arial"/>
                  </w:rPr>
                </w:pPr>
                <w:r w:rsidRPr="00B30A9C">
                  <w:rPr>
                    <w:rFonts w:eastAsiaTheme="minorEastAsia"/>
                    <w:lang w:val="en-NZ" w:eastAsia="zh-CN" w:bidi="th-TH"/>
                  </w:rPr>
                  <w:t>To develop and implement a clinical induction scheme that provides structured training and validation of new pharmacists in ward practices.</w:t>
                </w:r>
              </w:p>
            </w:tc>
          </w:sdtContent>
        </w:sdt>
      </w:tr>
      <w:tr w:rsidR="008A5159" w:rsidRPr="002B1D6D" w14:paraId="170C7E18" w14:textId="77777777" w:rsidTr="007B1F94">
        <w:tc>
          <w:tcPr>
            <w:tcW w:w="9638" w:type="dxa"/>
            <w:shd w:val="clear" w:color="auto" w:fill="auto"/>
          </w:tcPr>
          <w:p w14:paraId="6D0940EC" w14:textId="77777777" w:rsidR="008A5159" w:rsidRPr="002B1D6D" w:rsidRDefault="008A5159" w:rsidP="00327FFA">
            <w:pPr>
              <w:pStyle w:val="Heading1"/>
            </w:pPr>
            <w:r w:rsidRPr="002B1D6D">
              <w:t>Methods</w:t>
            </w:r>
          </w:p>
        </w:tc>
      </w:tr>
      <w:tr w:rsidR="008A5159" w:rsidRPr="002B1D6D" w14:paraId="3286B286" w14:textId="77777777" w:rsidTr="007B1F94">
        <w:sdt>
          <w:sdtPr>
            <w:rPr>
              <w:rFonts w:eastAsiaTheme="minorEastAsia"/>
              <w:lang w:val="en-NZ" w:eastAsia="zh-CN" w:bidi="th-TH"/>
            </w:rPr>
            <w:id w:val="1882973013"/>
            <w:placeholder>
              <w:docPart w:val="209D983A49784C34B152BAF11A494326"/>
            </w:placeholder>
            <w:text/>
          </w:sdtPr>
          <w:sdtEndPr/>
          <w:sdtContent>
            <w:tc>
              <w:tcPr>
                <w:tcW w:w="9638" w:type="dxa"/>
                <w:shd w:val="clear" w:color="auto" w:fill="auto"/>
              </w:tcPr>
              <w:p w14:paraId="554E28F9" w14:textId="2880CD17" w:rsidR="008A5159" w:rsidRPr="002B1D6D" w:rsidRDefault="00B30A9C" w:rsidP="00327FFA">
                <w:pPr>
                  <w:rPr>
                    <w:rFonts w:ascii="Calibri" w:hAnsi="Calibri" w:cs="Arial"/>
                  </w:rPr>
                </w:pPr>
                <w:r w:rsidRPr="00B30A9C">
                  <w:rPr>
                    <w:rFonts w:eastAsiaTheme="minorEastAsia"/>
                    <w:lang w:val="en-NZ" w:eastAsia="zh-CN" w:bidi="th-TH"/>
                  </w:rPr>
                  <w:t>Informal feedback was sought from new staff and their supervisors on their experience of CITS and their subsequent readiness for independent practice. A group of clinical and education pharmacists worked to develop and test the resulting scheme.</w:t>
                </w:r>
              </w:p>
            </w:tc>
          </w:sdtContent>
        </w:sdt>
      </w:tr>
      <w:tr w:rsidR="008A5159" w:rsidRPr="002B1D6D" w14:paraId="40BFE438" w14:textId="77777777" w:rsidTr="007B1F94">
        <w:tc>
          <w:tcPr>
            <w:tcW w:w="9638" w:type="dxa"/>
            <w:shd w:val="clear" w:color="auto" w:fill="auto"/>
          </w:tcPr>
          <w:p w14:paraId="747B7EE4" w14:textId="77777777" w:rsidR="008A5159" w:rsidRPr="002B1D6D" w:rsidRDefault="008A5159" w:rsidP="00327FFA">
            <w:pPr>
              <w:pStyle w:val="Heading1"/>
            </w:pPr>
            <w:r w:rsidRPr="002B1D6D">
              <w:t>Measurement of improvement</w:t>
            </w:r>
          </w:p>
        </w:tc>
      </w:tr>
      <w:tr w:rsidR="008A5159" w:rsidRPr="002B1D6D" w14:paraId="356AF8DA" w14:textId="77777777" w:rsidTr="007B1F94">
        <w:sdt>
          <w:sdtPr>
            <w:rPr>
              <w:rFonts w:eastAsiaTheme="minorEastAsia"/>
              <w:lang w:val="en-NZ" w:eastAsia="zh-CN" w:bidi="th-TH"/>
            </w:rPr>
            <w:id w:val="-1583220323"/>
            <w:placeholder>
              <w:docPart w:val="24BE6813C8E446F1A36B85126747605E"/>
            </w:placeholder>
            <w:text/>
          </w:sdtPr>
          <w:sdtEndPr/>
          <w:sdtContent>
            <w:tc>
              <w:tcPr>
                <w:tcW w:w="9638" w:type="dxa"/>
                <w:shd w:val="clear" w:color="auto" w:fill="auto"/>
              </w:tcPr>
              <w:p w14:paraId="1CA307B2" w14:textId="6FF94AEC" w:rsidR="008A5159" w:rsidRPr="002B1D6D" w:rsidRDefault="00B30A9C" w:rsidP="00327FFA">
                <w:pPr>
                  <w:rPr>
                    <w:rFonts w:ascii="Calibri" w:hAnsi="Calibri" w:cs="Arial"/>
                  </w:rPr>
                </w:pPr>
                <w:r w:rsidRPr="00B30A9C">
                  <w:rPr>
                    <w:rFonts w:eastAsiaTheme="minorEastAsia"/>
                    <w:lang w:val="en-NZ" w:eastAsia="zh-CN" w:bidi="th-TH"/>
                  </w:rPr>
                  <w:t>New pharmacist and supervisor’s confidence and readiness for independent clinical practice on wards.</w:t>
                </w:r>
              </w:p>
            </w:tc>
          </w:sdtContent>
        </w:sdt>
      </w:tr>
      <w:tr w:rsidR="008A5159" w:rsidRPr="002B1D6D" w14:paraId="2E927222" w14:textId="77777777" w:rsidTr="007B1F94">
        <w:tc>
          <w:tcPr>
            <w:tcW w:w="9638" w:type="dxa"/>
            <w:shd w:val="clear" w:color="auto" w:fill="auto"/>
          </w:tcPr>
          <w:p w14:paraId="63D99E15" w14:textId="77777777" w:rsidR="008A5159" w:rsidRPr="002B1D6D" w:rsidRDefault="008A5159" w:rsidP="00327FFA">
            <w:pPr>
              <w:pStyle w:val="Heading1"/>
            </w:pPr>
            <w:r w:rsidRPr="002B1D6D">
              <w:t>Effects of changes</w:t>
            </w:r>
          </w:p>
        </w:tc>
      </w:tr>
      <w:tr w:rsidR="008A5159" w:rsidRPr="002B1D6D" w14:paraId="54B3B79D" w14:textId="77777777" w:rsidTr="007B1F94">
        <w:sdt>
          <w:sdtPr>
            <w:rPr>
              <w:rFonts w:eastAsiaTheme="minorEastAsia"/>
              <w:lang w:val="en-NZ" w:eastAsia="zh-CN" w:bidi="th-TH"/>
            </w:rPr>
            <w:id w:val="1637142764"/>
            <w:placeholder>
              <w:docPart w:val="6215C78BFE564E3EB4E7942F78DFEEA9"/>
            </w:placeholder>
            <w:text/>
          </w:sdtPr>
          <w:sdtEndPr/>
          <w:sdtContent>
            <w:tc>
              <w:tcPr>
                <w:tcW w:w="9638" w:type="dxa"/>
                <w:shd w:val="clear" w:color="auto" w:fill="auto"/>
              </w:tcPr>
              <w:p w14:paraId="43314869" w14:textId="4875A423" w:rsidR="008A5159" w:rsidRPr="002B1D6D" w:rsidRDefault="00B30A9C" w:rsidP="00327FFA">
                <w:pPr>
                  <w:rPr>
                    <w:rFonts w:ascii="Calibri" w:hAnsi="Calibri" w:cs="Arial"/>
                  </w:rPr>
                </w:pPr>
                <w:r w:rsidRPr="00BB0740">
                  <w:rPr>
                    <w:rFonts w:eastAsiaTheme="minorEastAsia"/>
                    <w:lang w:val="en-NZ" w:eastAsia="zh-CN" w:bidi="th-TH"/>
                  </w:rPr>
                  <w:t>The WArd practices training and validation Scheme for Pharmacists (WASP) was implemented for use with new pharmacists in February 2020 and has been used with 16 pharmacists. The scheme identifies defined clinical activities that need to be performed to Entrustable Professional Activity Level 4</w:t>
                </w:r>
                <w:r w:rsidR="00BB0740" w:rsidRPr="00BB0740">
                  <w:rPr>
                    <w:rFonts w:eastAsiaTheme="minorEastAsia"/>
                    <w:lang w:val="en-NZ" w:eastAsia="zh-CN" w:bidi="th-TH"/>
                  </w:rPr>
                  <w:t xml:space="preserve"> </w:t>
                </w:r>
                <w:r w:rsidR="008F4F56" w:rsidRPr="00BB0740">
                  <w:rPr>
                    <w:rFonts w:eastAsiaTheme="minorEastAsia"/>
                    <w:lang w:val="en-NZ" w:eastAsia="zh-CN" w:bidi="th-TH"/>
                  </w:rPr>
                  <w:t>(</w:t>
                </w:r>
                <w:r w:rsidRPr="00BB0740">
                  <w:rPr>
                    <w:rFonts w:eastAsiaTheme="minorEastAsia"/>
                    <w:lang w:val="en-NZ" w:eastAsia="zh-CN" w:bidi="th-TH"/>
                  </w:rPr>
                  <w:t>1</w:t>
                </w:r>
                <w:r w:rsidR="008F4F56" w:rsidRPr="00BB0740">
                  <w:rPr>
                    <w:rFonts w:eastAsiaTheme="minorEastAsia"/>
                    <w:lang w:val="en-NZ" w:eastAsia="zh-CN" w:bidi="th-TH"/>
                  </w:rPr>
                  <w:t>)</w:t>
                </w:r>
                <w:r w:rsidRPr="00BB0740">
                  <w:rPr>
                    <w:rFonts w:eastAsiaTheme="minorEastAsia"/>
                    <w:lang w:val="en-NZ" w:eastAsia="zh-CN" w:bidi="th-TH"/>
                  </w:rPr>
                  <w:t xml:space="preserve">. The scheme is flexible and provides different levels of structured training and supervision tailored to the previous experience and expertise of the pharmacist. Learning needs can be identified and included in their ongoing development plan. New pharmacists report being confident in independent practice on their wards by the end of induction. Supervisors reported that they were confident of the pharmacist’s having learned good clinical practice habits and understood </w:t>
                </w:r>
                <w:r w:rsidR="00B17985">
                  <w:rPr>
                    <w:rFonts w:eastAsiaTheme="minorEastAsia"/>
                    <w:lang w:val="en-NZ" w:eastAsia="zh-CN" w:bidi="th-TH"/>
                  </w:rPr>
                  <w:t>local hospital</w:t>
                </w:r>
                <w:r w:rsidRPr="00BB0740">
                  <w:rPr>
                    <w:rFonts w:eastAsiaTheme="minorEastAsia"/>
                    <w:lang w:val="en-NZ" w:eastAsia="zh-CN" w:bidi="th-TH"/>
                  </w:rPr>
                  <w:t xml:space="preserve"> processes. Management have more oversight than in the past of new pharmacist’s capability.</w:t>
                </w:r>
              </w:p>
            </w:tc>
          </w:sdtContent>
        </w:sdt>
      </w:tr>
      <w:tr w:rsidR="008A5159" w:rsidRPr="002B1D6D" w14:paraId="17DA9B08" w14:textId="77777777" w:rsidTr="007B1F94">
        <w:tc>
          <w:tcPr>
            <w:tcW w:w="9638" w:type="dxa"/>
            <w:shd w:val="clear" w:color="auto" w:fill="auto"/>
          </w:tcPr>
          <w:p w14:paraId="0D97E937" w14:textId="77777777" w:rsidR="008A5159" w:rsidRPr="002B1D6D" w:rsidRDefault="008A5159" w:rsidP="00327FFA">
            <w:pPr>
              <w:pStyle w:val="Heading1"/>
            </w:pPr>
            <w:r w:rsidRPr="002B1D6D">
              <w:t>Lessons learnt / implications for others</w:t>
            </w:r>
          </w:p>
        </w:tc>
      </w:tr>
      <w:tr w:rsidR="008A5159" w:rsidRPr="002B1D6D" w14:paraId="429B4B11" w14:textId="77777777" w:rsidTr="007B1F94">
        <w:sdt>
          <w:sdtPr>
            <w:rPr>
              <w:rFonts w:eastAsiaTheme="minorEastAsia"/>
              <w:lang w:val="en-NZ" w:eastAsia="zh-CN" w:bidi="th-TH"/>
            </w:rPr>
            <w:id w:val="1310216235"/>
            <w:placeholder>
              <w:docPart w:val="CBA984069D144BB6B8D493FA5D9DC036"/>
            </w:placeholder>
            <w:text/>
          </w:sdtPr>
          <w:sdtEndPr/>
          <w:sdtContent>
            <w:tc>
              <w:tcPr>
                <w:tcW w:w="9638" w:type="dxa"/>
                <w:shd w:val="clear" w:color="auto" w:fill="auto"/>
              </w:tcPr>
              <w:p w14:paraId="387A304A" w14:textId="7DE42ED9" w:rsidR="008A5159" w:rsidRPr="002B1D6D" w:rsidRDefault="00B30A9C" w:rsidP="00327FFA">
                <w:pPr>
                  <w:rPr>
                    <w:rFonts w:ascii="Calibri" w:hAnsi="Calibri" w:cs="Arial"/>
                  </w:rPr>
                </w:pPr>
                <w:r w:rsidRPr="00B30A9C">
                  <w:rPr>
                    <w:rFonts w:eastAsiaTheme="minorEastAsia"/>
                    <w:lang w:val="en-NZ" w:eastAsia="zh-CN" w:bidi="th-TH"/>
                  </w:rPr>
                  <w:t>A flexible structured training and validation programme for new pharmacists enables their efficient induction into clinical roles. It enables new pharmacists to confidently undertake their hospital pharmacist responsibilities and supervisors to have confidence in their independent work on the wards.</w:t>
                </w:r>
              </w:p>
            </w:tc>
          </w:sdtContent>
        </w:sdt>
      </w:tr>
      <w:tr w:rsidR="008A5159" w:rsidRPr="00A07431" w14:paraId="21C588BA" w14:textId="77777777" w:rsidTr="007B1F94">
        <w:tc>
          <w:tcPr>
            <w:tcW w:w="9638" w:type="dxa"/>
            <w:shd w:val="clear" w:color="auto" w:fill="auto"/>
          </w:tcPr>
          <w:p w14:paraId="5A9BB041" w14:textId="77777777" w:rsidR="008A5159" w:rsidRPr="00A07431" w:rsidRDefault="008A5159" w:rsidP="00327FFA">
            <w:pPr>
              <w:pStyle w:val="Heading1"/>
            </w:pPr>
            <w:r w:rsidRPr="00A07431">
              <w:t>References</w:t>
            </w:r>
          </w:p>
        </w:tc>
      </w:tr>
      <w:tr w:rsidR="008A5159" w:rsidRPr="00A46B19" w14:paraId="55259318" w14:textId="77777777" w:rsidTr="007B1F94">
        <w:tc>
          <w:tcPr>
            <w:tcW w:w="9638" w:type="dxa"/>
            <w:shd w:val="clear" w:color="auto" w:fill="auto"/>
          </w:tcPr>
          <w:p w14:paraId="321B1C9D" w14:textId="7CDB4605" w:rsidR="008A5159" w:rsidRPr="00B30A9C" w:rsidRDefault="00B30A9C" w:rsidP="00327FFA">
            <w:pPr>
              <w:pStyle w:val="ListParagraph"/>
              <w:numPr>
                <w:ilvl w:val="0"/>
                <w:numId w:val="5"/>
              </w:numPr>
            </w:pPr>
            <w:r w:rsidRPr="00BF72FE">
              <w:t>ten Cate O, Scheele F. Competency-based postgraduate training: can we bridge the gap between theory and clinical practice. Acad Med. 2007;82(6):542–547</w:t>
            </w:r>
          </w:p>
        </w:tc>
      </w:tr>
    </w:tbl>
    <w:p w14:paraId="7CCD1046" w14:textId="7AEB848C" w:rsidR="008A5159" w:rsidRDefault="008A5159">
      <w:pPr>
        <w:rPr>
          <w:rFonts w:ascii="Calibri" w:hAnsi="Calibri" w:cs="Arial"/>
          <w:szCs w:val="22"/>
        </w:rPr>
      </w:pPr>
      <w:r>
        <w:rPr>
          <w:rFonts w:ascii="Calibri" w:hAnsi="Calibri" w:cs="Arial"/>
          <w:szCs w:val="22"/>
        </w:rPr>
        <w:br w:type="page"/>
      </w:r>
    </w:p>
    <w:tbl>
      <w:tblPr>
        <w:tblW w:w="0" w:type="auto"/>
        <w:tblLook w:val="04A0" w:firstRow="1" w:lastRow="0" w:firstColumn="1" w:lastColumn="0" w:noHBand="0" w:noVBand="1"/>
      </w:tblPr>
      <w:tblGrid>
        <w:gridCol w:w="9638"/>
      </w:tblGrid>
      <w:tr w:rsidR="008A5159" w:rsidRPr="00FF0E94" w14:paraId="0F9C3C26" w14:textId="77777777" w:rsidTr="007B1F94">
        <w:sdt>
          <w:sdtPr>
            <w:id w:val="-1105880134"/>
            <w:placeholder>
              <w:docPart w:val="3449D3DC047D4D0E88606D7A1A4CBAAE"/>
            </w:placeholder>
          </w:sdtPr>
          <w:sdtEndPr/>
          <w:sdtContent>
            <w:tc>
              <w:tcPr>
                <w:tcW w:w="9638" w:type="dxa"/>
                <w:shd w:val="clear" w:color="auto" w:fill="auto"/>
              </w:tcPr>
              <w:p w14:paraId="275C00ED" w14:textId="03DD85C1" w:rsidR="008A5159" w:rsidRPr="00FF0E94" w:rsidRDefault="000E5943" w:rsidP="009A09C6">
                <w:pPr>
                  <w:pStyle w:val="Title"/>
                </w:pPr>
                <w:r w:rsidRPr="000E5943">
                  <w:t xml:space="preserve">Reducing the risks associated with </w:t>
                </w:r>
                <w:r w:rsidR="00B17985">
                  <w:t>h</w:t>
                </w:r>
                <w:r w:rsidRPr="000E5943">
                  <w:t xml:space="preserve">eparin </w:t>
                </w:r>
                <w:r w:rsidR="00B17985">
                  <w:t>i</w:t>
                </w:r>
                <w:r w:rsidRPr="000E5943">
                  <w:t xml:space="preserve">nfusions at </w:t>
                </w:r>
                <w:r w:rsidR="00B17985">
                  <w:t>a tertiary teaching hospital</w:t>
                </w:r>
                <w:r w:rsidRPr="000E5943">
                  <w:t xml:space="preserve"> </w:t>
                </w:r>
              </w:p>
            </w:tc>
          </w:sdtContent>
        </w:sdt>
      </w:tr>
      <w:tr w:rsidR="008A5159" w:rsidRPr="002B1D6D" w14:paraId="3FA0212B" w14:textId="77777777" w:rsidTr="007B1F94">
        <w:tc>
          <w:tcPr>
            <w:tcW w:w="9638" w:type="dxa"/>
            <w:shd w:val="clear" w:color="auto" w:fill="auto"/>
          </w:tcPr>
          <w:p w14:paraId="77D93158" w14:textId="77777777" w:rsidR="000E5943" w:rsidRPr="00BF72FE" w:rsidRDefault="000E5943" w:rsidP="009A09C6">
            <w:r w:rsidRPr="00BF72FE">
              <w:t xml:space="preserve">Marcroft J, Ticehurst R </w:t>
            </w:r>
          </w:p>
          <w:p w14:paraId="6246F7B3" w14:textId="7C2FCE6A" w:rsidR="000E5943" w:rsidRPr="00BF72FE" w:rsidRDefault="000E5943" w:rsidP="009A09C6">
            <w:pPr>
              <w:spacing w:before="0"/>
              <w:rPr>
                <w:color w:val="0000FF"/>
              </w:rPr>
            </w:pPr>
            <w:hyperlink r:id="rId13" w:history="1">
              <w:r w:rsidRPr="001D68B2">
                <w:rPr>
                  <w:rStyle w:val="Hyperlink"/>
                  <w:rFonts w:cstheme="minorHAnsi"/>
                  <w:szCs w:val="22"/>
                </w:rPr>
                <w:t>johanam@adhb.govt.nz</w:t>
              </w:r>
            </w:hyperlink>
            <w:r>
              <w:rPr>
                <w:color w:val="0000FF"/>
              </w:rPr>
              <w:t xml:space="preserve"> </w:t>
            </w:r>
          </w:p>
          <w:p w14:paraId="5172E3F5" w14:textId="01706419" w:rsidR="008A5159" w:rsidRPr="000E5943" w:rsidRDefault="00B17985" w:rsidP="009A09C6">
            <w:pPr>
              <w:spacing w:before="0"/>
            </w:pPr>
            <w:r w:rsidRPr="00BF72FE">
              <w:t xml:space="preserve">Auckland </w:t>
            </w:r>
            <w:r>
              <w:t>City Hospital, Te Toka Tumai</w:t>
            </w:r>
            <w:r w:rsidRPr="00BF72FE">
              <w:t xml:space="preserve"> Auckland</w:t>
            </w:r>
          </w:p>
        </w:tc>
      </w:tr>
      <w:tr w:rsidR="008A5159" w:rsidRPr="002B1D6D" w14:paraId="1B64FC84" w14:textId="77777777" w:rsidTr="007B1F94">
        <w:tc>
          <w:tcPr>
            <w:tcW w:w="9638" w:type="dxa"/>
            <w:shd w:val="clear" w:color="auto" w:fill="auto"/>
          </w:tcPr>
          <w:p w14:paraId="7D254F6D" w14:textId="77777777" w:rsidR="008A5159" w:rsidRPr="002B1D6D" w:rsidRDefault="008A5159" w:rsidP="009A09C6">
            <w:pPr>
              <w:pStyle w:val="Heading1"/>
            </w:pPr>
            <w:r w:rsidRPr="002B1D6D">
              <w:t>Context / existing situation</w:t>
            </w:r>
          </w:p>
        </w:tc>
      </w:tr>
      <w:tr w:rsidR="008A5159" w:rsidRPr="002B1D6D" w14:paraId="5C81D8A2" w14:textId="77777777" w:rsidTr="007B1F94">
        <w:sdt>
          <w:sdtPr>
            <w:rPr>
              <w:rFonts w:eastAsiaTheme="minorEastAsia"/>
              <w:lang w:val="en-NZ" w:eastAsia="zh-CN" w:bidi="th-TH"/>
            </w:rPr>
            <w:id w:val="402960362"/>
            <w:placeholder>
              <w:docPart w:val="9F9D1A1D635F455189C3153CD25A519B"/>
            </w:placeholder>
            <w:text/>
          </w:sdtPr>
          <w:sdtEndPr/>
          <w:sdtContent>
            <w:tc>
              <w:tcPr>
                <w:tcW w:w="9638" w:type="dxa"/>
                <w:shd w:val="clear" w:color="auto" w:fill="auto"/>
              </w:tcPr>
              <w:p w14:paraId="0C38076F" w14:textId="305EE07A" w:rsidR="008A5159" w:rsidRPr="002B1D6D" w:rsidRDefault="00792DE0" w:rsidP="009A09C6">
                <w:pPr>
                  <w:rPr>
                    <w:rFonts w:ascii="Calibri" w:hAnsi="Calibri" w:cs="Arial"/>
                  </w:rPr>
                </w:pPr>
                <w:r>
                  <w:rPr>
                    <w:rFonts w:eastAsiaTheme="minorEastAsia"/>
                    <w:lang w:val="en-NZ" w:eastAsia="zh-CN" w:bidi="th-TH"/>
                  </w:rPr>
                  <w:t xml:space="preserve">Our </w:t>
                </w:r>
                <w:r w:rsidR="00B17985">
                  <w:rPr>
                    <w:rFonts w:eastAsiaTheme="minorEastAsia"/>
                    <w:lang w:val="en-NZ" w:eastAsia="zh-CN" w:bidi="th-TH"/>
                  </w:rPr>
                  <w:t>hospital</w:t>
                </w:r>
                <w:r w:rsidRPr="00792DE0">
                  <w:rPr>
                    <w:rFonts w:eastAsiaTheme="minorEastAsia"/>
                    <w:lang w:val="en-NZ" w:eastAsia="zh-CN" w:bidi="th-TH"/>
                  </w:rPr>
                  <w:t xml:space="preserve"> has historically had two protocols for heparin infusions (high and low doses). In 2017 and 2018 </w:t>
                </w:r>
                <w:r>
                  <w:rPr>
                    <w:rFonts w:eastAsiaTheme="minorEastAsia"/>
                    <w:lang w:val="en-NZ" w:eastAsia="zh-CN" w:bidi="th-TH"/>
                  </w:rPr>
                  <w:t>we</w:t>
                </w:r>
                <w:r w:rsidRPr="00792DE0">
                  <w:rPr>
                    <w:rFonts w:eastAsiaTheme="minorEastAsia"/>
                    <w:lang w:val="en-NZ" w:eastAsia="zh-CN" w:bidi="th-TH"/>
                  </w:rPr>
                  <w:t xml:space="preserve"> had two sentinel events involving the high dose protocol. A Root Cause Analysis review identified having two protocols as a contributing factor to these deaths and recommended that the current heparin chart was reviewed for the feasibility of including only a single (low) dose protocol.</w:t>
                </w:r>
              </w:p>
            </w:tc>
          </w:sdtContent>
        </w:sdt>
      </w:tr>
      <w:tr w:rsidR="008A5159" w:rsidRPr="002B1D6D" w14:paraId="20BD50C0" w14:textId="77777777" w:rsidTr="007B1F94">
        <w:tc>
          <w:tcPr>
            <w:tcW w:w="9638" w:type="dxa"/>
            <w:shd w:val="clear" w:color="auto" w:fill="auto"/>
          </w:tcPr>
          <w:p w14:paraId="7C60983D" w14:textId="77777777" w:rsidR="008A5159" w:rsidRPr="002B1D6D" w:rsidRDefault="008A5159" w:rsidP="009A09C6">
            <w:pPr>
              <w:pStyle w:val="Heading1"/>
            </w:pPr>
            <w:r w:rsidRPr="002B1D6D">
              <w:t>Planned change</w:t>
            </w:r>
          </w:p>
        </w:tc>
      </w:tr>
      <w:tr w:rsidR="008A5159" w:rsidRPr="002B1D6D" w14:paraId="4D739DD7" w14:textId="77777777" w:rsidTr="007B1F94">
        <w:sdt>
          <w:sdtPr>
            <w:rPr>
              <w:rFonts w:eastAsiaTheme="minorEastAsia"/>
              <w:lang w:val="en-NZ" w:eastAsia="zh-CN" w:bidi="th-TH"/>
            </w:rPr>
            <w:id w:val="349297019"/>
            <w:placeholder>
              <w:docPart w:val="2EB7BF6BBA8644EABD62801A51837182"/>
            </w:placeholder>
            <w:text/>
          </w:sdtPr>
          <w:sdtEndPr/>
          <w:sdtContent>
            <w:tc>
              <w:tcPr>
                <w:tcW w:w="9638" w:type="dxa"/>
                <w:shd w:val="clear" w:color="auto" w:fill="auto"/>
              </w:tcPr>
              <w:p w14:paraId="19CFA181" w14:textId="1AFC4829" w:rsidR="008A5159" w:rsidRPr="002B1D6D" w:rsidRDefault="00792DE0" w:rsidP="009A09C6">
                <w:pPr>
                  <w:rPr>
                    <w:rFonts w:ascii="Calibri" w:hAnsi="Calibri" w:cs="Arial"/>
                  </w:rPr>
                </w:pPr>
                <w:r w:rsidRPr="00792DE0">
                  <w:rPr>
                    <w:rFonts w:eastAsiaTheme="minorEastAsia"/>
                    <w:lang w:val="en-NZ" w:eastAsia="zh-CN" w:bidi="th-TH"/>
                  </w:rPr>
                  <w:t xml:space="preserve">To implement a single heparin infusion protocol at </w:t>
                </w:r>
                <w:r>
                  <w:rPr>
                    <w:rFonts w:eastAsiaTheme="minorEastAsia"/>
                    <w:lang w:val="en-NZ" w:eastAsia="zh-CN" w:bidi="th-TH"/>
                  </w:rPr>
                  <w:t xml:space="preserve">our </w:t>
                </w:r>
                <w:r w:rsidR="00B17985">
                  <w:rPr>
                    <w:rFonts w:eastAsiaTheme="minorEastAsia"/>
                    <w:lang w:val="en-NZ" w:eastAsia="zh-CN" w:bidi="th-TH"/>
                  </w:rPr>
                  <w:t>hospital</w:t>
                </w:r>
                <w:r w:rsidRPr="00792DE0">
                  <w:rPr>
                    <w:rFonts w:eastAsiaTheme="minorEastAsia"/>
                    <w:lang w:val="en-NZ" w:eastAsia="zh-CN" w:bidi="th-TH"/>
                  </w:rPr>
                  <w:t xml:space="preserve"> to manage the risk of APTT’s being supra-therapeutic within 6 hours of initiation.</w:t>
                </w:r>
              </w:p>
            </w:tc>
          </w:sdtContent>
        </w:sdt>
      </w:tr>
      <w:tr w:rsidR="008A5159" w:rsidRPr="002B1D6D" w14:paraId="79D3BB6D" w14:textId="77777777" w:rsidTr="007B1F94">
        <w:tc>
          <w:tcPr>
            <w:tcW w:w="9638" w:type="dxa"/>
            <w:shd w:val="clear" w:color="auto" w:fill="auto"/>
          </w:tcPr>
          <w:p w14:paraId="677B21FC" w14:textId="77777777" w:rsidR="008A5159" w:rsidRPr="002B1D6D" w:rsidRDefault="008A5159" w:rsidP="009A09C6">
            <w:pPr>
              <w:pStyle w:val="Heading1"/>
            </w:pPr>
            <w:r w:rsidRPr="002B1D6D">
              <w:t>Methods</w:t>
            </w:r>
          </w:p>
        </w:tc>
      </w:tr>
      <w:tr w:rsidR="008A5159" w:rsidRPr="002B1D6D" w14:paraId="4C1D4576" w14:textId="77777777" w:rsidTr="007B1F94">
        <w:sdt>
          <w:sdtPr>
            <w:rPr>
              <w:rFonts w:eastAsiaTheme="minorEastAsia"/>
              <w:lang w:val="en-NZ" w:eastAsia="zh-CN" w:bidi="th-TH"/>
            </w:rPr>
            <w:id w:val="-1198392440"/>
            <w:placeholder>
              <w:docPart w:val="BBCDFBBDB01148A29DE9957E54D6C4A5"/>
            </w:placeholder>
            <w:text/>
          </w:sdtPr>
          <w:sdtEndPr/>
          <w:sdtContent>
            <w:tc>
              <w:tcPr>
                <w:tcW w:w="9638" w:type="dxa"/>
                <w:shd w:val="clear" w:color="auto" w:fill="auto"/>
              </w:tcPr>
              <w:p w14:paraId="4ACA409B" w14:textId="3E0E3085" w:rsidR="008A5159" w:rsidRPr="002B1D6D" w:rsidRDefault="00792DE0" w:rsidP="009A09C6">
                <w:pPr>
                  <w:rPr>
                    <w:rFonts w:ascii="Calibri" w:hAnsi="Calibri" w:cs="Arial"/>
                  </w:rPr>
                </w:pPr>
                <w:r w:rsidRPr="00792DE0">
                  <w:rPr>
                    <w:rFonts w:eastAsiaTheme="minorEastAsia"/>
                    <w:lang w:val="en-NZ" w:eastAsia="zh-CN" w:bidi="th-TH"/>
                  </w:rPr>
                  <w:t>Initially, to review the feasibility of a single dose protocol we audited 200 randomly selected heparin infusion charts from Adult Health wards in 2019 and made recommendations for changes to the protocol. We then engaged with prescribers in areas that were high users of heparin to test the acceptability of the proposed change and get them on board. The audit was repeated 6 months after implementation.</w:t>
                </w:r>
              </w:p>
            </w:tc>
          </w:sdtContent>
        </w:sdt>
      </w:tr>
      <w:tr w:rsidR="008A5159" w:rsidRPr="002B1D6D" w14:paraId="586C9A23" w14:textId="77777777" w:rsidTr="007B1F94">
        <w:tc>
          <w:tcPr>
            <w:tcW w:w="9638" w:type="dxa"/>
            <w:shd w:val="clear" w:color="auto" w:fill="auto"/>
          </w:tcPr>
          <w:p w14:paraId="19FEA0D4" w14:textId="77777777" w:rsidR="008A5159" w:rsidRPr="002B1D6D" w:rsidRDefault="008A5159" w:rsidP="009A09C6">
            <w:pPr>
              <w:pStyle w:val="Heading1"/>
            </w:pPr>
            <w:r w:rsidRPr="002B1D6D">
              <w:t>Measurement of improvement</w:t>
            </w:r>
          </w:p>
        </w:tc>
      </w:tr>
      <w:tr w:rsidR="008A5159" w:rsidRPr="002B1D6D" w14:paraId="25BC6766" w14:textId="77777777" w:rsidTr="007B1F94">
        <w:sdt>
          <w:sdtPr>
            <w:rPr>
              <w:rFonts w:eastAsiaTheme="minorEastAsia"/>
              <w:lang w:val="en-NZ" w:eastAsia="zh-CN" w:bidi="th-TH"/>
            </w:rPr>
            <w:id w:val="-162701316"/>
            <w:placeholder>
              <w:docPart w:val="DC58A9DACBB04454B778F1AEFF0DE90D"/>
            </w:placeholder>
            <w:text/>
          </w:sdtPr>
          <w:sdtEndPr/>
          <w:sdtContent>
            <w:tc>
              <w:tcPr>
                <w:tcW w:w="9638" w:type="dxa"/>
                <w:shd w:val="clear" w:color="auto" w:fill="auto"/>
              </w:tcPr>
              <w:p w14:paraId="59622899" w14:textId="02300171" w:rsidR="008A5159" w:rsidRPr="002B1D6D" w:rsidRDefault="00792DE0" w:rsidP="009A09C6">
                <w:pPr>
                  <w:rPr>
                    <w:rFonts w:ascii="Calibri" w:hAnsi="Calibri" w:cs="Arial"/>
                  </w:rPr>
                </w:pPr>
                <w:r w:rsidRPr="00792DE0">
                  <w:rPr>
                    <w:rFonts w:eastAsiaTheme="minorEastAsia"/>
                    <w:lang w:val="en-NZ" w:eastAsia="zh-CN" w:bidi="th-TH"/>
                  </w:rPr>
                  <w:t>Loading dose and top up doses given, time to therapeutic APTT and APTT result at 6 hours post infusion commencement.</w:t>
                </w:r>
              </w:p>
            </w:tc>
          </w:sdtContent>
        </w:sdt>
      </w:tr>
      <w:tr w:rsidR="008A5159" w:rsidRPr="002B1D6D" w14:paraId="32EA01AF" w14:textId="77777777" w:rsidTr="007B1F94">
        <w:tc>
          <w:tcPr>
            <w:tcW w:w="9638" w:type="dxa"/>
            <w:shd w:val="clear" w:color="auto" w:fill="auto"/>
          </w:tcPr>
          <w:p w14:paraId="47D78A86" w14:textId="77777777" w:rsidR="008A5159" w:rsidRPr="002B1D6D" w:rsidRDefault="008A5159" w:rsidP="009A09C6">
            <w:pPr>
              <w:pStyle w:val="Heading1"/>
            </w:pPr>
            <w:r w:rsidRPr="002B1D6D">
              <w:t>Effects of changes</w:t>
            </w:r>
          </w:p>
        </w:tc>
      </w:tr>
      <w:tr w:rsidR="008A5159" w:rsidRPr="002B1D6D" w14:paraId="3F92CFF3" w14:textId="77777777" w:rsidTr="007B1F94">
        <w:sdt>
          <w:sdtPr>
            <w:rPr>
              <w:rFonts w:eastAsiaTheme="minorEastAsia"/>
              <w:lang w:val="en-NZ" w:eastAsia="zh-CN" w:bidi="th-TH"/>
            </w:rPr>
            <w:id w:val="-1909149053"/>
            <w:placeholder>
              <w:docPart w:val="2BDE151E566C4EAA8A460336B2D0FFAE"/>
            </w:placeholder>
            <w:text/>
          </w:sdtPr>
          <w:sdtEndPr/>
          <w:sdtContent>
            <w:tc>
              <w:tcPr>
                <w:tcW w:w="9638" w:type="dxa"/>
                <w:shd w:val="clear" w:color="auto" w:fill="auto"/>
              </w:tcPr>
              <w:p w14:paraId="564F6998" w14:textId="0367FF06" w:rsidR="008A5159" w:rsidRPr="002B1D6D" w:rsidRDefault="00792DE0" w:rsidP="009A09C6">
                <w:pPr>
                  <w:rPr>
                    <w:rFonts w:ascii="Calibri" w:hAnsi="Calibri" w:cs="Arial"/>
                  </w:rPr>
                </w:pPr>
                <w:r w:rsidRPr="00792DE0">
                  <w:rPr>
                    <w:rFonts w:eastAsiaTheme="minorEastAsia"/>
                    <w:lang w:val="en-NZ" w:eastAsia="zh-CN" w:bidi="th-TH"/>
                  </w:rPr>
                  <w:t>The initial feasibility audit indicated the high dose protocol could be removed. Following this change, comparison with post implementation data showed that the time to therapeutic APTT had not increased and fewer patients had a supra-therapeutic APTT at 6 hours. This indicated that the removal of the high dose protocol had not compromised safety of any cohort of patient. The introduction of a single protocol has been well received and no adverse events involving heparin have been reported since this change was made.</w:t>
                </w:r>
              </w:p>
            </w:tc>
          </w:sdtContent>
        </w:sdt>
      </w:tr>
      <w:tr w:rsidR="008A5159" w:rsidRPr="002B1D6D" w14:paraId="08CABB39" w14:textId="77777777" w:rsidTr="007B1F94">
        <w:tc>
          <w:tcPr>
            <w:tcW w:w="9638" w:type="dxa"/>
            <w:shd w:val="clear" w:color="auto" w:fill="auto"/>
          </w:tcPr>
          <w:p w14:paraId="7E406E0C" w14:textId="77777777" w:rsidR="008A5159" w:rsidRPr="002B1D6D" w:rsidRDefault="008A5159" w:rsidP="009A09C6">
            <w:pPr>
              <w:pStyle w:val="Heading1"/>
            </w:pPr>
            <w:r w:rsidRPr="002B1D6D">
              <w:t>Lessons learnt / implications for others</w:t>
            </w:r>
          </w:p>
        </w:tc>
      </w:tr>
      <w:tr w:rsidR="008A5159" w:rsidRPr="002B1D6D" w14:paraId="3129F686" w14:textId="77777777" w:rsidTr="007B1F94">
        <w:sdt>
          <w:sdtPr>
            <w:rPr>
              <w:rFonts w:eastAsiaTheme="minorEastAsia"/>
              <w:lang w:val="en-NZ" w:eastAsia="zh-CN" w:bidi="th-TH"/>
            </w:rPr>
            <w:id w:val="-1240940564"/>
            <w:placeholder>
              <w:docPart w:val="ABCB5673BCC54C7087FBA26830F6591C"/>
            </w:placeholder>
            <w:text/>
          </w:sdtPr>
          <w:sdtEndPr/>
          <w:sdtContent>
            <w:tc>
              <w:tcPr>
                <w:tcW w:w="9638" w:type="dxa"/>
                <w:shd w:val="clear" w:color="auto" w:fill="auto"/>
              </w:tcPr>
              <w:p w14:paraId="647D2CBB" w14:textId="2D5EF08A" w:rsidR="008A5159" w:rsidRPr="002B1D6D" w:rsidRDefault="009A714C" w:rsidP="009A09C6">
                <w:pPr>
                  <w:rPr>
                    <w:rFonts w:ascii="Calibri" w:hAnsi="Calibri" w:cs="Arial"/>
                  </w:rPr>
                </w:pPr>
                <w:r w:rsidRPr="009A714C">
                  <w:rPr>
                    <w:rFonts w:eastAsiaTheme="minorEastAsia"/>
                    <w:lang w:val="en-NZ" w:eastAsia="zh-CN" w:bidi="th-TH"/>
                  </w:rPr>
                  <w:t>We were able to rationalise heparin protocols using data driven change management. Engaging prescribers in the change of protocol ensured it was acceptable to all services and helped mitigate issues that could have arisen post-implementation. we have successfully reduced the risk of bleeding from heparin infusions without compromising the therapeutic outcome</w:t>
                </w:r>
                <w:r>
                  <w:rPr>
                    <w:rFonts w:eastAsiaTheme="minorEastAsia"/>
                    <w:lang w:val="en-NZ" w:eastAsia="zh-CN" w:bidi="th-TH"/>
                  </w:rPr>
                  <w:t>.</w:t>
                </w:r>
              </w:p>
            </w:tc>
          </w:sdtContent>
        </w:sdt>
      </w:tr>
    </w:tbl>
    <w:p w14:paraId="3848E1CD" w14:textId="77777777" w:rsidR="00F50FBD" w:rsidRPr="002B1D6D" w:rsidRDefault="00F50FBD" w:rsidP="00792DE0">
      <w:pPr>
        <w:rPr>
          <w:rFonts w:ascii="Calibri" w:hAnsi="Calibri" w:cs="Arial"/>
          <w:szCs w:val="22"/>
        </w:rPr>
      </w:pPr>
    </w:p>
    <w:sectPr w:rsidR="00F50FBD" w:rsidRPr="002B1D6D" w:rsidSect="002255B2">
      <w:pgSz w:w="11906" w:h="16838"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454DA" w14:textId="77777777" w:rsidR="00200137" w:rsidRDefault="00200137" w:rsidP="009F4D37">
      <w:r>
        <w:separator/>
      </w:r>
    </w:p>
  </w:endnote>
  <w:endnote w:type="continuationSeparator" w:id="0">
    <w:p w14:paraId="310939F9" w14:textId="77777777" w:rsidR="00200137" w:rsidRDefault="00200137" w:rsidP="009F4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09D70" w14:textId="77777777" w:rsidR="00200137" w:rsidRDefault="00200137" w:rsidP="009F4D37">
      <w:r>
        <w:separator/>
      </w:r>
    </w:p>
  </w:footnote>
  <w:footnote w:type="continuationSeparator" w:id="0">
    <w:p w14:paraId="44280CA6" w14:textId="77777777" w:rsidR="00200137" w:rsidRDefault="00200137" w:rsidP="009F4D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065092"/>
    <w:multiLevelType w:val="hybridMultilevel"/>
    <w:tmpl w:val="8D405BE0"/>
    <w:lvl w:ilvl="0" w:tplc="2872267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4ED1FBE"/>
    <w:multiLevelType w:val="hybridMultilevel"/>
    <w:tmpl w:val="A18CF420"/>
    <w:lvl w:ilvl="0" w:tplc="2B6AF646">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 w15:restartNumberingAfterBreak="0">
    <w:nsid w:val="46AD2D9A"/>
    <w:multiLevelType w:val="hybridMultilevel"/>
    <w:tmpl w:val="4186FF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57B501AB"/>
    <w:multiLevelType w:val="hybridMultilevel"/>
    <w:tmpl w:val="6ED2E7F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62CE4A17"/>
    <w:multiLevelType w:val="hybridMultilevel"/>
    <w:tmpl w:val="0D74A012"/>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num w:numId="1" w16cid:durableId="145556487">
    <w:abstractNumId w:val="2"/>
  </w:num>
  <w:num w:numId="2" w16cid:durableId="163009162">
    <w:abstractNumId w:val="3"/>
  </w:num>
  <w:num w:numId="3" w16cid:durableId="1183973451">
    <w:abstractNumId w:val="0"/>
  </w:num>
  <w:num w:numId="4" w16cid:durableId="339087970">
    <w:abstractNumId w:val="1"/>
  </w:num>
  <w:num w:numId="5" w16cid:durableId="13557637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160"/>
    <w:rsid w:val="000250AB"/>
    <w:rsid w:val="00042BD9"/>
    <w:rsid w:val="000628F4"/>
    <w:rsid w:val="00064470"/>
    <w:rsid w:val="000D4D75"/>
    <w:rsid w:val="000E5943"/>
    <w:rsid w:val="000E64DD"/>
    <w:rsid w:val="00172A11"/>
    <w:rsid w:val="00184EA1"/>
    <w:rsid w:val="001B4B1A"/>
    <w:rsid w:val="00200137"/>
    <w:rsid w:val="00201357"/>
    <w:rsid w:val="002255B2"/>
    <w:rsid w:val="002B1D6D"/>
    <w:rsid w:val="002F3920"/>
    <w:rsid w:val="00327FFA"/>
    <w:rsid w:val="00336F1D"/>
    <w:rsid w:val="00386C8F"/>
    <w:rsid w:val="003C44C9"/>
    <w:rsid w:val="00416950"/>
    <w:rsid w:val="00462442"/>
    <w:rsid w:val="004A0FED"/>
    <w:rsid w:val="00505C26"/>
    <w:rsid w:val="00507E43"/>
    <w:rsid w:val="005511D9"/>
    <w:rsid w:val="00560B20"/>
    <w:rsid w:val="005E6160"/>
    <w:rsid w:val="006548E6"/>
    <w:rsid w:val="00684A9A"/>
    <w:rsid w:val="00692638"/>
    <w:rsid w:val="00702D55"/>
    <w:rsid w:val="00726D7A"/>
    <w:rsid w:val="00792DE0"/>
    <w:rsid w:val="007B273E"/>
    <w:rsid w:val="008272D3"/>
    <w:rsid w:val="00835016"/>
    <w:rsid w:val="008448D6"/>
    <w:rsid w:val="00845DC1"/>
    <w:rsid w:val="0086520D"/>
    <w:rsid w:val="00891160"/>
    <w:rsid w:val="008A5159"/>
    <w:rsid w:val="008E6A09"/>
    <w:rsid w:val="008F4F56"/>
    <w:rsid w:val="008F6304"/>
    <w:rsid w:val="00914262"/>
    <w:rsid w:val="00924C2C"/>
    <w:rsid w:val="0099367F"/>
    <w:rsid w:val="009A00F6"/>
    <w:rsid w:val="009A09C6"/>
    <w:rsid w:val="009A714C"/>
    <w:rsid w:val="009E7345"/>
    <w:rsid w:val="009F4D37"/>
    <w:rsid w:val="00A01AF0"/>
    <w:rsid w:val="00A07396"/>
    <w:rsid w:val="00A07431"/>
    <w:rsid w:val="00A07791"/>
    <w:rsid w:val="00A23400"/>
    <w:rsid w:val="00A5612F"/>
    <w:rsid w:val="00A56777"/>
    <w:rsid w:val="00A57047"/>
    <w:rsid w:val="00A70249"/>
    <w:rsid w:val="00AA4C5F"/>
    <w:rsid w:val="00AA55D1"/>
    <w:rsid w:val="00B17985"/>
    <w:rsid w:val="00B2712F"/>
    <w:rsid w:val="00B30A9C"/>
    <w:rsid w:val="00B8553E"/>
    <w:rsid w:val="00BA2959"/>
    <w:rsid w:val="00BB0740"/>
    <w:rsid w:val="00BE1D08"/>
    <w:rsid w:val="00C06A97"/>
    <w:rsid w:val="00C113FB"/>
    <w:rsid w:val="00C35F8C"/>
    <w:rsid w:val="00C76C40"/>
    <w:rsid w:val="00CA7B98"/>
    <w:rsid w:val="00CB2524"/>
    <w:rsid w:val="00D00401"/>
    <w:rsid w:val="00D33FC1"/>
    <w:rsid w:val="00D84FF8"/>
    <w:rsid w:val="00DA5547"/>
    <w:rsid w:val="00DB39F7"/>
    <w:rsid w:val="00DE12AE"/>
    <w:rsid w:val="00E1631C"/>
    <w:rsid w:val="00E65294"/>
    <w:rsid w:val="00EA2DFC"/>
    <w:rsid w:val="00F30E8E"/>
    <w:rsid w:val="00F50FBD"/>
    <w:rsid w:val="00FD471B"/>
    <w:rsid w:val="00FE6015"/>
    <w:rsid w:val="00FF0E94"/>
  </w:rsids>
  <m:mathPr>
    <m:mathFont m:val="Cambria Math"/>
    <m:brkBin m:val="before"/>
    <m:brkBinSub m:val="--"/>
    <m:smallFrac m:val="0"/>
    <m:dispDef/>
    <m:lMargin m:val="0"/>
    <m:rMargin m:val="0"/>
    <m:defJc m:val="centerGroup"/>
    <m:wrapIndent m:val="1440"/>
    <m:intLim m:val="subSup"/>
    <m:naryLim m:val="undOvr"/>
  </m:mathPr>
  <w:themeFontLang w:val="en-NZ" w:eastAsia="zh-CN"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B498639"/>
  <w15:docId w15:val="{A956A526-DD81-44A9-AEC0-8A72FBE39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zh-CN" w:bidi="th-TH"/>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FFA"/>
    <w:pPr>
      <w:spacing w:before="120"/>
    </w:pPr>
    <w:rPr>
      <w:rFonts w:asciiTheme="minorHAnsi" w:hAnsiTheme="minorHAnsi"/>
      <w:sz w:val="22"/>
      <w:lang w:val="en-AU" w:eastAsia="en-US" w:bidi="ar-SA"/>
    </w:rPr>
  </w:style>
  <w:style w:type="paragraph" w:styleId="Heading1">
    <w:name w:val="heading 1"/>
    <w:basedOn w:val="Normal"/>
    <w:next w:val="Normal"/>
    <w:link w:val="Heading1Char"/>
    <w:qFormat/>
    <w:locked/>
    <w:rsid w:val="00DA5547"/>
    <w:pPr>
      <w:keepNext/>
      <w:keepLines/>
      <w:outlineLvl w:val="0"/>
    </w:pPr>
    <w:rPr>
      <w:rFonts w:eastAsiaTheme="majorEastAsia" w:cstheme="majorBidi"/>
      <w:b/>
      <w:color w:val="000000" w:themeColor="text1"/>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4D37"/>
    <w:pPr>
      <w:tabs>
        <w:tab w:val="center" w:pos="4513"/>
        <w:tab w:val="right" w:pos="9026"/>
      </w:tabs>
    </w:pPr>
  </w:style>
  <w:style w:type="character" w:customStyle="1" w:styleId="HeaderChar">
    <w:name w:val="Header Char"/>
    <w:link w:val="Header"/>
    <w:uiPriority w:val="99"/>
    <w:rsid w:val="009F4D37"/>
    <w:rPr>
      <w:sz w:val="20"/>
      <w:szCs w:val="20"/>
      <w:lang w:val="en-AU" w:eastAsia="en-US"/>
    </w:rPr>
  </w:style>
  <w:style w:type="paragraph" w:styleId="Footer">
    <w:name w:val="footer"/>
    <w:basedOn w:val="Normal"/>
    <w:link w:val="FooterChar"/>
    <w:uiPriority w:val="99"/>
    <w:unhideWhenUsed/>
    <w:rsid w:val="009F4D37"/>
    <w:pPr>
      <w:tabs>
        <w:tab w:val="center" w:pos="4513"/>
        <w:tab w:val="right" w:pos="9026"/>
      </w:tabs>
    </w:pPr>
  </w:style>
  <w:style w:type="character" w:customStyle="1" w:styleId="FooterChar">
    <w:name w:val="Footer Char"/>
    <w:link w:val="Footer"/>
    <w:uiPriority w:val="99"/>
    <w:rsid w:val="009F4D37"/>
    <w:rPr>
      <w:sz w:val="20"/>
      <w:szCs w:val="20"/>
      <w:lang w:val="en-AU" w:eastAsia="en-US"/>
    </w:rPr>
  </w:style>
  <w:style w:type="table" w:styleId="TableGrid">
    <w:name w:val="Table Grid"/>
    <w:basedOn w:val="TableNormal"/>
    <w:unhideWhenUsed/>
    <w:locked/>
    <w:rsid w:val="009F4D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548E6"/>
    <w:rPr>
      <w:color w:val="808080"/>
    </w:rPr>
  </w:style>
  <w:style w:type="paragraph" w:styleId="BalloonText">
    <w:name w:val="Balloon Text"/>
    <w:basedOn w:val="Normal"/>
    <w:link w:val="BalloonTextChar"/>
    <w:uiPriority w:val="99"/>
    <w:semiHidden/>
    <w:unhideWhenUsed/>
    <w:rsid w:val="00A07431"/>
    <w:rPr>
      <w:rFonts w:ascii="Tahoma" w:hAnsi="Tahoma" w:cs="Tahoma"/>
      <w:sz w:val="16"/>
      <w:szCs w:val="16"/>
    </w:rPr>
  </w:style>
  <w:style w:type="character" w:customStyle="1" w:styleId="BalloonTextChar">
    <w:name w:val="Balloon Text Char"/>
    <w:basedOn w:val="DefaultParagraphFont"/>
    <w:link w:val="BalloonText"/>
    <w:uiPriority w:val="99"/>
    <w:semiHidden/>
    <w:rsid w:val="00A07431"/>
    <w:rPr>
      <w:rFonts w:ascii="Tahoma" w:hAnsi="Tahoma" w:cs="Tahoma"/>
      <w:sz w:val="16"/>
      <w:szCs w:val="16"/>
      <w:lang w:val="en-AU" w:eastAsia="en-US" w:bidi="ar-SA"/>
    </w:rPr>
  </w:style>
  <w:style w:type="paragraph" w:styleId="ListParagraph">
    <w:name w:val="List Paragraph"/>
    <w:basedOn w:val="Normal"/>
    <w:uiPriority w:val="34"/>
    <w:qFormat/>
    <w:rsid w:val="00A07431"/>
    <w:pPr>
      <w:ind w:left="720"/>
      <w:contextualSpacing/>
    </w:pPr>
  </w:style>
  <w:style w:type="character" w:styleId="CommentReference">
    <w:name w:val="annotation reference"/>
    <w:basedOn w:val="DefaultParagraphFont"/>
    <w:uiPriority w:val="99"/>
    <w:semiHidden/>
    <w:unhideWhenUsed/>
    <w:rsid w:val="00A07431"/>
    <w:rPr>
      <w:sz w:val="16"/>
      <w:szCs w:val="16"/>
    </w:rPr>
  </w:style>
  <w:style w:type="paragraph" w:styleId="CommentText">
    <w:name w:val="annotation text"/>
    <w:basedOn w:val="Normal"/>
    <w:link w:val="CommentTextChar"/>
    <w:uiPriority w:val="99"/>
    <w:unhideWhenUsed/>
    <w:rsid w:val="00A07431"/>
  </w:style>
  <w:style w:type="character" w:customStyle="1" w:styleId="CommentTextChar">
    <w:name w:val="Comment Text Char"/>
    <w:basedOn w:val="DefaultParagraphFont"/>
    <w:link w:val="CommentText"/>
    <w:uiPriority w:val="99"/>
    <w:rsid w:val="00A07431"/>
    <w:rPr>
      <w:lang w:val="en-AU" w:eastAsia="en-US" w:bidi="ar-SA"/>
    </w:rPr>
  </w:style>
  <w:style w:type="paragraph" w:styleId="CommentSubject">
    <w:name w:val="annotation subject"/>
    <w:basedOn w:val="CommentText"/>
    <w:next w:val="CommentText"/>
    <w:link w:val="CommentSubjectChar"/>
    <w:uiPriority w:val="99"/>
    <w:semiHidden/>
    <w:unhideWhenUsed/>
    <w:rsid w:val="00A07431"/>
    <w:rPr>
      <w:b/>
      <w:bCs/>
    </w:rPr>
  </w:style>
  <w:style w:type="character" w:customStyle="1" w:styleId="CommentSubjectChar">
    <w:name w:val="Comment Subject Char"/>
    <w:basedOn w:val="CommentTextChar"/>
    <w:link w:val="CommentSubject"/>
    <w:uiPriority w:val="99"/>
    <w:semiHidden/>
    <w:rsid w:val="00A07431"/>
    <w:rPr>
      <w:b/>
      <w:bCs/>
      <w:lang w:val="en-AU" w:eastAsia="en-US" w:bidi="ar-SA"/>
    </w:rPr>
  </w:style>
  <w:style w:type="paragraph" w:customStyle="1" w:styleId="Default">
    <w:name w:val="Default"/>
    <w:rsid w:val="008A5159"/>
    <w:pPr>
      <w:autoSpaceDE w:val="0"/>
      <w:autoSpaceDN w:val="0"/>
      <w:adjustRightInd w:val="0"/>
    </w:pPr>
    <w:rPr>
      <w:rFonts w:ascii="Calibri" w:eastAsiaTheme="minorEastAsia" w:hAnsi="Calibri" w:cs="Calibri"/>
      <w:color w:val="000000"/>
      <w:sz w:val="24"/>
      <w:szCs w:val="24"/>
    </w:rPr>
  </w:style>
  <w:style w:type="character" w:styleId="Hyperlink">
    <w:name w:val="Hyperlink"/>
    <w:basedOn w:val="DefaultParagraphFont"/>
    <w:uiPriority w:val="99"/>
    <w:unhideWhenUsed/>
    <w:rsid w:val="008A5159"/>
    <w:rPr>
      <w:color w:val="0000FF" w:themeColor="hyperlink"/>
      <w:u w:val="single"/>
    </w:rPr>
  </w:style>
  <w:style w:type="character" w:styleId="UnresolvedMention">
    <w:name w:val="Unresolved Mention"/>
    <w:basedOn w:val="DefaultParagraphFont"/>
    <w:uiPriority w:val="99"/>
    <w:semiHidden/>
    <w:unhideWhenUsed/>
    <w:rsid w:val="008A5159"/>
    <w:rPr>
      <w:color w:val="605E5C"/>
      <w:shd w:val="clear" w:color="auto" w:fill="E1DFDD"/>
    </w:rPr>
  </w:style>
  <w:style w:type="paragraph" w:styleId="Title">
    <w:name w:val="Title"/>
    <w:basedOn w:val="Normal"/>
    <w:next w:val="Normal"/>
    <w:link w:val="TitleChar"/>
    <w:qFormat/>
    <w:locked/>
    <w:rsid w:val="00DA5547"/>
    <w:pPr>
      <w:contextualSpacing/>
    </w:pPr>
    <w:rPr>
      <w:rFonts w:eastAsiaTheme="majorEastAsia" w:cstheme="majorBidi"/>
      <w:b/>
      <w:spacing w:val="-10"/>
      <w:kern w:val="28"/>
      <w:sz w:val="24"/>
      <w:szCs w:val="56"/>
    </w:rPr>
  </w:style>
  <w:style w:type="character" w:customStyle="1" w:styleId="TitleChar">
    <w:name w:val="Title Char"/>
    <w:basedOn w:val="DefaultParagraphFont"/>
    <w:link w:val="Title"/>
    <w:rsid w:val="00DA5547"/>
    <w:rPr>
      <w:rFonts w:asciiTheme="minorHAnsi" w:eastAsiaTheme="majorEastAsia" w:hAnsiTheme="minorHAnsi" w:cstheme="majorBidi"/>
      <w:b/>
      <w:spacing w:val="-10"/>
      <w:kern w:val="28"/>
      <w:sz w:val="24"/>
      <w:szCs w:val="56"/>
      <w:lang w:val="en-AU" w:eastAsia="en-US" w:bidi="ar-SA"/>
    </w:rPr>
  </w:style>
  <w:style w:type="character" w:customStyle="1" w:styleId="Heading1Char">
    <w:name w:val="Heading 1 Char"/>
    <w:basedOn w:val="DefaultParagraphFont"/>
    <w:link w:val="Heading1"/>
    <w:rsid w:val="00DA5547"/>
    <w:rPr>
      <w:rFonts w:asciiTheme="minorHAnsi" w:eastAsiaTheme="majorEastAsia" w:hAnsiTheme="minorHAnsi" w:cstheme="majorBidi"/>
      <w:b/>
      <w:color w:val="000000" w:themeColor="text1"/>
      <w:sz w:val="22"/>
      <w:szCs w:val="32"/>
      <w:lang w:val="en-AU"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ohanam@adhb.govt.nz"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kbrackley@adhb.govt.n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ucy.wheeler@waitematadhb.govt.nz"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mailto:sherryn.fox@cdhb.health.n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C9853964-CA97-4A69-944D-F613553F58BB}"/>
      </w:docPartPr>
      <w:docPartBody>
        <w:p w:rsidR="00013A0E" w:rsidRDefault="008E27E8">
          <w:r w:rsidRPr="00F93A29">
            <w:rPr>
              <w:rStyle w:val="PlaceholderText"/>
            </w:rPr>
            <w:t>Click or tap here to enter text.</w:t>
          </w:r>
        </w:p>
      </w:docPartBody>
    </w:docPart>
    <w:docPart>
      <w:docPartPr>
        <w:name w:val="0BA73F0D8F6E4CF48289893CB218D362"/>
        <w:category>
          <w:name w:val="General"/>
          <w:gallery w:val="placeholder"/>
        </w:category>
        <w:types>
          <w:type w:val="bbPlcHdr"/>
        </w:types>
        <w:behaviors>
          <w:behavior w:val="content"/>
        </w:behaviors>
        <w:guid w:val="{A41AD4C2-0A69-4172-A7ED-94BA2178DB52}"/>
      </w:docPartPr>
      <w:docPartBody>
        <w:p w:rsidR="00013A0E" w:rsidRDefault="008E27E8" w:rsidP="008E27E8">
          <w:pPr>
            <w:pStyle w:val="0BA73F0D8F6E4CF48289893CB218D362"/>
          </w:pPr>
          <w:r w:rsidRPr="00F93A29">
            <w:rPr>
              <w:rStyle w:val="PlaceholderText"/>
            </w:rPr>
            <w:t>Click or tap here to enter text.</w:t>
          </w:r>
        </w:p>
      </w:docPartBody>
    </w:docPart>
    <w:docPart>
      <w:docPartPr>
        <w:name w:val="F10736F6D2CF48B5AC21933B1D866A4D"/>
        <w:category>
          <w:name w:val="General"/>
          <w:gallery w:val="placeholder"/>
        </w:category>
        <w:types>
          <w:type w:val="bbPlcHdr"/>
        </w:types>
        <w:behaviors>
          <w:behavior w:val="content"/>
        </w:behaviors>
        <w:guid w:val="{1A2684B8-A29E-407B-BEBC-B3DA5F429A99}"/>
      </w:docPartPr>
      <w:docPartBody>
        <w:p w:rsidR="00013A0E" w:rsidRDefault="008E27E8" w:rsidP="008E27E8">
          <w:pPr>
            <w:pStyle w:val="F10736F6D2CF48B5AC21933B1D866A4D"/>
          </w:pPr>
          <w:r w:rsidRPr="00F93A29">
            <w:rPr>
              <w:rStyle w:val="PlaceholderText"/>
            </w:rPr>
            <w:t>Click or tap here to enter text.</w:t>
          </w:r>
        </w:p>
      </w:docPartBody>
    </w:docPart>
    <w:docPart>
      <w:docPartPr>
        <w:name w:val="F2ACA668970C45229200D4ED44B8EEF9"/>
        <w:category>
          <w:name w:val="General"/>
          <w:gallery w:val="placeholder"/>
        </w:category>
        <w:types>
          <w:type w:val="bbPlcHdr"/>
        </w:types>
        <w:behaviors>
          <w:behavior w:val="content"/>
        </w:behaviors>
        <w:guid w:val="{22B632CC-36F9-4A09-A53C-C13055470C5E}"/>
      </w:docPartPr>
      <w:docPartBody>
        <w:p w:rsidR="00013A0E" w:rsidRDefault="008E27E8" w:rsidP="008E27E8">
          <w:pPr>
            <w:pStyle w:val="F2ACA668970C45229200D4ED44B8EEF9"/>
          </w:pPr>
          <w:r w:rsidRPr="00F93A29">
            <w:rPr>
              <w:rStyle w:val="PlaceholderText"/>
            </w:rPr>
            <w:t>Click or tap here to enter text.</w:t>
          </w:r>
        </w:p>
      </w:docPartBody>
    </w:docPart>
    <w:docPart>
      <w:docPartPr>
        <w:name w:val="1231420C58384B75AF47AEA654CC25B3"/>
        <w:category>
          <w:name w:val="General"/>
          <w:gallery w:val="placeholder"/>
        </w:category>
        <w:types>
          <w:type w:val="bbPlcHdr"/>
        </w:types>
        <w:behaviors>
          <w:behavior w:val="content"/>
        </w:behaviors>
        <w:guid w:val="{70B8FE1E-EF85-4A51-9F6C-D6526264356B}"/>
      </w:docPartPr>
      <w:docPartBody>
        <w:p w:rsidR="00013A0E" w:rsidRDefault="008E27E8" w:rsidP="008E27E8">
          <w:pPr>
            <w:pStyle w:val="1231420C58384B75AF47AEA654CC25B3"/>
          </w:pPr>
          <w:r w:rsidRPr="00F93A29">
            <w:rPr>
              <w:rStyle w:val="PlaceholderText"/>
            </w:rPr>
            <w:t>Click or tap here to enter text.</w:t>
          </w:r>
        </w:p>
      </w:docPartBody>
    </w:docPart>
    <w:docPart>
      <w:docPartPr>
        <w:name w:val="DA3888F6AD7145E593E7F9BC99D87D6D"/>
        <w:category>
          <w:name w:val="General"/>
          <w:gallery w:val="placeholder"/>
        </w:category>
        <w:types>
          <w:type w:val="bbPlcHdr"/>
        </w:types>
        <w:behaviors>
          <w:behavior w:val="content"/>
        </w:behaviors>
        <w:guid w:val="{A2F0215F-400A-44BE-B697-46C1537851EE}"/>
      </w:docPartPr>
      <w:docPartBody>
        <w:p w:rsidR="00013A0E" w:rsidRDefault="008E27E8" w:rsidP="008E27E8">
          <w:pPr>
            <w:pStyle w:val="DA3888F6AD7145E593E7F9BC99D87D6D"/>
          </w:pPr>
          <w:r w:rsidRPr="00F93A29">
            <w:rPr>
              <w:rStyle w:val="PlaceholderText"/>
            </w:rPr>
            <w:t>Click or tap here to enter text.</w:t>
          </w:r>
        </w:p>
      </w:docPartBody>
    </w:docPart>
    <w:docPart>
      <w:docPartPr>
        <w:name w:val="5BAB3FED61364ED6B8ACB7F786670D68"/>
        <w:category>
          <w:name w:val="General"/>
          <w:gallery w:val="placeholder"/>
        </w:category>
        <w:types>
          <w:type w:val="bbPlcHdr"/>
        </w:types>
        <w:behaviors>
          <w:behavior w:val="content"/>
        </w:behaviors>
        <w:guid w:val="{7B98DAFD-334C-483C-B50E-98DE4A6777A4}"/>
      </w:docPartPr>
      <w:docPartBody>
        <w:p w:rsidR="0077364B" w:rsidRDefault="005B5BDB" w:rsidP="005B5BDB">
          <w:pPr>
            <w:pStyle w:val="5BAB3FED61364ED6B8ACB7F786670D68"/>
          </w:pPr>
          <w:r w:rsidRPr="006548E6">
            <w:rPr>
              <w:rStyle w:val="PlaceholderText"/>
              <w:rFonts w:ascii="Calibri" w:hAnsi="Calibri" w:cs="Calibri"/>
            </w:rPr>
            <w:t>Click or tap here to enter text.</w:t>
          </w:r>
        </w:p>
      </w:docPartBody>
    </w:docPart>
    <w:docPart>
      <w:docPartPr>
        <w:name w:val="6D461777B818483BBAC48BA3BBE79C0B"/>
        <w:category>
          <w:name w:val="General"/>
          <w:gallery w:val="placeholder"/>
        </w:category>
        <w:types>
          <w:type w:val="bbPlcHdr"/>
        </w:types>
        <w:behaviors>
          <w:behavior w:val="content"/>
        </w:behaviors>
        <w:guid w:val="{06B229B6-0802-4171-AE55-D1EC9548452E}"/>
      </w:docPartPr>
      <w:docPartBody>
        <w:p w:rsidR="00156189" w:rsidRDefault="00B62B86" w:rsidP="00B62B86">
          <w:pPr>
            <w:pStyle w:val="6D461777B818483BBAC48BA3BBE79C0B"/>
          </w:pPr>
          <w:r w:rsidRPr="006548E6">
            <w:rPr>
              <w:rStyle w:val="PlaceholderText"/>
              <w:rFonts w:ascii="Calibri" w:hAnsi="Calibri" w:cs="Calibri"/>
            </w:rPr>
            <w:t>Click or tap here to enter text.</w:t>
          </w:r>
        </w:p>
      </w:docPartBody>
    </w:docPart>
    <w:docPart>
      <w:docPartPr>
        <w:name w:val="7079C5F2CB1241EBB368855B0E9BD968"/>
        <w:category>
          <w:name w:val="General"/>
          <w:gallery w:val="placeholder"/>
        </w:category>
        <w:types>
          <w:type w:val="bbPlcHdr"/>
        </w:types>
        <w:behaviors>
          <w:behavior w:val="content"/>
        </w:behaviors>
        <w:guid w:val="{E103C772-E58E-43C9-9BBF-FE152DF67D22}"/>
      </w:docPartPr>
      <w:docPartBody>
        <w:p w:rsidR="00156189" w:rsidRDefault="00B62B86" w:rsidP="00B62B86">
          <w:pPr>
            <w:pStyle w:val="7079C5F2CB1241EBB368855B0E9BD968"/>
          </w:pPr>
          <w:r w:rsidRPr="00F93A29">
            <w:rPr>
              <w:rStyle w:val="PlaceholderText"/>
            </w:rPr>
            <w:t>Click or tap here to enter text.</w:t>
          </w:r>
        </w:p>
      </w:docPartBody>
    </w:docPart>
    <w:docPart>
      <w:docPartPr>
        <w:name w:val="D835256F92C64500A55A6EE5895880AB"/>
        <w:category>
          <w:name w:val="General"/>
          <w:gallery w:val="placeholder"/>
        </w:category>
        <w:types>
          <w:type w:val="bbPlcHdr"/>
        </w:types>
        <w:behaviors>
          <w:behavior w:val="content"/>
        </w:behaviors>
        <w:guid w:val="{60B0C65D-3918-4450-9655-7F8C273AC3DD}"/>
      </w:docPartPr>
      <w:docPartBody>
        <w:p w:rsidR="00156189" w:rsidRDefault="00B62B86" w:rsidP="00B62B86">
          <w:pPr>
            <w:pStyle w:val="D835256F92C64500A55A6EE5895880AB"/>
          </w:pPr>
          <w:r w:rsidRPr="00F93A29">
            <w:rPr>
              <w:rStyle w:val="PlaceholderText"/>
            </w:rPr>
            <w:t>Click or tap here to enter text.</w:t>
          </w:r>
        </w:p>
      </w:docPartBody>
    </w:docPart>
    <w:docPart>
      <w:docPartPr>
        <w:name w:val="B098BA27CE444FD9A614D1204E492855"/>
        <w:category>
          <w:name w:val="General"/>
          <w:gallery w:val="placeholder"/>
        </w:category>
        <w:types>
          <w:type w:val="bbPlcHdr"/>
        </w:types>
        <w:behaviors>
          <w:behavior w:val="content"/>
        </w:behaviors>
        <w:guid w:val="{E974CE20-2AD4-4ED8-A10A-C09EDBDBF32F}"/>
      </w:docPartPr>
      <w:docPartBody>
        <w:p w:rsidR="00156189" w:rsidRDefault="00B62B86" w:rsidP="00B62B86">
          <w:pPr>
            <w:pStyle w:val="B098BA27CE444FD9A614D1204E492855"/>
          </w:pPr>
          <w:r w:rsidRPr="00F93A29">
            <w:rPr>
              <w:rStyle w:val="PlaceholderText"/>
            </w:rPr>
            <w:t>Click or tap here to enter text.</w:t>
          </w:r>
        </w:p>
      </w:docPartBody>
    </w:docPart>
    <w:docPart>
      <w:docPartPr>
        <w:name w:val="037B2FDD2ABD438FBC22860A7110C5BF"/>
        <w:category>
          <w:name w:val="General"/>
          <w:gallery w:val="placeholder"/>
        </w:category>
        <w:types>
          <w:type w:val="bbPlcHdr"/>
        </w:types>
        <w:behaviors>
          <w:behavior w:val="content"/>
        </w:behaviors>
        <w:guid w:val="{6597E806-42C4-4949-8723-0BF4EDFA37F9}"/>
      </w:docPartPr>
      <w:docPartBody>
        <w:p w:rsidR="00156189" w:rsidRDefault="00B62B86" w:rsidP="00B62B86">
          <w:pPr>
            <w:pStyle w:val="037B2FDD2ABD438FBC22860A7110C5BF"/>
          </w:pPr>
          <w:r w:rsidRPr="00F93A29">
            <w:rPr>
              <w:rStyle w:val="PlaceholderText"/>
            </w:rPr>
            <w:t>Click or tap here to enter text.</w:t>
          </w:r>
        </w:p>
      </w:docPartBody>
    </w:docPart>
    <w:docPart>
      <w:docPartPr>
        <w:name w:val="5B4621AB5F1649E49ABB84EB6A657352"/>
        <w:category>
          <w:name w:val="General"/>
          <w:gallery w:val="placeholder"/>
        </w:category>
        <w:types>
          <w:type w:val="bbPlcHdr"/>
        </w:types>
        <w:behaviors>
          <w:behavior w:val="content"/>
        </w:behaviors>
        <w:guid w:val="{55FBB42D-EC5E-458D-801B-ED6CEECA7855}"/>
      </w:docPartPr>
      <w:docPartBody>
        <w:p w:rsidR="00156189" w:rsidRDefault="00B62B86" w:rsidP="00B62B86">
          <w:pPr>
            <w:pStyle w:val="5B4621AB5F1649E49ABB84EB6A657352"/>
          </w:pPr>
          <w:r w:rsidRPr="00F93A29">
            <w:rPr>
              <w:rStyle w:val="PlaceholderText"/>
            </w:rPr>
            <w:t>Click or tap here to enter text.</w:t>
          </w:r>
        </w:p>
      </w:docPartBody>
    </w:docPart>
    <w:docPart>
      <w:docPartPr>
        <w:name w:val="812B7F56DB334A8F87A915127DCB6F62"/>
        <w:category>
          <w:name w:val="General"/>
          <w:gallery w:val="placeholder"/>
        </w:category>
        <w:types>
          <w:type w:val="bbPlcHdr"/>
        </w:types>
        <w:behaviors>
          <w:behavior w:val="content"/>
        </w:behaviors>
        <w:guid w:val="{853CF11D-FB48-4C31-8ACE-024F0525C32E}"/>
      </w:docPartPr>
      <w:docPartBody>
        <w:p w:rsidR="00156189" w:rsidRDefault="00B62B86" w:rsidP="00B62B86">
          <w:pPr>
            <w:pStyle w:val="812B7F56DB334A8F87A915127DCB6F62"/>
          </w:pPr>
          <w:r w:rsidRPr="00F93A29">
            <w:rPr>
              <w:rStyle w:val="PlaceholderText"/>
            </w:rPr>
            <w:t>Click or tap here to enter text.</w:t>
          </w:r>
        </w:p>
      </w:docPartBody>
    </w:docPart>
    <w:docPart>
      <w:docPartPr>
        <w:name w:val="E2CC6A4D47B848ACB109384ECE6A30C5"/>
        <w:category>
          <w:name w:val="General"/>
          <w:gallery w:val="placeholder"/>
        </w:category>
        <w:types>
          <w:type w:val="bbPlcHdr"/>
        </w:types>
        <w:behaviors>
          <w:behavior w:val="content"/>
        </w:behaviors>
        <w:guid w:val="{07F19648-B875-46A9-89F2-17C1A10C6108}"/>
      </w:docPartPr>
      <w:docPartBody>
        <w:p w:rsidR="00156189" w:rsidRDefault="00B62B86" w:rsidP="00B62B86">
          <w:pPr>
            <w:pStyle w:val="E2CC6A4D47B848ACB109384ECE6A30C5"/>
          </w:pPr>
          <w:r w:rsidRPr="006548E6">
            <w:rPr>
              <w:rStyle w:val="PlaceholderText"/>
              <w:rFonts w:ascii="Calibri" w:hAnsi="Calibri" w:cs="Calibri"/>
            </w:rPr>
            <w:t>Click or tap here to enter text.</w:t>
          </w:r>
        </w:p>
      </w:docPartBody>
    </w:docPart>
    <w:docPart>
      <w:docPartPr>
        <w:name w:val="FFD3A0BAD63F4C6DB9D9DB2C474BC00F"/>
        <w:category>
          <w:name w:val="General"/>
          <w:gallery w:val="placeholder"/>
        </w:category>
        <w:types>
          <w:type w:val="bbPlcHdr"/>
        </w:types>
        <w:behaviors>
          <w:behavior w:val="content"/>
        </w:behaviors>
        <w:guid w:val="{2754BEA4-DB39-4EE9-B801-D52A9293378C}"/>
      </w:docPartPr>
      <w:docPartBody>
        <w:p w:rsidR="00156189" w:rsidRDefault="00B62B86" w:rsidP="00B62B86">
          <w:pPr>
            <w:pStyle w:val="FFD3A0BAD63F4C6DB9D9DB2C474BC00F"/>
          </w:pPr>
          <w:r w:rsidRPr="00F93A29">
            <w:rPr>
              <w:rStyle w:val="PlaceholderText"/>
            </w:rPr>
            <w:t>Click or tap here to enter text.</w:t>
          </w:r>
        </w:p>
      </w:docPartBody>
    </w:docPart>
    <w:docPart>
      <w:docPartPr>
        <w:name w:val="331A6F4306D84EAEB344E0C672930D5A"/>
        <w:category>
          <w:name w:val="General"/>
          <w:gallery w:val="placeholder"/>
        </w:category>
        <w:types>
          <w:type w:val="bbPlcHdr"/>
        </w:types>
        <w:behaviors>
          <w:behavior w:val="content"/>
        </w:behaviors>
        <w:guid w:val="{DAE1BDA0-2365-47FF-A825-55D4C69D8A65}"/>
      </w:docPartPr>
      <w:docPartBody>
        <w:p w:rsidR="00156189" w:rsidRDefault="00B62B86" w:rsidP="00B62B86">
          <w:pPr>
            <w:pStyle w:val="331A6F4306D84EAEB344E0C672930D5A"/>
          </w:pPr>
          <w:r w:rsidRPr="00F93A29">
            <w:rPr>
              <w:rStyle w:val="PlaceholderText"/>
            </w:rPr>
            <w:t>Click or tap here to enter text.</w:t>
          </w:r>
        </w:p>
      </w:docPartBody>
    </w:docPart>
    <w:docPart>
      <w:docPartPr>
        <w:name w:val="209D983A49784C34B152BAF11A494326"/>
        <w:category>
          <w:name w:val="General"/>
          <w:gallery w:val="placeholder"/>
        </w:category>
        <w:types>
          <w:type w:val="bbPlcHdr"/>
        </w:types>
        <w:behaviors>
          <w:behavior w:val="content"/>
        </w:behaviors>
        <w:guid w:val="{F3F44C88-32E0-4CF0-8D3D-EF97E92559E6}"/>
      </w:docPartPr>
      <w:docPartBody>
        <w:p w:rsidR="00156189" w:rsidRDefault="00B62B86" w:rsidP="00B62B86">
          <w:pPr>
            <w:pStyle w:val="209D983A49784C34B152BAF11A494326"/>
          </w:pPr>
          <w:r w:rsidRPr="00F93A29">
            <w:rPr>
              <w:rStyle w:val="PlaceholderText"/>
            </w:rPr>
            <w:t>Click or tap here to enter text.</w:t>
          </w:r>
        </w:p>
      </w:docPartBody>
    </w:docPart>
    <w:docPart>
      <w:docPartPr>
        <w:name w:val="24BE6813C8E446F1A36B85126747605E"/>
        <w:category>
          <w:name w:val="General"/>
          <w:gallery w:val="placeholder"/>
        </w:category>
        <w:types>
          <w:type w:val="bbPlcHdr"/>
        </w:types>
        <w:behaviors>
          <w:behavior w:val="content"/>
        </w:behaviors>
        <w:guid w:val="{DA4D9C3B-FEE8-4856-88D7-4A50459DD515}"/>
      </w:docPartPr>
      <w:docPartBody>
        <w:p w:rsidR="00156189" w:rsidRDefault="00B62B86" w:rsidP="00B62B86">
          <w:pPr>
            <w:pStyle w:val="24BE6813C8E446F1A36B85126747605E"/>
          </w:pPr>
          <w:r w:rsidRPr="00F93A29">
            <w:rPr>
              <w:rStyle w:val="PlaceholderText"/>
            </w:rPr>
            <w:t>Click or tap here to enter text.</w:t>
          </w:r>
        </w:p>
      </w:docPartBody>
    </w:docPart>
    <w:docPart>
      <w:docPartPr>
        <w:name w:val="6215C78BFE564E3EB4E7942F78DFEEA9"/>
        <w:category>
          <w:name w:val="General"/>
          <w:gallery w:val="placeholder"/>
        </w:category>
        <w:types>
          <w:type w:val="bbPlcHdr"/>
        </w:types>
        <w:behaviors>
          <w:behavior w:val="content"/>
        </w:behaviors>
        <w:guid w:val="{B543DA2D-301C-4B88-935D-0080EC35932B}"/>
      </w:docPartPr>
      <w:docPartBody>
        <w:p w:rsidR="00156189" w:rsidRDefault="00B62B86" w:rsidP="00B62B86">
          <w:pPr>
            <w:pStyle w:val="6215C78BFE564E3EB4E7942F78DFEEA9"/>
          </w:pPr>
          <w:r w:rsidRPr="00F93A29">
            <w:rPr>
              <w:rStyle w:val="PlaceholderText"/>
            </w:rPr>
            <w:t>Click or tap here to enter text.</w:t>
          </w:r>
        </w:p>
      </w:docPartBody>
    </w:docPart>
    <w:docPart>
      <w:docPartPr>
        <w:name w:val="CBA984069D144BB6B8D493FA5D9DC036"/>
        <w:category>
          <w:name w:val="General"/>
          <w:gallery w:val="placeholder"/>
        </w:category>
        <w:types>
          <w:type w:val="bbPlcHdr"/>
        </w:types>
        <w:behaviors>
          <w:behavior w:val="content"/>
        </w:behaviors>
        <w:guid w:val="{6A3AF6EB-D0C6-48D3-A4B8-DAFA095CC7C0}"/>
      </w:docPartPr>
      <w:docPartBody>
        <w:p w:rsidR="00156189" w:rsidRDefault="00B62B86" w:rsidP="00B62B86">
          <w:pPr>
            <w:pStyle w:val="CBA984069D144BB6B8D493FA5D9DC036"/>
          </w:pPr>
          <w:r w:rsidRPr="00F93A29">
            <w:rPr>
              <w:rStyle w:val="PlaceholderText"/>
            </w:rPr>
            <w:t>Click or tap here to enter text.</w:t>
          </w:r>
        </w:p>
      </w:docPartBody>
    </w:docPart>
    <w:docPart>
      <w:docPartPr>
        <w:name w:val="3449D3DC047D4D0E88606D7A1A4CBAAE"/>
        <w:category>
          <w:name w:val="General"/>
          <w:gallery w:val="placeholder"/>
        </w:category>
        <w:types>
          <w:type w:val="bbPlcHdr"/>
        </w:types>
        <w:behaviors>
          <w:behavior w:val="content"/>
        </w:behaviors>
        <w:guid w:val="{E7541417-E1EF-4F3C-BFB5-6EC1CA079D5A}"/>
      </w:docPartPr>
      <w:docPartBody>
        <w:p w:rsidR="00156189" w:rsidRDefault="00B62B86" w:rsidP="00B62B86">
          <w:pPr>
            <w:pStyle w:val="3449D3DC047D4D0E88606D7A1A4CBAAE"/>
          </w:pPr>
          <w:r w:rsidRPr="006548E6">
            <w:rPr>
              <w:rStyle w:val="PlaceholderText"/>
              <w:rFonts w:ascii="Calibri" w:hAnsi="Calibri" w:cs="Calibri"/>
            </w:rPr>
            <w:t>Click or tap here to enter text.</w:t>
          </w:r>
        </w:p>
      </w:docPartBody>
    </w:docPart>
    <w:docPart>
      <w:docPartPr>
        <w:name w:val="9F9D1A1D635F455189C3153CD25A519B"/>
        <w:category>
          <w:name w:val="General"/>
          <w:gallery w:val="placeholder"/>
        </w:category>
        <w:types>
          <w:type w:val="bbPlcHdr"/>
        </w:types>
        <w:behaviors>
          <w:behavior w:val="content"/>
        </w:behaviors>
        <w:guid w:val="{E39E773E-8A5F-4FF2-BE89-5DF866CC6294}"/>
      </w:docPartPr>
      <w:docPartBody>
        <w:p w:rsidR="00156189" w:rsidRDefault="00B62B86" w:rsidP="00B62B86">
          <w:pPr>
            <w:pStyle w:val="9F9D1A1D635F455189C3153CD25A519B"/>
          </w:pPr>
          <w:r w:rsidRPr="00F93A29">
            <w:rPr>
              <w:rStyle w:val="PlaceholderText"/>
            </w:rPr>
            <w:t>Click or tap here to enter text.</w:t>
          </w:r>
        </w:p>
      </w:docPartBody>
    </w:docPart>
    <w:docPart>
      <w:docPartPr>
        <w:name w:val="2EB7BF6BBA8644EABD62801A51837182"/>
        <w:category>
          <w:name w:val="General"/>
          <w:gallery w:val="placeholder"/>
        </w:category>
        <w:types>
          <w:type w:val="bbPlcHdr"/>
        </w:types>
        <w:behaviors>
          <w:behavior w:val="content"/>
        </w:behaviors>
        <w:guid w:val="{B9F21C92-8DE6-4E15-946C-3E735F313B42}"/>
      </w:docPartPr>
      <w:docPartBody>
        <w:p w:rsidR="00156189" w:rsidRDefault="00B62B86" w:rsidP="00B62B86">
          <w:pPr>
            <w:pStyle w:val="2EB7BF6BBA8644EABD62801A51837182"/>
          </w:pPr>
          <w:r w:rsidRPr="00F93A29">
            <w:rPr>
              <w:rStyle w:val="PlaceholderText"/>
            </w:rPr>
            <w:t>Click or tap here to enter text.</w:t>
          </w:r>
        </w:p>
      </w:docPartBody>
    </w:docPart>
    <w:docPart>
      <w:docPartPr>
        <w:name w:val="BBCDFBBDB01148A29DE9957E54D6C4A5"/>
        <w:category>
          <w:name w:val="General"/>
          <w:gallery w:val="placeholder"/>
        </w:category>
        <w:types>
          <w:type w:val="bbPlcHdr"/>
        </w:types>
        <w:behaviors>
          <w:behavior w:val="content"/>
        </w:behaviors>
        <w:guid w:val="{90DEE931-9C4E-4DF0-8DD5-858B60B9FCCD}"/>
      </w:docPartPr>
      <w:docPartBody>
        <w:p w:rsidR="00156189" w:rsidRDefault="00B62B86" w:rsidP="00B62B86">
          <w:pPr>
            <w:pStyle w:val="BBCDFBBDB01148A29DE9957E54D6C4A5"/>
          </w:pPr>
          <w:r w:rsidRPr="00F93A29">
            <w:rPr>
              <w:rStyle w:val="PlaceholderText"/>
            </w:rPr>
            <w:t>Click or tap here to enter text.</w:t>
          </w:r>
        </w:p>
      </w:docPartBody>
    </w:docPart>
    <w:docPart>
      <w:docPartPr>
        <w:name w:val="DC58A9DACBB04454B778F1AEFF0DE90D"/>
        <w:category>
          <w:name w:val="General"/>
          <w:gallery w:val="placeholder"/>
        </w:category>
        <w:types>
          <w:type w:val="bbPlcHdr"/>
        </w:types>
        <w:behaviors>
          <w:behavior w:val="content"/>
        </w:behaviors>
        <w:guid w:val="{ADD3181A-41E3-4DBA-99FA-74FEECC2E4FD}"/>
      </w:docPartPr>
      <w:docPartBody>
        <w:p w:rsidR="00156189" w:rsidRDefault="00B62B86" w:rsidP="00B62B86">
          <w:pPr>
            <w:pStyle w:val="DC58A9DACBB04454B778F1AEFF0DE90D"/>
          </w:pPr>
          <w:r w:rsidRPr="00F93A29">
            <w:rPr>
              <w:rStyle w:val="PlaceholderText"/>
            </w:rPr>
            <w:t>Click or tap here to enter text.</w:t>
          </w:r>
        </w:p>
      </w:docPartBody>
    </w:docPart>
    <w:docPart>
      <w:docPartPr>
        <w:name w:val="2BDE151E566C4EAA8A460336B2D0FFAE"/>
        <w:category>
          <w:name w:val="General"/>
          <w:gallery w:val="placeholder"/>
        </w:category>
        <w:types>
          <w:type w:val="bbPlcHdr"/>
        </w:types>
        <w:behaviors>
          <w:behavior w:val="content"/>
        </w:behaviors>
        <w:guid w:val="{9E0A96C3-0C37-4C60-9284-A20AF9662471}"/>
      </w:docPartPr>
      <w:docPartBody>
        <w:p w:rsidR="00156189" w:rsidRDefault="00B62B86" w:rsidP="00B62B86">
          <w:pPr>
            <w:pStyle w:val="2BDE151E566C4EAA8A460336B2D0FFAE"/>
          </w:pPr>
          <w:r w:rsidRPr="00F93A29">
            <w:rPr>
              <w:rStyle w:val="PlaceholderText"/>
            </w:rPr>
            <w:t>Click or tap here to enter text.</w:t>
          </w:r>
        </w:p>
      </w:docPartBody>
    </w:docPart>
    <w:docPart>
      <w:docPartPr>
        <w:name w:val="ABCB5673BCC54C7087FBA26830F6591C"/>
        <w:category>
          <w:name w:val="General"/>
          <w:gallery w:val="placeholder"/>
        </w:category>
        <w:types>
          <w:type w:val="bbPlcHdr"/>
        </w:types>
        <w:behaviors>
          <w:behavior w:val="content"/>
        </w:behaviors>
        <w:guid w:val="{55CFC415-325F-470A-B721-1C552D9B750C}"/>
      </w:docPartPr>
      <w:docPartBody>
        <w:p w:rsidR="00156189" w:rsidRDefault="00B62B86" w:rsidP="00B62B86">
          <w:pPr>
            <w:pStyle w:val="ABCB5673BCC54C7087FBA26830F6591C"/>
          </w:pPr>
          <w:r w:rsidRPr="00F93A2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27E8"/>
    <w:rsid w:val="00013A0E"/>
    <w:rsid w:val="0001444D"/>
    <w:rsid w:val="000E64DD"/>
    <w:rsid w:val="00156189"/>
    <w:rsid w:val="00160676"/>
    <w:rsid w:val="001C0445"/>
    <w:rsid w:val="002D3538"/>
    <w:rsid w:val="002D55B2"/>
    <w:rsid w:val="004F6FE9"/>
    <w:rsid w:val="005B5BDB"/>
    <w:rsid w:val="006A6453"/>
    <w:rsid w:val="0077364B"/>
    <w:rsid w:val="008E27E8"/>
    <w:rsid w:val="00910B30"/>
    <w:rsid w:val="00B62B86"/>
    <w:rsid w:val="00ED56A6"/>
    <w:rsid w:val="00F104C4"/>
    <w:rsid w:val="00F54067"/>
  </w:rsids>
  <m:mathPr>
    <m:mathFont m:val="Cambria Math"/>
    <m:brkBin m:val="before"/>
    <m:brkBinSub m:val="--"/>
    <m:smallFrac m:val="0"/>
    <m:dispDef/>
    <m:lMargin m:val="0"/>
    <m:rMargin m:val="0"/>
    <m:defJc m:val="centerGroup"/>
    <m:wrapIndent m:val="1440"/>
    <m:intLim m:val="subSup"/>
    <m:naryLim m:val="undOvr"/>
  </m:mathPr>
  <w:themeFontLang w:val="en-NZ" w:eastAsia="zh-CN" w:bidi="th-T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8"/>
        <w:lang w:val="en-NZ" w:eastAsia="zh-CN"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2B86"/>
    <w:rPr>
      <w:color w:val="808080"/>
    </w:rPr>
  </w:style>
  <w:style w:type="paragraph" w:customStyle="1" w:styleId="0BA73F0D8F6E4CF48289893CB218D362">
    <w:name w:val="0BA73F0D8F6E4CF48289893CB218D362"/>
    <w:rsid w:val="008E27E8"/>
  </w:style>
  <w:style w:type="paragraph" w:customStyle="1" w:styleId="F10736F6D2CF48B5AC21933B1D866A4D">
    <w:name w:val="F10736F6D2CF48B5AC21933B1D866A4D"/>
    <w:rsid w:val="008E27E8"/>
  </w:style>
  <w:style w:type="paragraph" w:customStyle="1" w:styleId="F2ACA668970C45229200D4ED44B8EEF9">
    <w:name w:val="F2ACA668970C45229200D4ED44B8EEF9"/>
    <w:rsid w:val="008E27E8"/>
  </w:style>
  <w:style w:type="paragraph" w:customStyle="1" w:styleId="1231420C58384B75AF47AEA654CC25B3">
    <w:name w:val="1231420C58384B75AF47AEA654CC25B3"/>
    <w:rsid w:val="008E27E8"/>
  </w:style>
  <w:style w:type="paragraph" w:customStyle="1" w:styleId="DA3888F6AD7145E593E7F9BC99D87D6D">
    <w:name w:val="DA3888F6AD7145E593E7F9BC99D87D6D"/>
    <w:rsid w:val="008E27E8"/>
  </w:style>
  <w:style w:type="paragraph" w:customStyle="1" w:styleId="5BAB3FED61364ED6B8ACB7F786670D68">
    <w:name w:val="5BAB3FED61364ED6B8ACB7F786670D68"/>
    <w:rsid w:val="005B5BDB"/>
    <w:pPr>
      <w:spacing w:after="200" w:line="276" w:lineRule="auto"/>
    </w:pPr>
    <w:rPr>
      <w:szCs w:val="22"/>
      <w:lang w:eastAsia="en-NZ" w:bidi="ar-SA"/>
    </w:rPr>
  </w:style>
  <w:style w:type="paragraph" w:customStyle="1" w:styleId="6D461777B818483BBAC48BA3BBE79C0B">
    <w:name w:val="6D461777B818483BBAC48BA3BBE79C0B"/>
    <w:rsid w:val="00B62B86"/>
  </w:style>
  <w:style w:type="paragraph" w:customStyle="1" w:styleId="7079C5F2CB1241EBB368855B0E9BD968">
    <w:name w:val="7079C5F2CB1241EBB368855B0E9BD968"/>
    <w:rsid w:val="00B62B86"/>
  </w:style>
  <w:style w:type="paragraph" w:customStyle="1" w:styleId="D835256F92C64500A55A6EE5895880AB">
    <w:name w:val="D835256F92C64500A55A6EE5895880AB"/>
    <w:rsid w:val="00B62B86"/>
  </w:style>
  <w:style w:type="paragraph" w:customStyle="1" w:styleId="B098BA27CE444FD9A614D1204E492855">
    <w:name w:val="B098BA27CE444FD9A614D1204E492855"/>
    <w:rsid w:val="00B62B86"/>
  </w:style>
  <w:style w:type="paragraph" w:customStyle="1" w:styleId="037B2FDD2ABD438FBC22860A7110C5BF">
    <w:name w:val="037B2FDD2ABD438FBC22860A7110C5BF"/>
    <w:rsid w:val="00B62B86"/>
  </w:style>
  <w:style w:type="paragraph" w:customStyle="1" w:styleId="5B4621AB5F1649E49ABB84EB6A657352">
    <w:name w:val="5B4621AB5F1649E49ABB84EB6A657352"/>
    <w:rsid w:val="00B62B86"/>
  </w:style>
  <w:style w:type="paragraph" w:customStyle="1" w:styleId="812B7F56DB334A8F87A915127DCB6F62">
    <w:name w:val="812B7F56DB334A8F87A915127DCB6F62"/>
    <w:rsid w:val="00B62B86"/>
  </w:style>
  <w:style w:type="paragraph" w:customStyle="1" w:styleId="E2CC6A4D47B848ACB109384ECE6A30C5">
    <w:name w:val="E2CC6A4D47B848ACB109384ECE6A30C5"/>
    <w:rsid w:val="00B62B86"/>
  </w:style>
  <w:style w:type="paragraph" w:customStyle="1" w:styleId="FFD3A0BAD63F4C6DB9D9DB2C474BC00F">
    <w:name w:val="FFD3A0BAD63F4C6DB9D9DB2C474BC00F"/>
    <w:rsid w:val="00B62B86"/>
  </w:style>
  <w:style w:type="paragraph" w:customStyle="1" w:styleId="331A6F4306D84EAEB344E0C672930D5A">
    <w:name w:val="331A6F4306D84EAEB344E0C672930D5A"/>
    <w:rsid w:val="00B62B86"/>
  </w:style>
  <w:style w:type="paragraph" w:customStyle="1" w:styleId="209D983A49784C34B152BAF11A494326">
    <w:name w:val="209D983A49784C34B152BAF11A494326"/>
    <w:rsid w:val="00B62B86"/>
  </w:style>
  <w:style w:type="paragraph" w:customStyle="1" w:styleId="24BE6813C8E446F1A36B85126747605E">
    <w:name w:val="24BE6813C8E446F1A36B85126747605E"/>
    <w:rsid w:val="00B62B86"/>
  </w:style>
  <w:style w:type="paragraph" w:customStyle="1" w:styleId="6215C78BFE564E3EB4E7942F78DFEEA9">
    <w:name w:val="6215C78BFE564E3EB4E7942F78DFEEA9"/>
    <w:rsid w:val="00B62B86"/>
  </w:style>
  <w:style w:type="paragraph" w:customStyle="1" w:styleId="CBA984069D144BB6B8D493FA5D9DC036">
    <w:name w:val="CBA984069D144BB6B8D493FA5D9DC036"/>
    <w:rsid w:val="00B62B86"/>
  </w:style>
  <w:style w:type="paragraph" w:customStyle="1" w:styleId="3449D3DC047D4D0E88606D7A1A4CBAAE">
    <w:name w:val="3449D3DC047D4D0E88606D7A1A4CBAAE"/>
    <w:rsid w:val="00B62B86"/>
  </w:style>
  <w:style w:type="paragraph" w:customStyle="1" w:styleId="9F9D1A1D635F455189C3153CD25A519B">
    <w:name w:val="9F9D1A1D635F455189C3153CD25A519B"/>
    <w:rsid w:val="00B62B86"/>
  </w:style>
  <w:style w:type="paragraph" w:customStyle="1" w:styleId="2EB7BF6BBA8644EABD62801A51837182">
    <w:name w:val="2EB7BF6BBA8644EABD62801A51837182"/>
    <w:rsid w:val="00B62B86"/>
  </w:style>
  <w:style w:type="paragraph" w:customStyle="1" w:styleId="BBCDFBBDB01148A29DE9957E54D6C4A5">
    <w:name w:val="BBCDFBBDB01148A29DE9957E54D6C4A5"/>
    <w:rsid w:val="00B62B86"/>
  </w:style>
  <w:style w:type="paragraph" w:customStyle="1" w:styleId="DC58A9DACBB04454B778F1AEFF0DE90D">
    <w:name w:val="DC58A9DACBB04454B778F1AEFF0DE90D"/>
    <w:rsid w:val="00B62B86"/>
  </w:style>
  <w:style w:type="paragraph" w:customStyle="1" w:styleId="2BDE151E566C4EAA8A460336B2D0FFAE">
    <w:name w:val="2BDE151E566C4EAA8A460336B2D0FFAE"/>
    <w:rsid w:val="00B62B86"/>
  </w:style>
  <w:style w:type="paragraph" w:customStyle="1" w:styleId="ABCB5673BCC54C7087FBA26830F6591C">
    <w:name w:val="ABCB5673BCC54C7087FBA26830F6591C"/>
    <w:rsid w:val="00B62B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8378bff-0fb6-4abe-9f5d-618ace6b7864">
      <Terms xmlns="http://schemas.microsoft.com/office/infopath/2007/PartnerControls"/>
    </lcf76f155ced4ddcb4097134ff3c332f>
    <TaxCatchAll xmlns="12a27b24-33e2-437a-950a-77e3660b54f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23768BF4D48C4BAD5FDFD1EA7AB492" ma:contentTypeVersion="19" ma:contentTypeDescription="Create a new document." ma:contentTypeScope="" ma:versionID="7c40647d0734ba992409eda404c767ad">
  <xsd:schema xmlns:xsd="http://www.w3.org/2001/XMLSchema" xmlns:xs="http://www.w3.org/2001/XMLSchema" xmlns:p="http://schemas.microsoft.com/office/2006/metadata/properties" xmlns:ns2="f8378bff-0fb6-4abe-9f5d-618ace6b7864" xmlns:ns3="12a27b24-33e2-437a-950a-77e3660b54fd" targetNamespace="http://schemas.microsoft.com/office/2006/metadata/properties" ma:root="true" ma:fieldsID="a293e8311b4bd7979f5a8e5e0db0c937" ns2:_="" ns3:_="">
    <xsd:import namespace="f8378bff-0fb6-4abe-9f5d-618ace6b7864"/>
    <xsd:import namespace="12a27b24-33e2-437a-950a-77e3660b54f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378bff-0fb6-4abe-9f5d-618ace6b78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7164ac-8b15-4813-ac0b-43f98e813c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a27b24-33e2-437a-950a-77e3660b54f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e13ab4-29fa-4f14-8a8b-630cbbb407ff}" ma:internalName="TaxCatchAll" ma:showField="CatchAllData" ma:web="12a27b24-33e2-437a-950a-77e3660b54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C64E80-6ACD-4E82-981E-ED0D405DCB10}">
  <ds:schemaRefs>
    <ds:schemaRef ds:uri="http://schemas.microsoft.com/office/2006/metadata/properties"/>
    <ds:schemaRef ds:uri="http://schemas.microsoft.com/office/infopath/2007/PartnerControls"/>
    <ds:schemaRef ds:uri="f8378bff-0fb6-4abe-9f5d-618ace6b7864"/>
    <ds:schemaRef ds:uri="12a27b24-33e2-437a-950a-77e3660b54fd"/>
  </ds:schemaRefs>
</ds:datastoreItem>
</file>

<file path=customXml/itemProps2.xml><?xml version="1.0" encoding="utf-8"?>
<ds:datastoreItem xmlns:ds="http://schemas.openxmlformats.org/officeDocument/2006/customXml" ds:itemID="{0D9ED031-F1D0-4657-9DE7-363886220A3F}">
  <ds:schemaRefs>
    <ds:schemaRef ds:uri="http://schemas.microsoft.com/sharepoint/v3/contenttype/forms"/>
  </ds:schemaRefs>
</ds:datastoreItem>
</file>

<file path=customXml/itemProps3.xml><?xml version="1.0" encoding="utf-8"?>
<ds:datastoreItem xmlns:ds="http://schemas.openxmlformats.org/officeDocument/2006/customXml" ds:itemID="{D6AFA622-F7F2-4373-BCAA-47F3849EB460}"/>
</file>

<file path=docProps/app.xml><?xml version="1.0" encoding="utf-8"?>
<Properties xmlns="http://schemas.openxmlformats.org/officeDocument/2006/extended-properties" xmlns:vt="http://schemas.openxmlformats.org/officeDocument/2006/docPropsVTypes">
  <Template>Normal</Template>
  <TotalTime>1</TotalTime>
  <Pages>3</Pages>
  <Words>1470</Words>
  <Characters>8383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Type your Title here </vt:lpstr>
    </vt:vector>
  </TitlesOfParts>
  <Company>Conferences &amp; Events</Company>
  <LinksUpToDate>false</LinksUpToDate>
  <CharactersWithSpaces>9834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your Title here</dc:title>
  <dc:subject/>
  <dc:creator>Jude</dc:creator>
  <cp:keywords/>
  <dc:description/>
  <cp:lastModifiedBy>Rachelle Bertram</cp:lastModifiedBy>
  <cp:revision>2</cp:revision>
  <dcterms:created xsi:type="dcterms:W3CDTF">2025-04-09T07:59:00Z</dcterms:created>
  <dcterms:modified xsi:type="dcterms:W3CDTF">2025-04-09T07:59:00Z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0x0101000B23768BF4D48C4BAD5FDFD1EA7AB492</vt:lpwstr>
  </property>
  <property fmtid="{D5CDD505-2E9C-101B-9397-08002B2CF9AE}" pid="3" name="MediaServiceImageTags">
    <vt:lpwstr/>
  </property>
</Properties>
</file>