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563C2" w14:textId="1A6D0F1F" w:rsidR="00351008" w:rsidRDefault="00AC5ECF">
      <w:r>
        <w:t xml:space="preserve">IAEVG Conference Proposal </w:t>
      </w:r>
    </w:p>
    <w:p w14:paraId="77A46A0E" w14:textId="37A1C5A0" w:rsidR="00AC5ECF" w:rsidRDefault="00AC5ECF">
      <w:r>
        <w:t xml:space="preserve">Howard, Belinda </w:t>
      </w:r>
    </w:p>
    <w:p w14:paraId="475DFE50" w14:textId="0DF81F37" w:rsidR="00AC5ECF" w:rsidRDefault="00AC5ECF">
      <w:r>
        <w:t xml:space="preserve">PhD Candidate </w:t>
      </w:r>
    </w:p>
    <w:p w14:paraId="54BA839B" w14:textId="37A2A6F0" w:rsidR="00AC5ECF" w:rsidRDefault="00AC5ECF">
      <w:hyperlink r:id="rId5" w:history="1">
        <w:r w:rsidRPr="00A92CBA">
          <w:rPr>
            <w:rStyle w:val="Hyperlink"/>
          </w:rPr>
          <w:t>B9.johnson@hdr.qut.edu.au</w:t>
        </w:r>
      </w:hyperlink>
    </w:p>
    <w:p w14:paraId="26E0B5C3" w14:textId="5AC0D8D1" w:rsidR="00AC5ECF" w:rsidRDefault="00AC5ECF">
      <w:r>
        <w:t xml:space="preserve">Queensland University of Technology </w:t>
      </w:r>
    </w:p>
    <w:p w14:paraId="53E38312" w14:textId="08BBA8EF" w:rsidR="00AC5ECF" w:rsidRDefault="00AC5ECF">
      <w:r>
        <w:t xml:space="preserve">Howard, Belinda, QUT, PhD Candidate </w:t>
      </w:r>
    </w:p>
    <w:p w14:paraId="04CC7B41" w14:textId="77777777" w:rsidR="00AC5ECF" w:rsidRDefault="00AC5ECF"/>
    <w:p w14:paraId="4644F071" w14:textId="63360008" w:rsidR="00AC5ECF" w:rsidRDefault="00AC5ECF">
      <w:r>
        <w:t>Paper Session</w:t>
      </w:r>
    </w:p>
    <w:p w14:paraId="7E73E437" w14:textId="77777777" w:rsidR="00AC5ECF" w:rsidRPr="006B14C0" w:rsidRDefault="00AC5ECF">
      <w:pPr>
        <w:rPr>
          <w:b/>
          <w:bCs/>
        </w:rPr>
      </w:pPr>
      <w:r w:rsidRPr="006B14C0">
        <w:rPr>
          <w:b/>
          <w:bCs/>
        </w:rPr>
        <w:t xml:space="preserve">Title: </w:t>
      </w:r>
    </w:p>
    <w:p w14:paraId="4B3AACFC" w14:textId="3D10D427" w:rsidR="00AC5ECF" w:rsidRDefault="00AC5ECF">
      <w:r w:rsidRPr="00AC5ECF">
        <w:t xml:space="preserve">Fragmented Words, Fragmented Policy: Terminology Inconsistencies in Australian Career </w:t>
      </w:r>
      <w:r w:rsidR="00806FD1">
        <w:t>Education</w:t>
      </w:r>
    </w:p>
    <w:p w14:paraId="737D5869" w14:textId="70100828" w:rsidR="006B14C0" w:rsidRPr="006B14C0" w:rsidRDefault="006B14C0">
      <w:pPr>
        <w:rPr>
          <w:b/>
          <w:bCs/>
        </w:rPr>
      </w:pPr>
      <w:r w:rsidRPr="006B14C0">
        <w:rPr>
          <w:b/>
          <w:bCs/>
        </w:rPr>
        <w:t>Conference Themes:</w:t>
      </w:r>
    </w:p>
    <w:p w14:paraId="6C2059D4" w14:textId="1422CCFE" w:rsidR="006B14C0" w:rsidRPr="006B14C0" w:rsidRDefault="006B14C0" w:rsidP="006B14C0">
      <w:r w:rsidRPr="006B14C0">
        <w:t xml:space="preserve">This paper aligns with the subtheme </w:t>
      </w:r>
      <w:r w:rsidRPr="006B14C0">
        <w:rPr>
          <w:i/>
          <w:iCs/>
        </w:rPr>
        <w:t>Hiwa</w:t>
      </w:r>
      <w:r w:rsidRPr="006B14C0">
        <w:rPr>
          <w:i/>
          <w:iCs/>
        </w:rPr>
        <w:noBreakHyphen/>
      </w:r>
      <w:proofErr w:type="spellStart"/>
      <w:r w:rsidRPr="006B14C0">
        <w:rPr>
          <w:i/>
          <w:iCs/>
        </w:rPr>
        <w:t>i</w:t>
      </w:r>
      <w:proofErr w:type="spellEnd"/>
      <w:r w:rsidRPr="006B14C0">
        <w:rPr>
          <w:i/>
          <w:iCs/>
        </w:rPr>
        <w:noBreakHyphen/>
      </w:r>
      <w:proofErr w:type="spellStart"/>
      <w:r w:rsidRPr="006B14C0">
        <w:rPr>
          <w:i/>
          <w:iCs/>
        </w:rPr>
        <w:t>te</w:t>
      </w:r>
      <w:r w:rsidRPr="006B14C0">
        <w:rPr>
          <w:i/>
          <w:iCs/>
        </w:rPr>
        <w:noBreakHyphen/>
        <w:t>rangi</w:t>
      </w:r>
      <w:proofErr w:type="spellEnd"/>
      <w:r w:rsidRPr="006B14C0">
        <w:rPr>
          <w:i/>
          <w:iCs/>
        </w:rPr>
        <w:t xml:space="preserve"> </w:t>
      </w:r>
      <w:r>
        <w:rPr>
          <w:i/>
          <w:iCs/>
        </w:rPr>
        <w:t>-</w:t>
      </w:r>
      <w:r w:rsidRPr="006B14C0">
        <w:rPr>
          <w:i/>
          <w:iCs/>
        </w:rPr>
        <w:t xml:space="preserve"> Research</w:t>
      </w:r>
      <w:r w:rsidRPr="006B14C0">
        <w:t>, as it uses empirical and conceptual analysis to examine how fragmented terminology in career development policy shapes future system coherence, equity, and the capacity of education systems to support young people’s futures.</w:t>
      </w:r>
    </w:p>
    <w:p w14:paraId="0020670C" w14:textId="38C2A2B3" w:rsidR="006B14C0" w:rsidRDefault="006B14C0" w:rsidP="006B14C0">
      <w:r w:rsidRPr="006B14C0">
        <w:t xml:space="preserve">This paper also connects to </w:t>
      </w:r>
      <w:proofErr w:type="spellStart"/>
      <w:r w:rsidRPr="006B14C0">
        <w:rPr>
          <w:i/>
          <w:iCs/>
        </w:rPr>
        <w:t>Tupuānuku</w:t>
      </w:r>
      <w:proofErr w:type="spellEnd"/>
      <w:r w:rsidRPr="006B14C0">
        <w:rPr>
          <w:i/>
          <w:iCs/>
        </w:rPr>
        <w:t xml:space="preserve"> </w:t>
      </w:r>
      <w:r>
        <w:rPr>
          <w:i/>
          <w:iCs/>
        </w:rPr>
        <w:t>-</w:t>
      </w:r>
      <w:r w:rsidRPr="006B14C0">
        <w:rPr>
          <w:i/>
          <w:iCs/>
        </w:rPr>
        <w:t xml:space="preserve"> Best Practice</w:t>
      </w:r>
      <w:r w:rsidRPr="006B14C0">
        <w:t>, as it examines how consistent terminology can strengthen sustainable policy systems and support coherent, equitable career education practice.</w:t>
      </w:r>
    </w:p>
    <w:p w14:paraId="7BC18D5F" w14:textId="4F0E1708" w:rsidR="006B14C0" w:rsidRPr="006B14C0" w:rsidRDefault="006B14C0" w:rsidP="006B14C0">
      <w:pPr>
        <w:rPr>
          <w:b/>
          <w:bCs/>
        </w:rPr>
      </w:pPr>
      <w:r w:rsidRPr="006B14C0">
        <w:rPr>
          <w:b/>
          <w:bCs/>
        </w:rPr>
        <w:t xml:space="preserve">Presentation language: </w:t>
      </w:r>
    </w:p>
    <w:p w14:paraId="2A61162B" w14:textId="612B9833" w:rsidR="006B14C0" w:rsidRDefault="006B14C0" w:rsidP="006B14C0">
      <w:r>
        <w:t>English</w:t>
      </w:r>
    </w:p>
    <w:p w14:paraId="5F9BDB58" w14:textId="319CD1BE" w:rsidR="006B14C0" w:rsidRPr="006B14C0" w:rsidRDefault="006B14C0" w:rsidP="006B14C0">
      <w:pPr>
        <w:rPr>
          <w:b/>
          <w:bCs/>
          <w:i/>
          <w:iCs/>
        </w:rPr>
      </w:pPr>
      <w:r w:rsidRPr="00C47F32">
        <w:rPr>
          <w:b/>
          <w:bCs/>
          <w:i/>
          <w:iCs/>
        </w:rPr>
        <w:t>Abstract:</w:t>
      </w:r>
      <w:r w:rsidR="00840B8D">
        <w:rPr>
          <w:b/>
          <w:bCs/>
          <w:i/>
          <w:iCs/>
        </w:rPr>
        <w:t xml:space="preserve"> </w:t>
      </w:r>
    </w:p>
    <w:p w14:paraId="0C915C5F" w14:textId="77777777" w:rsidR="00E62CB2" w:rsidRPr="00D75B8B" w:rsidRDefault="00E62CB2" w:rsidP="00E62CB2">
      <w:pPr>
        <w:rPr>
          <w:b/>
          <w:bCs/>
        </w:rPr>
      </w:pPr>
      <w:r w:rsidRPr="00D75B8B">
        <w:rPr>
          <w:b/>
          <w:bCs/>
        </w:rPr>
        <w:t>Introduction</w:t>
      </w:r>
    </w:p>
    <w:p w14:paraId="3F91534C" w14:textId="4E9EF33F" w:rsidR="00E62CB2" w:rsidRDefault="00F170D8" w:rsidP="00E62CB2">
      <w:r w:rsidRPr="00F170D8">
        <w:t>Students’ access to meaningful career education</w:t>
      </w:r>
      <w:r>
        <w:t xml:space="preserve"> (CE)</w:t>
      </w:r>
      <w:r w:rsidRPr="00F170D8">
        <w:t xml:space="preserve"> varies widely</w:t>
      </w:r>
      <w:r w:rsidR="00F325C5">
        <w:t xml:space="preserve"> worldwide</w:t>
      </w:r>
      <w:r w:rsidRPr="00F170D8">
        <w:t>, influenced by the terminology systems use to define and frame it.</w:t>
      </w:r>
      <w:r w:rsidRPr="00F170D8">
        <w:t xml:space="preserve"> </w:t>
      </w:r>
      <w:r w:rsidR="00F325C5">
        <w:t>I</w:t>
      </w:r>
      <w:r w:rsidR="00E62CB2" w:rsidRPr="00D75B8B">
        <w:t>n Australia</w:t>
      </w:r>
      <w:r w:rsidR="00F325C5">
        <w:t>, CE</w:t>
      </w:r>
      <w:r w:rsidR="00E62CB2" w:rsidRPr="00D75B8B">
        <w:t xml:space="preserve"> is shaped by terminology that is used inconsistently across jurisdictions, producing </w:t>
      </w:r>
      <w:r w:rsidR="00E62CB2">
        <w:t xml:space="preserve">a </w:t>
      </w:r>
      <w:r w:rsidR="00E62CB2" w:rsidRPr="00D75B8B">
        <w:t>fragmented</w:t>
      </w:r>
      <w:r w:rsidR="00E62CB2">
        <w:t xml:space="preserve"> policy landscape</w:t>
      </w:r>
      <w:r w:rsidR="00E62CB2" w:rsidRPr="00D75B8B">
        <w:t>.</w:t>
      </w:r>
      <w:r w:rsidR="00E62CB2">
        <w:t xml:space="preserve"> T</w:t>
      </w:r>
      <w:r w:rsidR="00E62CB2" w:rsidRPr="00D75B8B">
        <w:t xml:space="preserve">erms such as </w:t>
      </w:r>
      <w:r w:rsidR="00E62CB2" w:rsidRPr="00D70A7C">
        <w:rPr>
          <w:i/>
          <w:iCs/>
        </w:rPr>
        <w:t>career education</w:t>
      </w:r>
      <w:r w:rsidR="00E62CB2" w:rsidRPr="00D75B8B">
        <w:t xml:space="preserve">, </w:t>
      </w:r>
      <w:r w:rsidR="00E62CB2" w:rsidRPr="00D70A7C">
        <w:rPr>
          <w:i/>
          <w:iCs/>
        </w:rPr>
        <w:t>transitions</w:t>
      </w:r>
      <w:r w:rsidR="00E62CB2" w:rsidRPr="00D75B8B">
        <w:t>,</w:t>
      </w:r>
      <w:r w:rsidR="00F325C5">
        <w:t xml:space="preserve"> and</w:t>
      </w:r>
      <w:r w:rsidR="00E62CB2" w:rsidRPr="00D75B8B">
        <w:t xml:space="preserve"> </w:t>
      </w:r>
      <w:r w:rsidR="00E62CB2" w:rsidRPr="00D70A7C">
        <w:rPr>
          <w:i/>
          <w:iCs/>
        </w:rPr>
        <w:t>pathways</w:t>
      </w:r>
      <w:r w:rsidR="00E62CB2">
        <w:t xml:space="preserve"> </w:t>
      </w:r>
      <w:r w:rsidR="00E62CB2" w:rsidRPr="00D75B8B">
        <w:t>are used interchangeably, yet each term carries distinct assumptions and implications</w:t>
      </w:r>
      <w:r w:rsidR="00806FD1">
        <w:t xml:space="preserve"> (</w:t>
      </w:r>
      <w:r w:rsidR="00806FD1" w:rsidRPr="00927EDD">
        <w:t>McCarthy and Borbély-Pecze</w:t>
      </w:r>
      <w:r w:rsidR="00806FD1">
        <w:t xml:space="preserve">, </w:t>
      </w:r>
      <w:r w:rsidR="00806FD1" w:rsidRPr="00927EDD">
        <w:t>2020</w:t>
      </w:r>
      <w:r w:rsidR="00806FD1">
        <w:t>; Bacchi, 2009)</w:t>
      </w:r>
      <w:r w:rsidR="00E62CB2" w:rsidRPr="00D75B8B">
        <w:t>. This inconsistency fragments the policy landscape, undermining coherence and complicating implementation</w:t>
      </w:r>
      <w:r w:rsidR="00F068CD">
        <w:t>,</w:t>
      </w:r>
      <w:r w:rsidR="00E62CB2" w:rsidRPr="00D75B8B">
        <w:t xml:space="preserve"> </w:t>
      </w:r>
      <w:r w:rsidR="00F068CD">
        <w:t>contributing</w:t>
      </w:r>
      <w:r w:rsidR="00E62CB2" w:rsidRPr="00D75B8B">
        <w:t xml:space="preserve"> to </w:t>
      </w:r>
      <w:r w:rsidR="00E62CB2">
        <w:t>inequitable</w:t>
      </w:r>
      <w:r w:rsidR="00E62CB2" w:rsidRPr="00D75B8B">
        <w:t xml:space="preserve"> student experiences. Drawing on a preliminary audit of </w:t>
      </w:r>
      <w:r w:rsidR="00E62CB2">
        <w:t>CE</w:t>
      </w:r>
      <w:r w:rsidR="00E62CB2" w:rsidRPr="00D75B8B">
        <w:t xml:space="preserve"> policy documents, this </w:t>
      </w:r>
      <w:r w:rsidR="0047068D">
        <w:t>Australian case study</w:t>
      </w:r>
      <w:r w:rsidR="00E62CB2" w:rsidRPr="00D75B8B">
        <w:t xml:space="preserve"> examines how inconsistent terminology functions as a structural barrier to coherent and equitable </w:t>
      </w:r>
      <w:r w:rsidR="00E62CB2">
        <w:t>CE</w:t>
      </w:r>
      <w:r w:rsidR="00E62CB2" w:rsidRPr="00D75B8B">
        <w:t xml:space="preserve"> </w:t>
      </w:r>
      <w:r w:rsidR="00E62CB2">
        <w:t>policy</w:t>
      </w:r>
      <w:r w:rsidR="00E62CB2" w:rsidRPr="00D75B8B">
        <w:t>.</w:t>
      </w:r>
      <w:r>
        <w:t xml:space="preserve"> </w:t>
      </w:r>
    </w:p>
    <w:p w14:paraId="45355995" w14:textId="77777777" w:rsidR="00E62CB2" w:rsidRPr="005C3ABB" w:rsidRDefault="00E62CB2" w:rsidP="00E62CB2">
      <w:r w:rsidRPr="005C3ABB">
        <w:rPr>
          <w:b/>
          <w:bCs/>
        </w:rPr>
        <w:t>Objectives</w:t>
      </w:r>
    </w:p>
    <w:p w14:paraId="154C92C2" w14:textId="42E69CAA" w:rsidR="00F068CD" w:rsidRDefault="00F170D8" w:rsidP="00E62CB2">
      <w:r w:rsidRPr="00F170D8">
        <w:t>This presentation examines terminology used within CE documents across Australian jurisdictions and how distinct terms reflect economic, equity</w:t>
      </w:r>
      <w:r w:rsidRPr="00F170D8">
        <w:noBreakHyphen/>
        <w:t>focused, and wellbeing</w:t>
      </w:r>
      <w:r w:rsidRPr="00F170D8">
        <w:noBreakHyphen/>
        <w:t xml:space="preserve">oriented framings. </w:t>
      </w:r>
      <w:r w:rsidR="00F068CD" w:rsidRPr="00F068CD">
        <w:t>It considers the implications of this inconsistency and explores how shared terminology could strengthen coherence and equity in CE policy, offering empirical insight into an under</w:t>
      </w:r>
      <w:r w:rsidR="00F068CD" w:rsidRPr="00F068CD">
        <w:noBreakHyphen/>
        <w:t>examined structural issue.</w:t>
      </w:r>
    </w:p>
    <w:p w14:paraId="5661ADF3" w14:textId="77777777" w:rsidR="0047068D" w:rsidRDefault="0047068D" w:rsidP="00E62CB2"/>
    <w:p w14:paraId="52D45805" w14:textId="4BF8727A" w:rsidR="00E62CB2" w:rsidRPr="005C3ABB" w:rsidRDefault="00E62CB2" w:rsidP="00E62CB2">
      <w:r w:rsidRPr="00D75B8B">
        <w:rPr>
          <w:b/>
          <w:bCs/>
        </w:rPr>
        <w:lastRenderedPageBreak/>
        <w:t>Theoretical Basis</w:t>
      </w:r>
    </w:p>
    <w:p w14:paraId="37419C72" w14:textId="77777777" w:rsidR="00E62CB2" w:rsidRPr="00C11CB1" w:rsidRDefault="00E62CB2" w:rsidP="00E62CB2">
      <w:r w:rsidRPr="00C11CB1">
        <w:t xml:space="preserve">The analysis draws on two key perspectives. Ball’s (1993, 2021) view of policy as discourse shows how language constructs meaning and shapes what is recognised as legitimate practice. Bacchi’s (2009) </w:t>
      </w:r>
      <w:r w:rsidRPr="00C11CB1">
        <w:rPr>
          <w:i/>
          <w:iCs/>
        </w:rPr>
        <w:t>What’s the Problem Represented to Be?</w:t>
      </w:r>
      <w:r w:rsidRPr="00C11CB1">
        <w:t xml:space="preserve"> framework positions terminology as central to policy problems, showing how different terms </w:t>
      </w:r>
      <w:r>
        <w:t>frame</w:t>
      </w:r>
      <w:r w:rsidRPr="00C11CB1">
        <w:t xml:space="preserve"> assumptions about purpose, responsibility, and outcomes. International research further demonstrates that fragmented terminology produces fragmented practice, inconsistent expectations, and evaluation challenges (McCarthy &amp; Borbély Pecze, 2020). Together, these perspectives support understanding terminology as policy infrastructure that shapes coherence, equity, and enactment.</w:t>
      </w:r>
    </w:p>
    <w:p w14:paraId="6B1B9914" w14:textId="77777777" w:rsidR="00E62CB2" w:rsidRDefault="00E62CB2" w:rsidP="00E62CB2">
      <w:pPr>
        <w:rPr>
          <w:b/>
          <w:bCs/>
        </w:rPr>
      </w:pPr>
      <w:r w:rsidRPr="00101771">
        <w:rPr>
          <w:b/>
          <w:bCs/>
        </w:rPr>
        <w:t xml:space="preserve">Methodology </w:t>
      </w:r>
    </w:p>
    <w:p w14:paraId="1CCC820A" w14:textId="7B7CF621" w:rsidR="00E62CB2" w:rsidRPr="00D70A7C" w:rsidRDefault="00E62CB2" w:rsidP="00E62CB2">
      <w:r w:rsidRPr="00D70A7C">
        <w:t xml:space="preserve">A preliminary audit of publicly available </w:t>
      </w:r>
      <w:r>
        <w:t>CE</w:t>
      </w:r>
      <w:r w:rsidRPr="00D70A7C">
        <w:t xml:space="preserve"> policy was conducted across federal, state, and territory jurisdictions using qualitative document analysis (Morgan, 2022). Documents included curriculum frameworks, strategic plans, and guidelines. Terminology was extracted and examined using Bacchi’s (2009) approach to identify the conceptual assumptions embedded in different terms. Three conceptual clusters emerged</w:t>
      </w:r>
      <w:r>
        <w:t xml:space="preserve">: </w:t>
      </w:r>
      <w:r w:rsidRPr="00D70A7C">
        <w:t>economic/workforce, equity/access, and personal/wellbeing</w:t>
      </w:r>
      <w:r>
        <w:t xml:space="preserve">. These </w:t>
      </w:r>
      <w:r w:rsidRPr="00D70A7C">
        <w:t xml:space="preserve">were mapped across jurisdictions to identify divergence and overlap. </w:t>
      </w:r>
      <w:r w:rsidR="00F170D8" w:rsidRPr="00F170D8">
        <w:t>This preliminary audit forms the foundation for a deeper doctoral</w:t>
      </w:r>
      <w:r w:rsidR="00F170D8" w:rsidRPr="00F170D8">
        <w:noBreakHyphen/>
        <w:t>level analysis currently underway, contributing conceptual and empirical clarity to an emerging area of international research.</w:t>
      </w:r>
    </w:p>
    <w:p w14:paraId="6CA57127" w14:textId="77777777" w:rsidR="00E62CB2" w:rsidRPr="000D12A3" w:rsidRDefault="00E62CB2" w:rsidP="00E62CB2">
      <w:pPr>
        <w:rPr>
          <w:b/>
          <w:bCs/>
        </w:rPr>
      </w:pPr>
      <w:r w:rsidRPr="000D12A3">
        <w:rPr>
          <w:b/>
          <w:bCs/>
        </w:rPr>
        <w:t>Results</w:t>
      </w:r>
    </w:p>
    <w:p w14:paraId="21F2D5DD" w14:textId="1E8C8C16" w:rsidR="00E62CB2" w:rsidRDefault="00E62CB2" w:rsidP="00E62CB2">
      <w:r w:rsidRPr="000D12A3">
        <w:t>The audit revealed</w:t>
      </w:r>
      <w:r w:rsidR="0047068D">
        <w:t xml:space="preserve"> </w:t>
      </w:r>
      <w:r w:rsidR="0047068D" w:rsidRPr="000D12A3">
        <w:t>no shared national vocabulary</w:t>
      </w:r>
      <w:r w:rsidR="0047068D">
        <w:t xml:space="preserve"> and</w:t>
      </w:r>
      <w:r w:rsidRPr="000D12A3">
        <w:t xml:space="preserve"> </w:t>
      </w:r>
      <w:r w:rsidR="0047068D">
        <w:t>fragmentation</w:t>
      </w:r>
      <w:r w:rsidRPr="000D12A3">
        <w:t xml:space="preserve"> across jurisdictions</w:t>
      </w:r>
      <w:r>
        <w:t xml:space="preserve">. </w:t>
      </w:r>
      <w:r w:rsidR="0047068D">
        <w:t>T</w:t>
      </w:r>
      <w:r w:rsidRPr="000D12A3">
        <w:t>erms</w:t>
      </w:r>
      <w:r w:rsidR="00F325C5">
        <w:t xml:space="preserve"> </w:t>
      </w:r>
      <w:r w:rsidRPr="000D12A3">
        <w:t xml:space="preserve">such as </w:t>
      </w:r>
      <w:r w:rsidRPr="000D12A3">
        <w:rPr>
          <w:i/>
          <w:iCs/>
        </w:rPr>
        <w:t>pathways</w:t>
      </w:r>
      <w:r w:rsidRPr="000D12A3">
        <w:t xml:space="preserve"> and </w:t>
      </w:r>
      <w:r w:rsidRPr="000D12A3">
        <w:rPr>
          <w:i/>
          <w:iCs/>
        </w:rPr>
        <w:t>transitions</w:t>
      </w:r>
      <w:r w:rsidRPr="000D12A3">
        <w:t xml:space="preserve">, tended to reflect an economic </w:t>
      </w:r>
      <w:r>
        <w:t>framing</w:t>
      </w:r>
      <w:r w:rsidRPr="000D12A3">
        <w:t>, emphasising preparation for jobs and alignment with labour</w:t>
      </w:r>
      <w:r w:rsidRPr="000D12A3">
        <w:noBreakHyphen/>
        <w:t xml:space="preserve">market needs. Others, such as </w:t>
      </w:r>
      <w:r w:rsidRPr="000D12A3">
        <w:rPr>
          <w:i/>
          <w:iCs/>
        </w:rPr>
        <w:t>career education</w:t>
      </w:r>
      <w:r w:rsidRPr="000D12A3">
        <w:t xml:space="preserve"> or </w:t>
      </w:r>
      <w:r w:rsidRPr="000D12A3">
        <w:rPr>
          <w:i/>
          <w:iCs/>
        </w:rPr>
        <w:t>capabilities</w:t>
      </w:r>
      <w:r w:rsidRPr="000D12A3">
        <w:t xml:space="preserve">, leaned toward equity and access, supporting diverse learners and inclusive practice. A third group of terms, including </w:t>
      </w:r>
      <w:r w:rsidRPr="000D12A3">
        <w:rPr>
          <w:i/>
          <w:iCs/>
        </w:rPr>
        <w:t>identity</w:t>
      </w:r>
      <w:r w:rsidRPr="000D12A3">
        <w:t xml:space="preserve"> and </w:t>
      </w:r>
      <w:r w:rsidRPr="000D12A3">
        <w:rPr>
          <w:i/>
          <w:iCs/>
        </w:rPr>
        <w:t>agency</w:t>
      </w:r>
      <w:r w:rsidRPr="000D12A3">
        <w:t>, pointed to personal development, wellbeing, and identity formation.</w:t>
      </w:r>
      <w:r>
        <w:t xml:space="preserve"> </w:t>
      </w:r>
      <w:r w:rsidR="00F325C5">
        <w:t xml:space="preserve">Terms </w:t>
      </w:r>
      <w:r w:rsidRPr="000D12A3">
        <w:t>were used interchangeably across jurisdictions</w:t>
      </w:r>
      <w:r w:rsidR="00F325C5">
        <w:t xml:space="preserve"> carrying </w:t>
      </w:r>
      <w:r w:rsidRPr="000D12A3">
        <w:t>different assumptions and implications depending on context</w:t>
      </w:r>
      <w:r>
        <w:t xml:space="preserve"> which had </w:t>
      </w:r>
      <w:r w:rsidRPr="000D12A3">
        <w:t>direct implications for practice</w:t>
      </w:r>
      <w:r>
        <w:t xml:space="preserve">. </w:t>
      </w:r>
      <w:r w:rsidR="0047068D" w:rsidRPr="0047068D">
        <w:t>For teachers, this inconsistency creat</w:t>
      </w:r>
      <w:r w:rsidR="002A4579">
        <w:t>es</w:t>
      </w:r>
      <w:r w:rsidR="0047068D" w:rsidRPr="0047068D">
        <w:t xml:space="preserve"> uncertainty about expectations and responsibilities, especially where CE is not embedded in curriculum or is framed narrowly through </w:t>
      </w:r>
      <w:r w:rsidR="0047068D" w:rsidRPr="002A4579">
        <w:rPr>
          <w:i/>
          <w:iCs/>
        </w:rPr>
        <w:t>transitions</w:t>
      </w:r>
      <w:r w:rsidR="0047068D" w:rsidRPr="0047068D">
        <w:t xml:space="preserve"> or </w:t>
      </w:r>
      <w:r w:rsidR="0047068D" w:rsidRPr="002A4579">
        <w:rPr>
          <w:i/>
          <w:iCs/>
        </w:rPr>
        <w:t>planning</w:t>
      </w:r>
      <w:r w:rsidR="0047068D" w:rsidRPr="0047068D">
        <w:t>.</w:t>
      </w:r>
      <w:r w:rsidR="0047068D">
        <w:t xml:space="preserve"> </w:t>
      </w:r>
      <w:r w:rsidRPr="000D12A3">
        <w:t xml:space="preserve">Students experienced </w:t>
      </w:r>
      <w:r>
        <w:t>inequitable</w:t>
      </w:r>
      <w:r w:rsidRPr="000D12A3">
        <w:t xml:space="preserve"> access to </w:t>
      </w:r>
      <w:r w:rsidR="00F325C5">
        <w:t>CE</w:t>
      </w:r>
      <w:r w:rsidR="0047068D">
        <w:t xml:space="preserve"> depending on their location</w:t>
      </w:r>
      <w:r>
        <w:t xml:space="preserve"> </w:t>
      </w:r>
      <w:r w:rsidRPr="00204E1C">
        <w:t>(Austin et al., 2020;</w:t>
      </w:r>
      <w:r>
        <w:t xml:space="preserve"> </w:t>
      </w:r>
      <w:r w:rsidRPr="00204E1C">
        <w:t>National Youth Commission Australia, 2022)</w:t>
      </w:r>
      <w:r w:rsidRPr="000D12A3">
        <w:t xml:space="preserve">. </w:t>
      </w:r>
      <w:r>
        <w:t>For r</w:t>
      </w:r>
      <w:r w:rsidRPr="000D12A3">
        <w:t>esearchers</w:t>
      </w:r>
      <w:r>
        <w:t xml:space="preserve">, this inconsistency creates </w:t>
      </w:r>
      <w:r w:rsidRPr="000D12A3">
        <w:t xml:space="preserve">difficulties building </w:t>
      </w:r>
      <w:r w:rsidR="00F325C5">
        <w:t>cumulative evidence</w:t>
      </w:r>
      <w:r w:rsidRPr="000D12A3">
        <w:t xml:space="preserve"> </w:t>
      </w:r>
      <w:r>
        <w:t>with</w:t>
      </w:r>
      <w:r w:rsidRPr="000D12A3">
        <w:t xml:space="preserve"> studies us</w:t>
      </w:r>
      <w:r>
        <w:t>ing</w:t>
      </w:r>
      <w:r w:rsidRPr="000D12A3">
        <w:t xml:space="preserve"> the same terms to describe different practices and outcomes. </w:t>
      </w:r>
      <w:r w:rsidRPr="00C11CB1">
        <w:t>At the system level, fragmented terminology can obscure policy intent, weaken coherence, and complicate national alignment</w:t>
      </w:r>
      <w:r w:rsidR="0047068D">
        <w:t xml:space="preserve"> (</w:t>
      </w:r>
      <w:r w:rsidRPr="00C11CB1">
        <w:t>McCarthy and Borbély</w:t>
      </w:r>
      <w:r w:rsidRPr="00C11CB1">
        <w:noBreakHyphen/>
        <w:t>Pecze</w:t>
      </w:r>
      <w:r w:rsidR="0047068D">
        <w:t xml:space="preserve">; </w:t>
      </w:r>
      <w:r w:rsidRPr="00C11CB1">
        <w:t xml:space="preserve">2020). </w:t>
      </w:r>
      <w:r w:rsidR="00F170D8" w:rsidRPr="00F170D8">
        <w:t>These patterns highlight that terminology clarity is not only a policy concern but a foundational element of best practice in building coherent, sustainable CE systems.</w:t>
      </w:r>
    </w:p>
    <w:p w14:paraId="7C0339F3" w14:textId="77777777" w:rsidR="00E62CB2" w:rsidRDefault="00E62CB2" w:rsidP="00E62CB2">
      <w:pPr>
        <w:rPr>
          <w:b/>
          <w:bCs/>
        </w:rPr>
      </w:pPr>
      <w:r w:rsidRPr="00D8647B">
        <w:rPr>
          <w:b/>
          <w:bCs/>
        </w:rPr>
        <w:t>Conclusion</w:t>
      </w:r>
    </w:p>
    <w:p w14:paraId="22D32819" w14:textId="5EE1A2AC" w:rsidR="00E62CB2" w:rsidRPr="00D75B8B" w:rsidRDefault="00E62CB2" w:rsidP="00E62CB2">
      <w:r w:rsidRPr="00D80353">
        <w:t xml:space="preserve">Inconsistent terminology in CE policy is a structural issue with implications for coherence and equity. Fragmented language makes it difficult to establish common goals, align curriculum, evaluate outcomes, and build cumulative research. Developing shared terminology, or at minimum conceptual clarity, would strengthen policy coherence, support educators with clearer expectations, and enable more equitable access to meaningful </w:t>
      </w:r>
      <w:r w:rsidR="00F325C5">
        <w:t>CE</w:t>
      </w:r>
      <w:r w:rsidRPr="00D80353">
        <w:t xml:space="preserve">. </w:t>
      </w:r>
    </w:p>
    <w:p w14:paraId="25185D20" w14:textId="77777777" w:rsidR="00C47F32" w:rsidRDefault="00C47F32"/>
    <w:p w14:paraId="1A79A4BB" w14:textId="0A0F23DA" w:rsidR="00C47F32" w:rsidRPr="00C47F32" w:rsidRDefault="00C47F32">
      <w:pPr>
        <w:rPr>
          <w:b/>
          <w:bCs/>
        </w:rPr>
      </w:pPr>
      <w:r w:rsidRPr="00C47F32">
        <w:rPr>
          <w:b/>
          <w:bCs/>
        </w:rPr>
        <w:t>Keywords:</w:t>
      </w:r>
    </w:p>
    <w:p w14:paraId="67045102" w14:textId="38534F8D" w:rsidR="00C47F32" w:rsidRDefault="00C47F32">
      <w:r>
        <w:lastRenderedPageBreak/>
        <w:t xml:space="preserve">Career </w:t>
      </w:r>
      <w:r w:rsidR="00806FD1">
        <w:t>education</w:t>
      </w:r>
      <w:r>
        <w:t xml:space="preserve">, career </w:t>
      </w:r>
      <w:r w:rsidR="00806FD1">
        <w:t>development</w:t>
      </w:r>
      <w:r>
        <w:t>, terminology fragmentation, policy coherence, system equity</w:t>
      </w:r>
    </w:p>
    <w:p w14:paraId="0AA265A9" w14:textId="461CEBD8" w:rsidR="00AC5ECF" w:rsidRDefault="00C47F32">
      <w:pPr>
        <w:rPr>
          <w:b/>
          <w:bCs/>
        </w:rPr>
      </w:pPr>
      <w:r w:rsidRPr="00C47F32">
        <w:rPr>
          <w:b/>
          <w:bCs/>
        </w:rPr>
        <w:t xml:space="preserve">References: </w:t>
      </w:r>
    </w:p>
    <w:p w14:paraId="1801229C" w14:textId="77777777" w:rsidR="00681B6C" w:rsidRDefault="00681B6C" w:rsidP="00681B6C">
      <w:pPr>
        <w:spacing w:line="276" w:lineRule="auto"/>
        <w:ind w:left="720" w:hanging="720"/>
      </w:pPr>
      <w:r w:rsidRPr="0074227B">
        <w:t>Arthur, N., Neault, R., &amp; McMahon, M. (Eds). (2019). </w:t>
      </w:r>
      <w:r w:rsidRPr="0074227B">
        <w:rPr>
          <w:i/>
          <w:iCs/>
        </w:rPr>
        <w:t>Career theories and models at work: Ideas for practice. </w:t>
      </w:r>
      <w:r w:rsidRPr="0074227B">
        <w:t>CERIC. </w:t>
      </w:r>
    </w:p>
    <w:p w14:paraId="33F5A060" w14:textId="77777777" w:rsidR="00E604C5" w:rsidRPr="0074227B" w:rsidRDefault="00E604C5" w:rsidP="00E604C5">
      <w:pPr>
        <w:ind w:left="720" w:hanging="720"/>
      </w:pPr>
      <w:r w:rsidRPr="0074227B">
        <w:t>Austin, K., O'Shea, S., Groves, O., Lamanna, J. (2020). </w:t>
      </w:r>
      <w:r w:rsidRPr="0074227B">
        <w:rPr>
          <w:i/>
          <w:iCs/>
        </w:rPr>
        <w:t>Career development learning for students from low socioeconomic status (LSES) backgrounds</w:t>
      </w:r>
      <w:r w:rsidRPr="0074227B">
        <w:t xml:space="preserve">. </w:t>
      </w:r>
      <w:hyperlink r:id="rId6" w:history="1">
        <w:r w:rsidRPr="0074227B">
          <w:rPr>
            <w:rStyle w:val="Hyperlink"/>
          </w:rPr>
          <w:t>https://documents.uow.edu.au/content/groups/public/@web/@dvce/@in2uni/documents/doc/uow264921.pdf</w:t>
        </w:r>
      </w:hyperlink>
      <w:r w:rsidRPr="0074227B">
        <w:t xml:space="preserve"> </w:t>
      </w:r>
    </w:p>
    <w:p w14:paraId="47FC1698" w14:textId="77777777" w:rsidR="00FB07BD" w:rsidRPr="0074227B" w:rsidRDefault="00FB07BD" w:rsidP="00FB07BD">
      <w:r w:rsidRPr="0074227B">
        <w:t xml:space="preserve">Bacchi, C. (2009). </w:t>
      </w:r>
      <w:r w:rsidRPr="0074227B">
        <w:rPr>
          <w:i/>
          <w:iCs/>
        </w:rPr>
        <w:t>Analysing policy: What's the problem represented to be?</w:t>
      </w:r>
      <w:r w:rsidRPr="0074227B">
        <w:t xml:space="preserve"> Pearson Education.</w:t>
      </w:r>
    </w:p>
    <w:p w14:paraId="38526990" w14:textId="77777777" w:rsidR="007A782D" w:rsidRDefault="007A782D" w:rsidP="007A782D">
      <w:pPr>
        <w:ind w:left="720" w:hanging="720"/>
      </w:pPr>
      <w:r w:rsidRPr="0074227B">
        <w:t>Ball, S. J. (1993). WHAT IS POLICY? TEXTS, TRAJECTORIES AND TOOLBOXES. </w:t>
      </w:r>
      <w:r w:rsidRPr="0074227B">
        <w:rPr>
          <w:i/>
          <w:iCs/>
        </w:rPr>
        <w:t>Discourse: Studies in the Cultural Politics of Education</w:t>
      </w:r>
      <w:r w:rsidRPr="0074227B">
        <w:t>, </w:t>
      </w:r>
      <w:r w:rsidRPr="0074227B">
        <w:rPr>
          <w:i/>
          <w:iCs/>
        </w:rPr>
        <w:t>13</w:t>
      </w:r>
      <w:r w:rsidRPr="0074227B">
        <w:t xml:space="preserve">(2), 10–17. </w:t>
      </w:r>
      <w:hyperlink r:id="rId7" w:history="1">
        <w:r w:rsidRPr="0074227B">
          <w:rPr>
            <w:rStyle w:val="Hyperlink"/>
          </w:rPr>
          <w:t>https://doi.org/10.1080/0159630930130203</w:t>
        </w:r>
      </w:hyperlink>
    </w:p>
    <w:p w14:paraId="07F79E25" w14:textId="77777777" w:rsidR="009254A3" w:rsidRDefault="009254A3" w:rsidP="009254A3">
      <w:pPr>
        <w:ind w:left="720" w:hanging="720"/>
      </w:pPr>
      <w:r w:rsidRPr="0074227B">
        <w:t xml:space="preserve">Ball, S. J. (2021). </w:t>
      </w:r>
      <w:r w:rsidRPr="0074227B">
        <w:rPr>
          <w:i/>
          <w:iCs/>
        </w:rPr>
        <w:t>The Education Debate</w:t>
      </w:r>
      <w:r w:rsidRPr="0074227B">
        <w:t xml:space="preserve"> (4th ed.). Policy Press. </w:t>
      </w:r>
      <w:hyperlink r:id="rId8" w:history="1">
        <w:r w:rsidRPr="0074227B">
          <w:rPr>
            <w:rStyle w:val="Hyperlink"/>
          </w:rPr>
          <w:t>https://doi.org/10.2307/j.ctv201xhz5</w:t>
        </w:r>
      </w:hyperlink>
    </w:p>
    <w:p w14:paraId="43A5CD2D" w14:textId="77777777" w:rsidR="005D133B" w:rsidRDefault="005D133B" w:rsidP="005D133B">
      <w:pPr>
        <w:spacing w:line="276" w:lineRule="auto"/>
        <w:ind w:left="720" w:hanging="720"/>
      </w:pPr>
      <w:r w:rsidRPr="0074227B">
        <w:t>Davis, D. J., &amp; Braithwaite, R. J. (1990). Career education in Australian secondary schools. Sydney: Crew Consultants.</w:t>
      </w:r>
    </w:p>
    <w:p w14:paraId="62B92A57" w14:textId="77777777" w:rsidR="00CB34A5" w:rsidRDefault="00CB34A5" w:rsidP="00CB34A5">
      <w:pPr>
        <w:spacing w:line="276" w:lineRule="auto"/>
        <w:ind w:left="720" w:hanging="720"/>
        <w:rPr>
          <w:rFonts w:ascii="Calibri" w:hAnsi="Calibri" w:cs="Calibri"/>
        </w:rPr>
      </w:pPr>
      <w:r w:rsidRPr="0074227B">
        <w:rPr>
          <w:rFonts w:ascii="Calibri" w:hAnsi="Calibri" w:cs="Calibri"/>
        </w:rPr>
        <w:t>Department of Education and Training [DET]. (2019). </w:t>
      </w:r>
      <w:r w:rsidRPr="0074227B">
        <w:rPr>
          <w:rFonts w:ascii="Calibri" w:hAnsi="Calibri" w:cs="Calibri"/>
          <w:i/>
          <w:iCs/>
        </w:rPr>
        <w:t>Future ready: A student focused national career education strategy</w:t>
      </w:r>
      <w:r w:rsidRPr="0074227B">
        <w:rPr>
          <w:rFonts w:ascii="Calibri" w:hAnsi="Calibri" w:cs="Calibri"/>
        </w:rPr>
        <w:t xml:space="preserve">. </w:t>
      </w:r>
      <w:hyperlink r:id="rId9" w:history="1">
        <w:r w:rsidRPr="0074227B">
          <w:rPr>
            <w:rStyle w:val="Hyperlink"/>
            <w:rFonts w:ascii="Calibri" w:hAnsi="Calibri" w:cs="Calibri"/>
          </w:rPr>
          <w:t>https://www.dewr.gov.au/download/290/future-ready-student-focused-national-career-education-strategy/137/future-ready-student-focused-national-career-education-strategy/pdf</w:t>
        </w:r>
      </w:hyperlink>
      <w:r w:rsidRPr="0074227B">
        <w:rPr>
          <w:rFonts w:ascii="Calibri" w:hAnsi="Calibri" w:cs="Calibri"/>
        </w:rPr>
        <w:t xml:space="preserve"> </w:t>
      </w:r>
    </w:p>
    <w:p w14:paraId="1DDB3942" w14:textId="77777777" w:rsidR="008A141F" w:rsidRDefault="008A141F" w:rsidP="008A141F">
      <w:pPr>
        <w:spacing w:line="276" w:lineRule="auto"/>
        <w:ind w:left="720" w:hanging="720"/>
        <w:rPr>
          <w:rFonts w:ascii="Calibri" w:hAnsi="Calibri" w:cs="Calibri"/>
        </w:rPr>
      </w:pPr>
      <w:r w:rsidRPr="0074227B">
        <w:rPr>
          <w:rFonts w:ascii="Calibri" w:hAnsi="Calibri" w:cs="Calibri"/>
        </w:rPr>
        <w:t xml:space="preserve">Groves, O., Austin, K., O’Shea, S., &amp; Lamanna, J. (2023). ‘One student might get one opportunity and then the next student won’t get anything like that’: Inequities in Australian career education and recommendations for a fairer future. </w:t>
      </w:r>
      <w:r w:rsidRPr="0074227B">
        <w:rPr>
          <w:rFonts w:ascii="Calibri" w:hAnsi="Calibri" w:cs="Calibri"/>
          <w:i/>
          <w:iCs/>
        </w:rPr>
        <w:t> Australian Educational Researcher, 50</w:t>
      </w:r>
      <w:r w:rsidRPr="0074227B">
        <w:rPr>
          <w:rFonts w:ascii="Calibri" w:hAnsi="Calibri" w:cs="Calibri"/>
        </w:rPr>
        <w:t xml:space="preserve">(2), 519-536. </w:t>
      </w:r>
      <w:hyperlink r:id="rId10" w:history="1">
        <w:r w:rsidRPr="0074227B">
          <w:rPr>
            <w:rStyle w:val="Hyperlink"/>
            <w:rFonts w:ascii="Calibri" w:hAnsi="Calibri" w:cs="Calibri"/>
          </w:rPr>
          <w:t>https://doi.org/10.1007/s13384-021-00468-2</w:t>
        </w:r>
      </w:hyperlink>
      <w:r w:rsidRPr="0074227B">
        <w:rPr>
          <w:rFonts w:ascii="Calibri" w:hAnsi="Calibri" w:cs="Calibri"/>
        </w:rPr>
        <w:t xml:space="preserve"> </w:t>
      </w:r>
    </w:p>
    <w:p w14:paraId="2B3F1148" w14:textId="77777777" w:rsidR="00322FDC" w:rsidRPr="0074227B" w:rsidRDefault="00322FDC" w:rsidP="00322FDC">
      <w:pPr>
        <w:spacing w:line="276" w:lineRule="auto"/>
        <w:ind w:left="720" w:hanging="720"/>
      </w:pPr>
      <w:r w:rsidRPr="0074227B">
        <w:t xml:space="preserve">Keele, S. M., Swann, R., &amp; Davie-Smythe, A. (2020). Identifying best practice in career education and development in Australian secondary schools. </w:t>
      </w:r>
      <w:r w:rsidRPr="0074227B">
        <w:rPr>
          <w:i/>
          <w:iCs/>
        </w:rPr>
        <w:t>Australian Journal of Career Development</w:t>
      </w:r>
      <w:r w:rsidRPr="0074227B">
        <w:t xml:space="preserve">, </w:t>
      </w:r>
      <w:r w:rsidRPr="0074227B">
        <w:rPr>
          <w:i/>
          <w:iCs/>
        </w:rPr>
        <w:t>29</w:t>
      </w:r>
      <w:r w:rsidRPr="0074227B">
        <w:t xml:space="preserve">(1), 54–66. </w:t>
      </w:r>
      <w:hyperlink r:id="rId11" w:history="1">
        <w:r w:rsidRPr="0074227B">
          <w:rPr>
            <w:rStyle w:val="Hyperlink"/>
          </w:rPr>
          <w:t>https://doi.org/10.1177/1038416219886116</w:t>
        </w:r>
      </w:hyperlink>
    </w:p>
    <w:p w14:paraId="7D1B1930" w14:textId="65468BCD" w:rsidR="00C46AD7" w:rsidRDefault="00C46AD7" w:rsidP="00C46AD7">
      <w:pPr>
        <w:spacing w:line="276" w:lineRule="auto"/>
        <w:ind w:left="720" w:hanging="720"/>
      </w:pPr>
      <w:r w:rsidRPr="0074227B">
        <w:t xml:space="preserve">McCarthy, J., &amp; Borbély-Pecze, T. B. (2020). Career guidance: Living on the edge of public policy. In P. J. Robertson, T. Hooley, &amp; P. McCash (Eds.), </w:t>
      </w:r>
      <w:r w:rsidRPr="0074227B">
        <w:rPr>
          <w:i/>
          <w:iCs/>
        </w:rPr>
        <w:t>The Oxford Handbook of Career Development</w:t>
      </w:r>
      <w:r w:rsidRPr="0074227B">
        <w:t xml:space="preserve"> (pp. 95–112). Oxford University Press. </w:t>
      </w:r>
      <w:hyperlink r:id="rId12" w:history="1">
        <w:r w:rsidRPr="0074227B">
          <w:rPr>
            <w:rStyle w:val="Hyperlink"/>
          </w:rPr>
          <w:t>https://doi.org/10.1093/oxfordhb/9780190069704.013.8</w:t>
        </w:r>
      </w:hyperlink>
    </w:p>
    <w:p w14:paraId="1BAD0AE8" w14:textId="77777777" w:rsidR="0067392F" w:rsidRDefault="0067392F" w:rsidP="0067392F">
      <w:pPr>
        <w:spacing w:line="276" w:lineRule="auto"/>
        <w:ind w:left="720" w:hanging="720"/>
      </w:pPr>
      <w:r w:rsidRPr="0074227B">
        <w:t>McCowan, C., &amp; Hyndman, K. (1998). A career advisory system for Australia? Summary of a review. Australian Journal of Career Development, 7 (1), 35– 41.</w:t>
      </w:r>
    </w:p>
    <w:p w14:paraId="65406149" w14:textId="77777777" w:rsidR="0011126D" w:rsidRDefault="0011126D" w:rsidP="0011126D">
      <w:pPr>
        <w:spacing w:line="276" w:lineRule="auto"/>
        <w:ind w:left="720" w:hanging="720"/>
      </w:pPr>
      <w:r w:rsidRPr="0074227B">
        <w:t>McMahon, M., &amp; Tatham, P. (2008). Career: More than just a job (2nd ed.). </w:t>
      </w:r>
      <w:r w:rsidRPr="0074227B">
        <w:rPr>
          <w:i/>
          <w:iCs/>
        </w:rPr>
        <w:t>Education.au</w:t>
      </w:r>
      <w:r w:rsidRPr="0074227B">
        <w:t xml:space="preserve">. </w:t>
      </w:r>
      <w:hyperlink r:id="rId13" w:history="1">
        <w:r w:rsidRPr="0074227B">
          <w:rPr>
            <w:rStyle w:val="Hyperlink"/>
          </w:rPr>
          <w:t>https://cica.org.au/wp-content/uploads/Career-More-than-Just-a-Job-Career-Development-understandings-informing-myfuture.pdf</w:t>
        </w:r>
      </w:hyperlink>
    </w:p>
    <w:p w14:paraId="1485A0BF" w14:textId="77777777" w:rsidR="00AD32C8" w:rsidRPr="0074227B" w:rsidRDefault="00AD32C8" w:rsidP="00AD32C8">
      <w:pPr>
        <w:spacing w:line="276" w:lineRule="auto"/>
        <w:ind w:left="720" w:hanging="720"/>
        <w:rPr>
          <w:rFonts w:cstheme="minorHAnsi"/>
          <w:lang w:val="en-US"/>
        </w:rPr>
      </w:pPr>
      <w:r w:rsidRPr="0074227B">
        <w:t>Miles Morgan Australia. (2012) </w:t>
      </w:r>
      <w:r w:rsidRPr="0074227B">
        <w:rPr>
          <w:i/>
          <w:iCs/>
        </w:rPr>
        <w:t>The National Career Development Strategy research project element 1: final report</w:t>
      </w:r>
      <w:r w:rsidRPr="0074227B">
        <w:t xml:space="preserve">. </w:t>
      </w:r>
      <w:hyperlink r:id="rId14" w:history="1">
        <w:r w:rsidRPr="0074227B">
          <w:rPr>
            <w:rStyle w:val="Hyperlink"/>
          </w:rPr>
          <w:t>http://docs.education.gov.au/node/19704</w:t>
        </w:r>
      </w:hyperlink>
    </w:p>
    <w:p w14:paraId="1764FA37" w14:textId="77777777" w:rsidR="003E34E6" w:rsidRDefault="003E34E6" w:rsidP="003E34E6">
      <w:pPr>
        <w:spacing w:line="276" w:lineRule="auto"/>
        <w:ind w:left="720" w:hanging="720"/>
      </w:pPr>
      <w:r w:rsidRPr="0074227B">
        <w:rPr>
          <w:rFonts w:cstheme="minorHAnsi"/>
        </w:rPr>
        <w:t>Morgan, H. (2022). Conducting a Qualitative Document Analysis. </w:t>
      </w:r>
      <w:r w:rsidRPr="0074227B">
        <w:rPr>
          <w:rFonts w:cstheme="minorHAnsi"/>
          <w:i/>
          <w:iCs/>
        </w:rPr>
        <w:t>The Qualitative Report</w:t>
      </w:r>
      <w:r w:rsidRPr="0074227B">
        <w:rPr>
          <w:rFonts w:cstheme="minorHAnsi"/>
        </w:rPr>
        <w:t>, </w:t>
      </w:r>
      <w:r w:rsidRPr="0074227B">
        <w:rPr>
          <w:rFonts w:cstheme="minorHAnsi"/>
          <w:i/>
          <w:iCs/>
        </w:rPr>
        <w:t>27</w:t>
      </w:r>
      <w:r w:rsidRPr="0074227B">
        <w:rPr>
          <w:rFonts w:cstheme="minorHAnsi"/>
        </w:rPr>
        <w:t>(1), 64-77. </w:t>
      </w:r>
      <w:hyperlink r:id="rId15" w:history="1">
        <w:r w:rsidRPr="0074227B">
          <w:rPr>
            <w:rStyle w:val="Hyperlink"/>
            <w:rFonts w:cstheme="minorHAnsi"/>
          </w:rPr>
          <w:t>https://doi.org/10.46743/2160-3715/2022.5044</w:t>
        </w:r>
      </w:hyperlink>
      <w:r w:rsidRPr="0074227B">
        <w:t xml:space="preserve"> </w:t>
      </w:r>
    </w:p>
    <w:p w14:paraId="5F3FCB4E" w14:textId="77777777" w:rsidR="00544AA1" w:rsidRPr="0074227B" w:rsidRDefault="00544AA1" w:rsidP="00544AA1">
      <w:pPr>
        <w:spacing w:line="276" w:lineRule="auto"/>
        <w:ind w:left="720" w:hanging="720"/>
        <w:rPr>
          <w:rFonts w:cstheme="minorHAnsi"/>
        </w:rPr>
      </w:pPr>
      <w:r w:rsidRPr="0074227B">
        <w:lastRenderedPageBreak/>
        <w:t xml:space="preserve">National Youth Commission Australia [NYCA]. (2022). </w:t>
      </w:r>
      <w:r w:rsidRPr="0074227B">
        <w:rPr>
          <w:i/>
          <w:iCs/>
        </w:rPr>
        <w:t xml:space="preserve">You can’t be what you can’t see: Careers Education in Secondary Schools. </w:t>
      </w:r>
      <w:hyperlink r:id="rId16" w:history="1">
        <w:r w:rsidRPr="0074227B">
          <w:rPr>
            <w:rStyle w:val="Hyperlink"/>
          </w:rPr>
          <w:t>https://cica.org.au/wp-content/uploads/120422-Careers-Education-Paper.pdf</w:t>
        </w:r>
      </w:hyperlink>
    </w:p>
    <w:p w14:paraId="68057195" w14:textId="77777777" w:rsidR="000F3DB5" w:rsidRDefault="000F3DB5" w:rsidP="000F3DB5">
      <w:pPr>
        <w:spacing w:line="276" w:lineRule="auto"/>
        <w:ind w:left="720" w:hanging="720"/>
      </w:pPr>
      <w:r w:rsidRPr="0074227B">
        <w:t xml:space="preserve">NSW Department of Education. (2025). </w:t>
      </w:r>
      <w:r w:rsidRPr="0074227B">
        <w:rPr>
          <w:i/>
          <w:iCs/>
        </w:rPr>
        <w:t>School to Work Program: Funding guidelines</w:t>
      </w:r>
      <w:r w:rsidRPr="0074227B">
        <w:t xml:space="preserve">. </w:t>
      </w:r>
      <w:hyperlink r:id="rId17" w:history="1">
        <w:r w:rsidRPr="0074227B">
          <w:rPr>
            <w:rStyle w:val="Hyperlink"/>
          </w:rPr>
          <w:t>https://education.nsw.gov.au/content/dam/main-education/teaching-and-learning/curriculum/career-learning-and-vocational-education/school-to-work/docs/2025_School_to_Work_Funding_Guidelines_v2.pdf</w:t>
        </w:r>
      </w:hyperlink>
    </w:p>
    <w:p w14:paraId="1C522FFE" w14:textId="77777777" w:rsidR="000D4312" w:rsidRPr="0074227B" w:rsidRDefault="000D4312" w:rsidP="000D4312">
      <w:pPr>
        <w:spacing w:line="276" w:lineRule="auto"/>
        <w:ind w:left="720" w:hanging="720"/>
      </w:pPr>
      <w:r w:rsidRPr="0074227B">
        <w:t>Organisation for Economic Cooperation and Development [OECD]. (2004). </w:t>
      </w:r>
      <w:r w:rsidRPr="0074227B">
        <w:rPr>
          <w:i/>
          <w:iCs/>
        </w:rPr>
        <w:t xml:space="preserve">Career guidance and public policy: Bridging the gap.  </w:t>
      </w:r>
      <w:hyperlink r:id="rId18" w:history="1">
        <w:r w:rsidRPr="0074227B">
          <w:rPr>
            <w:rStyle w:val="Hyperlink"/>
          </w:rPr>
          <w:t>https://www.oecd.org/education/innovation-education/34050171.pdf</w:t>
        </w:r>
      </w:hyperlink>
      <w:r w:rsidRPr="0074227B">
        <w:t xml:space="preserve"> </w:t>
      </w:r>
    </w:p>
    <w:p w14:paraId="78F50EE1" w14:textId="77777777" w:rsidR="00DD5D97" w:rsidRDefault="00DD5D97" w:rsidP="00DD5D97">
      <w:pPr>
        <w:spacing w:line="276" w:lineRule="auto"/>
        <w:ind w:left="720" w:hanging="720"/>
        <w:rPr>
          <w:lang w:val="en-GB"/>
        </w:rPr>
      </w:pPr>
      <w:r w:rsidRPr="0074227B">
        <w:rPr>
          <w:lang w:val="en-GB"/>
        </w:rPr>
        <w:t xml:space="preserve">Patton, W. (2019). </w:t>
      </w:r>
      <w:r w:rsidRPr="0074227B">
        <w:rPr>
          <w:i/>
          <w:iCs/>
          <w:lang w:val="en-GB"/>
        </w:rPr>
        <w:t>Career development as a partner in national building Australia: origins, history, and foundations for the future.</w:t>
      </w:r>
      <w:r w:rsidRPr="0074227B">
        <w:rPr>
          <w:lang w:val="en-GB"/>
        </w:rPr>
        <w:t xml:space="preserve"> Brill. </w:t>
      </w:r>
    </w:p>
    <w:p w14:paraId="477A7FF7" w14:textId="77777777" w:rsidR="000F3DB5" w:rsidRPr="0074227B" w:rsidRDefault="000F3DB5" w:rsidP="000F3DB5">
      <w:pPr>
        <w:spacing w:line="276" w:lineRule="auto"/>
        <w:ind w:left="720" w:hanging="720"/>
        <w:rPr>
          <w:rFonts w:ascii="Calibri" w:hAnsi="Calibri" w:cs="Calibri"/>
        </w:rPr>
      </w:pPr>
      <w:r>
        <w:rPr>
          <w:rFonts w:ascii="Calibri" w:hAnsi="Calibri" w:cs="Calibri"/>
        </w:rPr>
        <w:t xml:space="preserve">Victorian </w:t>
      </w:r>
      <w:r w:rsidRPr="0074227B">
        <w:rPr>
          <w:rFonts w:ascii="Calibri" w:hAnsi="Calibri" w:cs="Calibri"/>
        </w:rPr>
        <w:t>Department of Education. (2021). </w:t>
      </w:r>
      <w:r w:rsidRPr="0074227B">
        <w:rPr>
          <w:rFonts w:ascii="Calibri" w:hAnsi="Calibri" w:cs="Calibri"/>
          <w:i/>
          <w:iCs/>
        </w:rPr>
        <w:t xml:space="preserve">Careers curriculum framework. </w:t>
      </w:r>
      <w:hyperlink r:id="rId19" w:history="1">
        <w:r w:rsidRPr="0074227B">
          <w:rPr>
            <w:rStyle w:val="Hyperlink"/>
            <w:rFonts w:ascii="Calibri" w:hAnsi="Calibri" w:cs="Calibri"/>
          </w:rPr>
          <w:t>https://www.education.vic.gov.au/school/teachers/teachingresources/careers/carframe/Pages/framework.aspx</w:t>
        </w:r>
      </w:hyperlink>
    </w:p>
    <w:p w14:paraId="6DC20659" w14:textId="77777777" w:rsidR="000F3DB5" w:rsidRPr="0074227B" w:rsidRDefault="000F3DB5" w:rsidP="00DD5D97">
      <w:pPr>
        <w:spacing w:line="276" w:lineRule="auto"/>
        <w:ind w:left="720" w:hanging="720"/>
        <w:rPr>
          <w:rFonts w:cstheme="minorHAnsi"/>
        </w:rPr>
      </w:pPr>
    </w:p>
    <w:p w14:paraId="5EE7AD6D" w14:textId="77777777" w:rsidR="00DD5D97" w:rsidRPr="0074227B" w:rsidRDefault="00DD5D97" w:rsidP="003E34E6">
      <w:pPr>
        <w:spacing w:line="276" w:lineRule="auto"/>
        <w:ind w:left="720" w:hanging="720"/>
      </w:pPr>
    </w:p>
    <w:p w14:paraId="56013914" w14:textId="77777777" w:rsidR="009254A3" w:rsidRDefault="009254A3" w:rsidP="007A782D">
      <w:pPr>
        <w:ind w:left="720" w:hanging="720"/>
      </w:pPr>
    </w:p>
    <w:p w14:paraId="2E33CB54" w14:textId="77777777" w:rsidR="009254A3" w:rsidRPr="0074227B" w:rsidRDefault="009254A3" w:rsidP="007A782D">
      <w:pPr>
        <w:ind w:left="720" w:hanging="720"/>
      </w:pPr>
    </w:p>
    <w:p w14:paraId="6C104A37" w14:textId="77777777" w:rsidR="00FB07BD" w:rsidRDefault="00FB07BD">
      <w:pPr>
        <w:rPr>
          <w:b/>
          <w:bCs/>
        </w:rPr>
      </w:pPr>
    </w:p>
    <w:p w14:paraId="6DDD1B0B" w14:textId="77777777" w:rsidR="00AC5ECF" w:rsidRDefault="00AC5ECF"/>
    <w:sectPr w:rsidR="00AC5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A4AE0"/>
    <w:multiLevelType w:val="multilevel"/>
    <w:tmpl w:val="4BA6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3523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ECF"/>
    <w:rsid w:val="000A55E6"/>
    <w:rsid w:val="000D4312"/>
    <w:rsid w:val="000F3DB5"/>
    <w:rsid w:val="0011126D"/>
    <w:rsid w:val="002808BD"/>
    <w:rsid w:val="002A4579"/>
    <w:rsid w:val="00322FDC"/>
    <w:rsid w:val="00351008"/>
    <w:rsid w:val="003E34E6"/>
    <w:rsid w:val="0047068D"/>
    <w:rsid w:val="004A592B"/>
    <w:rsid w:val="004C770E"/>
    <w:rsid w:val="00533325"/>
    <w:rsid w:val="00544AA1"/>
    <w:rsid w:val="00552286"/>
    <w:rsid w:val="005D133B"/>
    <w:rsid w:val="0067392F"/>
    <w:rsid w:val="00681B6C"/>
    <w:rsid w:val="006B14C0"/>
    <w:rsid w:val="006E6174"/>
    <w:rsid w:val="007A782D"/>
    <w:rsid w:val="00806FD1"/>
    <w:rsid w:val="00840B8D"/>
    <w:rsid w:val="008A141F"/>
    <w:rsid w:val="008A5C62"/>
    <w:rsid w:val="009254A3"/>
    <w:rsid w:val="00925DB5"/>
    <w:rsid w:val="00AC5ECF"/>
    <w:rsid w:val="00AD32C8"/>
    <w:rsid w:val="00C46AD7"/>
    <w:rsid w:val="00C47F32"/>
    <w:rsid w:val="00CB34A5"/>
    <w:rsid w:val="00DD5D97"/>
    <w:rsid w:val="00E604C5"/>
    <w:rsid w:val="00E62CB2"/>
    <w:rsid w:val="00E80C10"/>
    <w:rsid w:val="00F068CD"/>
    <w:rsid w:val="00F170D8"/>
    <w:rsid w:val="00F325C5"/>
    <w:rsid w:val="00FB07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A4C9F"/>
  <w15:chartTrackingRefBased/>
  <w15:docId w15:val="{C262F5B4-4226-4BD7-A73F-CA7F90C1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5E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5E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5E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5E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5E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5E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E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E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E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E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5E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5E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5E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5E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5E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5E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5E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5ECF"/>
    <w:rPr>
      <w:rFonts w:eastAsiaTheme="majorEastAsia" w:cstheme="majorBidi"/>
      <w:color w:val="272727" w:themeColor="text1" w:themeTint="D8"/>
    </w:rPr>
  </w:style>
  <w:style w:type="paragraph" w:styleId="Title">
    <w:name w:val="Title"/>
    <w:basedOn w:val="Normal"/>
    <w:next w:val="Normal"/>
    <w:link w:val="TitleChar"/>
    <w:uiPriority w:val="10"/>
    <w:qFormat/>
    <w:rsid w:val="00AC5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5E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5E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5E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ECF"/>
    <w:pPr>
      <w:spacing w:before="160"/>
      <w:jc w:val="center"/>
    </w:pPr>
    <w:rPr>
      <w:i/>
      <w:iCs/>
      <w:color w:val="404040" w:themeColor="text1" w:themeTint="BF"/>
    </w:rPr>
  </w:style>
  <w:style w:type="character" w:customStyle="1" w:styleId="QuoteChar">
    <w:name w:val="Quote Char"/>
    <w:basedOn w:val="DefaultParagraphFont"/>
    <w:link w:val="Quote"/>
    <w:uiPriority w:val="29"/>
    <w:rsid w:val="00AC5ECF"/>
    <w:rPr>
      <w:i/>
      <w:iCs/>
      <w:color w:val="404040" w:themeColor="text1" w:themeTint="BF"/>
    </w:rPr>
  </w:style>
  <w:style w:type="paragraph" w:styleId="ListParagraph">
    <w:name w:val="List Paragraph"/>
    <w:basedOn w:val="Normal"/>
    <w:uiPriority w:val="34"/>
    <w:qFormat/>
    <w:rsid w:val="00AC5ECF"/>
    <w:pPr>
      <w:ind w:left="720"/>
      <w:contextualSpacing/>
    </w:pPr>
  </w:style>
  <w:style w:type="character" w:styleId="IntenseEmphasis">
    <w:name w:val="Intense Emphasis"/>
    <w:basedOn w:val="DefaultParagraphFont"/>
    <w:uiPriority w:val="21"/>
    <w:qFormat/>
    <w:rsid w:val="00AC5ECF"/>
    <w:rPr>
      <w:i/>
      <w:iCs/>
      <w:color w:val="2F5496" w:themeColor="accent1" w:themeShade="BF"/>
    </w:rPr>
  </w:style>
  <w:style w:type="paragraph" w:styleId="IntenseQuote">
    <w:name w:val="Intense Quote"/>
    <w:basedOn w:val="Normal"/>
    <w:next w:val="Normal"/>
    <w:link w:val="IntenseQuoteChar"/>
    <w:uiPriority w:val="30"/>
    <w:qFormat/>
    <w:rsid w:val="00AC5E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5ECF"/>
    <w:rPr>
      <w:i/>
      <w:iCs/>
      <w:color w:val="2F5496" w:themeColor="accent1" w:themeShade="BF"/>
    </w:rPr>
  </w:style>
  <w:style w:type="character" w:styleId="IntenseReference">
    <w:name w:val="Intense Reference"/>
    <w:basedOn w:val="DefaultParagraphFont"/>
    <w:uiPriority w:val="32"/>
    <w:qFormat/>
    <w:rsid w:val="00AC5ECF"/>
    <w:rPr>
      <w:b/>
      <w:bCs/>
      <w:smallCaps/>
      <w:color w:val="2F5496" w:themeColor="accent1" w:themeShade="BF"/>
      <w:spacing w:val="5"/>
    </w:rPr>
  </w:style>
  <w:style w:type="character" w:styleId="Hyperlink">
    <w:name w:val="Hyperlink"/>
    <w:basedOn w:val="DefaultParagraphFont"/>
    <w:uiPriority w:val="99"/>
    <w:unhideWhenUsed/>
    <w:rsid w:val="00AC5ECF"/>
    <w:rPr>
      <w:color w:val="0563C1" w:themeColor="hyperlink"/>
      <w:u w:val="single"/>
    </w:rPr>
  </w:style>
  <w:style w:type="character" w:styleId="UnresolvedMention">
    <w:name w:val="Unresolved Mention"/>
    <w:basedOn w:val="DefaultParagraphFont"/>
    <w:uiPriority w:val="99"/>
    <w:semiHidden/>
    <w:unhideWhenUsed/>
    <w:rsid w:val="00AC5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j.ctv201xhz5" TargetMode="External"/><Relationship Id="rId13" Type="http://schemas.openxmlformats.org/officeDocument/2006/relationships/hyperlink" Target="https://cica.org.au/wp-content/uploads/Career-More-than-Just-a-Job-Career-Development-understandings-informing-myfuture.pdf" TargetMode="External"/><Relationship Id="rId18" Type="http://schemas.openxmlformats.org/officeDocument/2006/relationships/hyperlink" Target="https://www.oecd.org/education/innovation-education/34050171.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i.org/10.1080/0159630930130203" TargetMode="External"/><Relationship Id="rId12" Type="http://schemas.openxmlformats.org/officeDocument/2006/relationships/hyperlink" Target="https://doi.org/10.1093/oxfordhb/9780190069704.013.8" TargetMode="External"/><Relationship Id="rId17" Type="http://schemas.openxmlformats.org/officeDocument/2006/relationships/hyperlink" Target="https://education.nsw.gov.au/content/dam/main-education/teaching-and-learning/curriculum/career-learning-and-vocational-education/school-to-work/docs/2025_School_to_Work_Funding_Guidelines_v2.pdf" TargetMode="External"/><Relationship Id="rId2" Type="http://schemas.openxmlformats.org/officeDocument/2006/relationships/styles" Target="styles.xml"/><Relationship Id="rId16" Type="http://schemas.openxmlformats.org/officeDocument/2006/relationships/hyperlink" Target="https://cica.org.au/wp-content/uploads/120422-Careers-Education-Paper.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cuments.uow.edu.au/content/groups/public/@web/@dvce/@in2uni/documents/doc/uow264921.pdf" TargetMode="External"/><Relationship Id="rId11" Type="http://schemas.openxmlformats.org/officeDocument/2006/relationships/hyperlink" Target="https://doi.org/10.1177/1038416219886116" TargetMode="External"/><Relationship Id="rId5" Type="http://schemas.openxmlformats.org/officeDocument/2006/relationships/hyperlink" Target="mailto:B9.johnson@hdr.qut.edu.au" TargetMode="External"/><Relationship Id="rId15" Type="http://schemas.openxmlformats.org/officeDocument/2006/relationships/hyperlink" Target="https://doi.org/10.46743/2160-3715/2022.5044" TargetMode="External"/><Relationship Id="rId10" Type="http://schemas.openxmlformats.org/officeDocument/2006/relationships/hyperlink" Target="https://doi.org/10.1007/s13384-021-00468-2" TargetMode="External"/><Relationship Id="rId19" Type="http://schemas.openxmlformats.org/officeDocument/2006/relationships/hyperlink" Target="https://www.education.vic.gov.au/school/teachers/teachingresources/careers/carframe/Pages/framework.aspx" TargetMode="External"/><Relationship Id="rId4" Type="http://schemas.openxmlformats.org/officeDocument/2006/relationships/webSettings" Target="webSettings.xml"/><Relationship Id="rId9" Type="http://schemas.openxmlformats.org/officeDocument/2006/relationships/hyperlink" Target="https://www.dewr.gov.au/download/290/future-ready-student-focused-national-career-education-strategy/137/future-ready-student-focused-national-career-education-strategy/pdf" TargetMode="External"/><Relationship Id="rId14" Type="http://schemas.openxmlformats.org/officeDocument/2006/relationships/hyperlink" Target="http://docs.education.gov.au/node/19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Howard</dc:creator>
  <cp:keywords/>
  <dc:description/>
  <cp:lastModifiedBy>Belinda Howard</cp:lastModifiedBy>
  <cp:revision>5</cp:revision>
  <dcterms:created xsi:type="dcterms:W3CDTF">2026-03-23T01:49:00Z</dcterms:created>
  <dcterms:modified xsi:type="dcterms:W3CDTF">2026-03-23T03:05:00Z</dcterms:modified>
</cp:coreProperties>
</file>