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762E" w14:textId="77777777" w:rsidR="00A72677" w:rsidRDefault="00A72677" w:rsidP="00A72677">
      <w:pPr>
        <w:spacing w:line="360" w:lineRule="auto"/>
        <w:jc w:val="both"/>
      </w:pPr>
      <w:r>
        <w:rPr>
          <w:b/>
        </w:rPr>
        <w:t>Cultivating Pathways from the Ground Up:</w:t>
      </w:r>
      <w:r>
        <w:rPr>
          <w:b/>
        </w:rPr>
        <w:br/>
        <w:t>A Triple-Helix Platform for International Doctoral Talent in Japan</w:t>
      </w:r>
    </w:p>
    <w:p w14:paraId="1E5B9F06" w14:textId="77777777" w:rsidR="00A72677" w:rsidRDefault="00A72677" w:rsidP="00A72677">
      <w:pPr>
        <w:spacing w:line="360" w:lineRule="auto"/>
        <w:jc w:val="both"/>
      </w:pPr>
      <w:r>
        <w:t>Across many countries, universities produce highly skilled international doctoral graduates; however, many struggle to transition into industry roles commensurate with their expertise. This issue is not simply a matter of individual career readiness but reflects a structural information gap among three key actors: universities, industry, and government.</w:t>
      </w:r>
    </w:p>
    <w:p w14:paraId="3BF07AA1" w14:textId="77777777" w:rsidR="00A72677" w:rsidRDefault="00A72677" w:rsidP="00A72677">
      <w:pPr>
        <w:spacing w:line="360" w:lineRule="auto"/>
        <w:jc w:val="both"/>
      </w:pPr>
      <w:r>
        <w:t>For example, in Australia, this challenge has been recognized at the policy level, leading to initiatives such as Industry PhD programs and structured internships designed to strengthen connections between doctoral training and industry.</w:t>
      </w:r>
    </w:p>
    <w:p w14:paraId="139D36FA" w14:textId="68F215C4" w:rsidR="00A72677" w:rsidRDefault="00A72677" w:rsidP="00A72677">
      <w:pPr>
        <w:spacing w:line="360" w:lineRule="auto"/>
        <w:jc w:val="both"/>
      </w:pPr>
      <w:r>
        <w:t>In Japan, this gap is particularly acute. The country faces a dual challenge of a declining working-age population</w:t>
      </w:r>
      <w:r>
        <w:rPr>
          <w:rFonts w:hint="eastAsia"/>
          <w:lang w:eastAsia="ja-JP"/>
        </w:rPr>
        <w:t xml:space="preserve"> </w:t>
      </w:r>
      <w:r>
        <w:t>projected to decrease by approximately 10% by 2035–37 compared to 2020</w:t>
      </w:r>
      <w:r>
        <w:rPr>
          <w:rFonts w:hint="eastAsia"/>
          <w:lang w:eastAsia="ja-JP"/>
        </w:rPr>
        <w:t xml:space="preserve"> </w:t>
      </w:r>
      <w:r>
        <w:t>and a limited supply of doctoral talent. At the same time, international students account for 29.4% of doctoral enrollments nationally, and as high as 50–77% at leading graduate universities.</w:t>
      </w:r>
    </w:p>
    <w:p w14:paraId="1152C90C" w14:textId="71A53303" w:rsidR="00A72677" w:rsidRDefault="00A72677" w:rsidP="00A72677">
      <w:pPr>
        <w:spacing w:line="360" w:lineRule="auto"/>
        <w:jc w:val="both"/>
      </w:pPr>
      <w:r>
        <w:t>Despite this, pathways for these graduates to enter Japanese industry remain underdeveloped. Employers often lack visibility into the capabilities of international doctoral graduates, universities receive limited feedback on industry expectations, and policymakers lack practice-level data to inform effective interventions. As a result, a significant proportion of international doctoral students</w:t>
      </w:r>
      <w:r>
        <w:rPr>
          <w:rFonts w:hint="eastAsia"/>
          <w:lang w:eastAsia="ja-JP"/>
        </w:rPr>
        <w:t xml:space="preserve"> </w:t>
      </w:r>
      <w:r>
        <w:t>approximately 74–76%</w:t>
      </w:r>
      <w:r>
        <w:rPr>
          <w:rFonts w:hint="eastAsia"/>
          <w:lang w:eastAsia="ja-JP"/>
        </w:rPr>
        <w:t xml:space="preserve"> </w:t>
      </w:r>
      <w:r>
        <w:t>who express interest in working in Japan are not successfully integrated into relevant sectors.</w:t>
      </w:r>
    </w:p>
    <w:p w14:paraId="2FF79BFD" w14:textId="77777777" w:rsidR="00A72677" w:rsidRDefault="00A72677" w:rsidP="00A72677">
      <w:pPr>
        <w:spacing w:line="360" w:lineRule="auto"/>
        <w:jc w:val="both"/>
      </w:pPr>
      <w:r>
        <w:t>This presentation introduces the TRI-PhD SALON (Triple-Helix Roundtable for International PhD Talent), a platform co-designed and operated by Nara Institute of Science and Technology (NAIST) and Okinawa Institute of Science and Technology (OIST), launched in April 2026.</w:t>
      </w:r>
    </w:p>
    <w:p w14:paraId="49280F74" w14:textId="77777777" w:rsidR="00A72677" w:rsidRDefault="00A72677" w:rsidP="00A72677">
      <w:pPr>
        <w:spacing w:line="360" w:lineRule="auto"/>
        <w:jc w:val="both"/>
      </w:pPr>
      <w:r>
        <w:t>The platform aims to (1) make visible the structural information gap surrounding international doctoral talent in Japan, (2) facilitate sustained and reciprocal knowledge exchange among universities, industry, and government, and (3) generate practice-based insights into effective models of cross-sector collaboration.</w:t>
      </w:r>
    </w:p>
    <w:p w14:paraId="20E5A71D" w14:textId="77777777" w:rsidR="00A72677" w:rsidRDefault="00A72677" w:rsidP="00A72677">
      <w:pPr>
        <w:spacing w:line="360" w:lineRule="auto"/>
        <w:jc w:val="both"/>
      </w:pPr>
      <w:r>
        <w:t xml:space="preserve">This study adopts a systems thinking approach to career development, which conceptualizes careers as embedded within broader social and organizational systems. From this perspective, individual-level interventions alone are insufficient to address structural barriers. The challenges </w:t>
      </w:r>
      <w:r>
        <w:lastRenderedPageBreak/>
        <w:t>faced by international doctoral graduates are thus understood as systemic issues rooted in the relationships and information flows among institutional actors.</w:t>
      </w:r>
    </w:p>
    <w:p w14:paraId="2548D270" w14:textId="77777777" w:rsidR="00A72677" w:rsidRDefault="00A72677" w:rsidP="00A72677">
      <w:pPr>
        <w:spacing w:line="360" w:lineRule="auto"/>
        <w:jc w:val="both"/>
      </w:pPr>
      <w:r>
        <w:t>Accordingly, this study focuses on how interactions among these actors can be redesigned to enable structural change.</w:t>
      </w:r>
    </w:p>
    <w:p w14:paraId="75BDD06D" w14:textId="77777777" w:rsidR="00A72677" w:rsidRDefault="00A72677" w:rsidP="00A72677">
      <w:pPr>
        <w:spacing w:line="360" w:lineRule="auto"/>
        <w:jc w:val="both"/>
      </w:pPr>
      <w:r>
        <w:t>The TRI-PhD SALON was officially launched in April 2026, with a kickoff symposium as its first major activity. As the initiative is in its early stages, this presentation reports on insights derived from the design and development process rather than outcome data.</w:t>
      </w:r>
    </w:p>
    <w:p w14:paraId="0DF1D937" w14:textId="77777777" w:rsidR="00A72677" w:rsidRDefault="00A72677" w:rsidP="00A72677">
      <w:pPr>
        <w:spacing w:line="360" w:lineRule="auto"/>
        <w:jc w:val="both"/>
      </w:pPr>
      <w:r>
        <w:t>The platform is positioned not merely as a mechanism for individual job matching, but as a tri-sector initiative that brings together practical knowledge from each stakeholder group and seeks, over time, to contribute to structural transformation.</w:t>
      </w:r>
    </w:p>
    <w:p w14:paraId="1226D0F3" w14:textId="1A902421" w:rsidR="00A72677" w:rsidRDefault="00A72677" w:rsidP="00A72677">
      <w:pPr>
        <w:spacing w:line="360" w:lineRule="auto"/>
        <w:jc w:val="both"/>
      </w:pPr>
      <w:r>
        <w:t>While grounded in the Japanese context, the underlying issue</w:t>
      </w:r>
      <w:r>
        <w:rPr>
          <w:rFonts w:hint="eastAsia"/>
          <w:lang w:eastAsia="ja-JP"/>
        </w:rPr>
        <w:t xml:space="preserve"> </w:t>
      </w:r>
      <w:r>
        <w:t>information asymmetry, institutional fragmentation, and limited feedback loops</w:t>
      </w:r>
      <w:r>
        <w:rPr>
          <w:rFonts w:hint="eastAsia"/>
          <w:lang w:eastAsia="ja-JP"/>
        </w:rPr>
        <w:t xml:space="preserve"> </w:t>
      </w:r>
      <w:r>
        <w:t>is shared across many countries. This study highlights the potential of dialogue-</w:t>
      </w:r>
      <w:proofErr w:type="gramStart"/>
      <w:r>
        <w:t>based,</w:t>
      </w:r>
      <w:proofErr w:type="gramEnd"/>
      <w:r>
        <w:t xml:space="preserve"> cross-sector platforms as an approach to addressing these systemic challenges.</w:t>
      </w:r>
      <w:r>
        <w:br/>
      </w:r>
    </w:p>
    <w:p w14:paraId="762AB611" w14:textId="77777777" w:rsidR="00A72677" w:rsidRDefault="00A72677" w:rsidP="00A72677">
      <w:pPr>
        <w:spacing w:line="360" w:lineRule="auto"/>
        <w:jc w:val="both"/>
      </w:pPr>
      <w:r>
        <w:rPr>
          <w:b/>
        </w:rPr>
        <w:t>Keywords: international doctoral talent / information asymmetry / tri-sector platform / career guidance ecosystem / talent retention</w:t>
      </w:r>
    </w:p>
    <w:p w14:paraId="5F97A86E" w14:textId="77777777" w:rsidR="00A72677" w:rsidRDefault="00A72677" w:rsidP="00A72677">
      <w:pPr>
        <w:spacing w:line="360" w:lineRule="auto"/>
        <w:jc w:val="both"/>
      </w:pPr>
      <w:r>
        <w:rPr>
          <w:b/>
        </w:rPr>
        <w:t>Bibliographical References</w:t>
      </w:r>
    </w:p>
    <w:p w14:paraId="58256059" w14:textId="77777777" w:rsidR="00A72677" w:rsidRPr="006F1C46" w:rsidRDefault="00A72677" w:rsidP="00A72677">
      <w:pPr>
        <w:spacing w:line="360" w:lineRule="auto"/>
        <w:jc w:val="both"/>
      </w:pPr>
      <w:proofErr w:type="spellStart"/>
      <w:r w:rsidRPr="006F1C46">
        <w:t>Etzkowitz</w:t>
      </w:r>
      <w:proofErr w:type="spellEnd"/>
      <w:r w:rsidRPr="006F1C46">
        <w:t xml:space="preserve">, H., &amp; </w:t>
      </w:r>
      <w:proofErr w:type="spellStart"/>
      <w:r w:rsidRPr="006F1C46">
        <w:t>Leydesdorff</w:t>
      </w:r>
      <w:proofErr w:type="spellEnd"/>
      <w:r w:rsidRPr="006F1C46">
        <w:t xml:space="preserve">, L. (1995). </w:t>
      </w:r>
      <w:r w:rsidRPr="006F1C46">
        <w:rPr>
          <w:i/>
          <w:iCs/>
        </w:rPr>
        <w:t>The triple helix—university–industry–government relations: A laboratory for knowledge-based economic development</w:t>
      </w:r>
      <w:r w:rsidRPr="006F1C46">
        <w:t xml:space="preserve">. </w:t>
      </w:r>
      <w:r w:rsidRPr="006F1C46">
        <w:rPr>
          <w:i/>
          <w:iCs/>
        </w:rPr>
        <w:t>EASST Review, 14</w:t>
      </w:r>
      <w:r w:rsidRPr="006F1C46">
        <w:t>(1), 14–19.</w:t>
      </w:r>
    </w:p>
    <w:p w14:paraId="2CEE0EC0" w14:textId="77777777" w:rsidR="00A72677" w:rsidRPr="006F1C46" w:rsidRDefault="00A72677" w:rsidP="00A72677">
      <w:pPr>
        <w:spacing w:line="360" w:lineRule="auto"/>
        <w:jc w:val="both"/>
      </w:pPr>
      <w:r w:rsidRPr="006F1C46">
        <w:t xml:space="preserve">Lent, R. W., Brown, S. D., &amp; Hackett, G. (1994). Toward a unifying social cognitive theory of career and academic interest, choice, and performance. </w:t>
      </w:r>
      <w:r w:rsidRPr="006F1C46">
        <w:rPr>
          <w:i/>
          <w:iCs/>
        </w:rPr>
        <w:t>Journal of Vocational Behavior, 45</w:t>
      </w:r>
      <w:r w:rsidRPr="006F1C46">
        <w:t>(1), 79–122.</w:t>
      </w:r>
    </w:p>
    <w:p w14:paraId="43B89C1D" w14:textId="77777777" w:rsidR="00A72677" w:rsidRPr="006F1C46" w:rsidRDefault="00A72677" w:rsidP="00A72677">
      <w:pPr>
        <w:spacing w:line="360" w:lineRule="auto"/>
        <w:jc w:val="both"/>
      </w:pPr>
      <w:r w:rsidRPr="006F1C46">
        <w:t xml:space="preserve">Patton, W., &amp; McMahon, M. (2006). </w:t>
      </w:r>
      <w:r w:rsidRPr="006F1C46">
        <w:rPr>
          <w:i/>
          <w:iCs/>
        </w:rPr>
        <w:t>Career development and systems theory: Connecting theory and practice</w:t>
      </w:r>
      <w:r w:rsidRPr="006F1C46">
        <w:t xml:space="preserve"> (2nd ed.). Sense Publishers.</w:t>
      </w:r>
    </w:p>
    <w:p w14:paraId="1C49DF80" w14:textId="77777777" w:rsidR="00A72677" w:rsidRDefault="00A72677" w:rsidP="00A72677">
      <w:pPr>
        <w:spacing w:line="360" w:lineRule="auto"/>
        <w:jc w:val="both"/>
      </w:pPr>
    </w:p>
    <w:p w14:paraId="0D6934FA" w14:textId="77777777" w:rsidR="00A72677" w:rsidRDefault="00A72677"/>
    <w:sectPr w:rsidR="00A72677" w:rsidSect="00A726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77"/>
    <w:rsid w:val="002841DF"/>
    <w:rsid w:val="00A72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6897DD"/>
  <w15:chartTrackingRefBased/>
  <w15:docId w15:val="{90BA96B7-A251-4F7F-8B4B-10C054A4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677"/>
    <w:pPr>
      <w:spacing w:after="200" w:line="276" w:lineRule="auto"/>
    </w:pPr>
    <w:rPr>
      <w:rFonts w:ascii="Calibri" w:hAnsi="Calibri"/>
      <w:kern w:val="0"/>
      <w:sz w:val="22"/>
      <w:szCs w:val="22"/>
      <w:lang w:eastAsia="en-US"/>
      <w14:ligatures w14:val="none"/>
    </w:rPr>
  </w:style>
  <w:style w:type="paragraph" w:styleId="1">
    <w:name w:val="heading 1"/>
    <w:basedOn w:val="a"/>
    <w:next w:val="a"/>
    <w:link w:val="10"/>
    <w:uiPriority w:val="9"/>
    <w:qFormat/>
    <w:rsid w:val="00A72677"/>
    <w:pPr>
      <w:keepNext/>
      <w:keepLines/>
      <w:widowControl w:val="0"/>
      <w:spacing w:before="280" w:after="80" w:line="240" w:lineRule="auto"/>
      <w:outlineLvl w:val="0"/>
    </w:pPr>
    <w:rPr>
      <w:rFonts w:asciiTheme="majorHAnsi" w:eastAsiaTheme="majorEastAsia" w:hAnsiTheme="majorHAnsi" w:cstheme="majorBidi"/>
      <w:color w:val="000000" w:themeColor="text1"/>
      <w:kern w:val="2"/>
      <w:sz w:val="32"/>
      <w:szCs w:val="32"/>
      <w:lang w:eastAsia="ja-JP"/>
      <w14:ligatures w14:val="standardContextual"/>
    </w:rPr>
  </w:style>
  <w:style w:type="paragraph" w:styleId="2">
    <w:name w:val="heading 2"/>
    <w:basedOn w:val="a"/>
    <w:next w:val="a"/>
    <w:link w:val="20"/>
    <w:uiPriority w:val="9"/>
    <w:semiHidden/>
    <w:unhideWhenUsed/>
    <w:qFormat/>
    <w:rsid w:val="00A72677"/>
    <w:pPr>
      <w:keepNext/>
      <w:keepLines/>
      <w:widowControl w:val="0"/>
      <w:spacing w:before="160" w:after="80" w:line="240" w:lineRule="auto"/>
      <w:outlineLvl w:val="1"/>
    </w:pPr>
    <w:rPr>
      <w:rFonts w:asciiTheme="majorHAnsi" w:eastAsiaTheme="majorEastAsia" w:hAnsiTheme="majorHAnsi" w:cstheme="majorBidi"/>
      <w:color w:val="000000" w:themeColor="text1"/>
      <w:kern w:val="2"/>
      <w:sz w:val="28"/>
      <w:szCs w:val="28"/>
      <w:lang w:eastAsia="ja-JP"/>
      <w14:ligatures w14:val="standardContextual"/>
    </w:rPr>
  </w:style>
  <w:style w:type="paragraph" w:styleId="3">
    <w:name w:val="heading 3"/>
    <w:basedOn w:val="a"/>
    <w:next w:val="a"/>
    <w:link w:val="30"/>
    <w:uiPriority w:val="9"/>
    <w:semiHidden/>
    <w:unhideWhenUsed/>
    <w:qFormat/>
    <w:rsid w:val="00A72677"/>
    <w:pPr>
      <w:keepNext/>
      <w:keepLines/>
      <w:widowControl w:val="0"/>
      <w:spacing w:before="160" w:after="80" w:line="240" w:lineRule="auto"/>
      <w:outlineLvl w:val="2"/>
    </w:pPr>
    <w:rPr>
      <w:rFonts w:asciiTheme="majorHAnsi" w:eastAsiaTheme="majorEastAsia" w:hAnsiTheme="majorHAnsi" w:cstheme="majorBidi"/>
      <w:color w:val="000000" w:themeColor="text1"/>
      <w:kern w:val="2"/>
      <w:sz w:val="24"/>
      <w:szCs w:val="24"/>
      <w:lang w:eastAsia="ja-JP"/>
      <w14:ligatures w14:val="standardContextual"/>
    </w:rPr>
  </w:style>
  <w:style w:type="paragraph" w:styleId="4">
    <w:name w:val="heading 4"/>
    <w:basedOn w:val="a"/>
    <w:next w:val="a"/>
    <w:link w:val="40"/>
    <w:uiPriority w:val="9"/>
    <w:semiHidden/>
    <w:unhideWhenUsed/>
    <w:qFormat/>
    <w:rsid w:val="00A72677"/>
    <w:pPr>
      <w:keepNext/>
      <w:keepLines/>
      <w:widowControl w:val="0"/>
      <w:spacing w:before="80" w:after="40" w:line="240" w:lineRule="auto"/>
      <w:outlineLvl w:val="3"/>
    </w:pPr>
    <w:rPr>
      <w:rFonts w:asciiTheme="majorHAnsi" w:eastAsiaTheme="majorEastAsia" w:hAnsiTheme="majorHAnsi" w:cstheme="majorBidi"/>
      <w:color w:val="000000" w:themeColor="text1"/>
      <w:kern w:val="2"/>
      <w:sz w:val="21"/>
      <w:szCs w:val="24"/>
      <w:lang w:eastAsia="ja-JP"/>
      <w14:ligatures w14:val="standardContextual"/>
    </w:rPr>
  </w:style>
  <w:style w:type="paragraph" w:styleId="5">
    <w:name w:val="heading 5"/>
    <w:basedOn w:val="a"/>
    <w:next w:val="a"/>
    <w:link w:val="50"/>
    <w:uiPriority w:val="9"/>
    <w:semiHidden/>
    <w:unhideWhenUsed/>
    <w:qFormat/>
    <w:rsid w:val="00A72677"/>
    <w:pPr>
      <w:keepNext/>
      <w:keepLines/>
      <w:widowControl w:val="0"/>
      <w:spacing w:before="80" w:after="40" w:line="240" w:lineRule="auto"/>
      <w:ind w:leftChars="100" w:left="100"/>
      <w:outlineLvl w:val="4"/>
    </w:pPr>
    <w:rPr>
      <w:rFonts w:asciiTheme="majorHAnsi" w:eastAsiaTheme="majorEastAsia" w:hAnsiTheme="majorHAnsi" w:cstheme="majorBidi"/>
      <w:color w:val="000000" w:themeColor="text1"/>
      <w:kern w:val="2"/>
      <w:sz w:val="21"/>
      <w:szCs w:val="24"/>
      <w:lang w:eastAsia="ja-JP"/>
      <w14:ligatures w14:val="standardContextual"/>
    </w:rPr>
  </w:style>
  <w:style w:type="paragraph" w:styleId="6">
    <w:name w:val="heading 6"/>
    <w:basedOn w:val="a"/>
    <w:next w:val="a"/>
    <w:link w:val="60"/>
    <w:uiPriority w:val="9"/>
    <w:semiHidden/>
    <w:unhideWhenUsed/>
    <w:qFormat/>
    <w:rsid w:val="00A72677"/>
    <w:pPr>
      <w:keepNext/>
      <w:keepLines/>
      <w:widowControl w:val="0"/>
      <w:spacing w:before="80" w:after="40" w:line="240" w:lineRule="auto"/>
      <w:ind w:leftChars="200" w:left="200"/>
      <w:outlineLvl w:val="5"/>
    </w:pPr>
    <w:rPr>
      <w:rFonts w:asciiTheme="majorHAnsi" w:eastAsiaTheme="majorEastAsia" w:hAnsiTheme="majorHAnsi" w:cstheme="majorBidi"/>
      <w:color w:val="000000" w:themeColor="text1"/>
      <w:kern w:val="2"/>
      <w:sz w:val="21"/>
      <w:szCs w:val="24"/>
      <w:lang w:eastAsia="ja-JP"/>
      <w14:ligatures w14:val="standardContextual"/>
    </w:rPr>
  </w:style>
  <w:style w:type="paragraph" w:styleId="7">
    <w:name w:val="heading 7"/>
    <w:basedOn w:val="a"/>
    <w:next w:val="a"/>
    <w:link w:val="70"/>
    <w:uiPriority w:val="9"/>
    <w:semiHidden/>
    <w:unhideWhenUsed/>
    <w:qFormat/>
    <w:rsid w:val="00A72677"/>
    <w:pPr>
      <w:keepNext/>
      <w:keepLines/>
      <w:widowControl w:val="0"/>
      <w:spacing w:before="80" w:after="40" w:line="240" w:lineRule="auto"/>
      <w:ind w:leftChars="300" w:left="300"/>
      <w:outlineLvl w:val="6"/>
    </w:pPr>
    <w:rPr>
      <w:rFonts w:asciiTheme="majorHAnsi" w:eastAsiaTheme="majorEastAsia" w:hAnsiTheme="majorHAnsi" w:cstheme="majorBidi"/>
      <w:color w:val="000000" w:themeColor="text1"/>
      <w:kern w:val="2"/>
      <w:sz w:val="21"/>
      <w:szCs w:val="24"/>
      <w:lang w:eastAsia="ja-JP"/>
      <w14:ligatures w14:val="standardContextual"/>
    </w:rPr>
  </w:style>
  <w:style w:type="paragraph" w:styleId="8">
    <w:name w:val="heading 8"/>
    <w:basedOn w:val="a"/>
    <w:next w:val="a"/>
    <w:link w:val="80"/>
    <w:uiPriority w:val="9"/>
    <w:semiHidden/>
    <w:unhideWhenUsed/>
    <w:qFormat/>
    <w:rsid w:val="00A72677"/>
    <w:pPr>
      <w:keepNext/>
      <w:keepLines/>
      <w:widowControl w:val="0"/>
      <w:spacing w:before="80" w:after="40" w:line="240" w:lineRule="auto"/>
      <w:ind w:leftChars="400" w:left="400"/>
      <w:outlineLvl w:val="7"/>
    </w:pPr>
    <w:rPr>
      <w:rFonts w:asciiTheme="majorHAnsi" w:eastAsiaTheme="majorEastAsia" w:hAnsiTheme="majorHAnsi" w:cstheme="majorBidi"/>
      <w:color w:val="000000" w:themeColor="text1"/>
      <w:kern w:val="2"/>
      <w:sz w:val="21"/>
      <w:szCs w:val="24"/>
      <w:lang w:eastAsia="ja-JP"/>
      <w14:ligatures w14:val="standardContextual"/>
    </w:rPr>
  </w:style>
  <w:style w:type="paragraph" w:styleId="9">
    <w:name w:val="heading 9"/>
    <w:basedOn w:val="a"/>
    <w:next w:val="a"/>
    <w:link w:val="90"/>
    <w:uiPriority w:val="9"/>
    <w:semiHidden/>
    <w:unhideWhenUsed/>
    <w:qFormat/>
    <w:rsid w:val="00A72677"/>
    <w:pPr>
      <w:keepNext/>
      <w:keepLines/>
      <w:widowControl w:val="0"/>
      <w:spacing w:before="80" w:after="40" w:line="240" w:lineRule="auto"/>
      <w:ind w:leftChars="500" w:left="500"/>
      <w:outlineLvl w:val="8"/>
    </w:pPr>
    <w:rPr>
      <w:rFonts w:asciiTheme="majorHAnsi" w:eastAsiaTheme="majorEastAsia" w:hAnsiTheme="majorHAnsi" w:cstheme="majorBidi"/>
      <w:color w:val="000000" w:themeColor="text1"/>
      <w:kern w:val="2"/>
      <w:sz w:val="21"/>
      <w:szCs w:val="24"/>
      <w:lang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26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26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26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726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26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26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26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26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26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2677"/>
    <w:pPr>
      <w:widowControl w:val="0"/>
      <w:spacing w:after="80" w:line="240" w:lineRule="auto"/>
      <w:contextualSpacing/>
      <w:jc w:val="center"/>
    </w:pPr>
    <w:rPr>
      <w:rFonts w:asciiTheme="majorHAnsi" w:eastAsiaTheme="majorEastAsia" w:hAnsiTheme="majorHAnsi" w:cstheme="majorBidi"/>
      <w:spacing w:val="-10"/>
      <w:kern w:val="28"/>
      <w:sz w:val="56"/>
      <w:szCs w:val="56"/>
      <w:lang w:eastAsia="ja-JP"/>
      <w14:ligatures w14:val="standardContextual"/>
    </w:rPr>
  </w:style>
  <w:style w:type="character" w:customStyle="1" w:styleId="a4">
    <w:name w:val="表題 (文字)"/>
    <w:basedOn w:val="a0"/>
    <w:link w:val="a3"/>
    <w:uiPriority w:val="10"/>
    <w:rsid w:val="00A726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2677"/>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ja-JP"/>
      <w14:ligatures w14:val="standardContextual"/>
    </w:rPr>
  </w:style>
  <w:style w:type="character" w:customStyle="1" w:styleId="a6">
    <w:name w:val="副題 (文字)"/>
    <w:basedOn w:val="a0"/>
    <w:link w:val="a5"/>
    <w:uiPriority w:val="11"/>
    <w:rsid w:val="00A726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2677"/>
    <w:pPr>
      <w:widowControl w:val="0"/>
      <w:spacing w:before="160" w:after="160" w:line="240" w:lineRule="auto"/>
      <w:jc w:val="center"/>
    </w:pPr>
    <w:rPr>
      <w:rFonts w:asciiTheme="minorHAnsi" w:hAnsiTheme="minorHAnsi"/>
      <w:i/>
      <w:iCs/>
      <w:color w:val="404040" w:themeColor="text1" w:themeTint="BF"/>
      <w:kern w:val="2"/>
      <w:sz w:val="21"/>
      <w:szCs w:val="24"/>
      <w:lang w:eastAsia="ja-JP"/>
      <w14:ligatures w14:val="standardContextual"/>
    </w:rPr>
  </w:style>
  <w:style w:type="character" w:customStyle="1" w:styleId="a8">
    <w:name w:val="引用文 (文字)"/>
    <w:basedOn w:val="a0"/>
    <w:link w:val="a7"/>
    <w:uiPriority w:val="29"/>
    <w:rsid w:val="00A72677"/>
    <w:rPr>
      <w:i/>
      <w:iCs/>
      <w:color w:val="404040" w:themeColor="text1" w:themeTint="BF"/>
    </w:rPr>
  </w:style>
  <w:style w:type="paragraph" w:styleId="a9">
    <w:name w:val="List Paragraph"/>
    <w:basedOn w:val="a"/>
    <w:uiPriority w:val="34"/>
    <w:qFormat/>
    <w:rsid w:val="00A72677"/>
    <w:pPr>
      <w:widowControl w:val="0"/>
      <w:spacing w:after="0" w:line="240" w:lineRule="auto"/>
      <w:ind w:left="720"/>
      <w:contextualSpacing/>
    </w:pPr>
    <w:rPr>
      <w:rFonts w:asciiTheme="minorHAnsi" w:hAnsiTheme="minorHAnsi"/>
      <w:kern w:val="2"/>
      <w:sz w:val="21"/>
      <w:szCs w:val="24"/>
      <w:lang w:eastAsia="ja-JP"/>
      <w14:ligatures w14:val="standardContextual"/>
    </w:rPr>
  </w:style>
  <w:style w:type="character" w:styleId="21">
    <w:name w:val="Intense Emphasis"/>
    <w:basedOn w:val="a0"/>
    <w:uiPriority w:val="21"/>
    <w:qFormat/>
    <w:rsid w:val="00A72677"/>
    <w:rPr>
      <w:i/>
      <w:iCs/>
      <w:color w:val="0F4761" w:themeColor="accent1" w:themeShade="BF"/>
    </w:rPr>
  </w:style>
  <w:style w:type="paragraph" w:styleId="22">
    <w:name w:val="Intense Quote"/>
    <w:basedOn w:val="a"/>
    <w:next w:val="a"/>
    <w:link w:val="23"/>
    <w:uiPriority w:val="30"/>
    <w:qFormat/>
    <w:rsid w:val="00A72677"/>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kern w:val="2"/>
      <w:sz w:val="21"/>
      <w:szCs w:val="24"/>
      <w:lang w:eastAsia="ja-JP"/>
      <w14:ligatures w14:val="standardContextual"/>
    </w:rPr>
  </w:style>
  <w:style w:type="character" w:customStyle="1" w:styleId="23">
    <w:name w:val="引用文 2 (文字)"/>
    <w:basedOn w:val="a0"/>
    <w:link w:val="22"/>
    <w:uiPriority w:val="30"/>
    <w:rsid w:val="00A72677"/>
    <w:rPr>
      <w:i/>
      <w:iCs/>
      <w:color w:val="0F4761" w:themeColor="accent1" w:themeShade="BF"/>
    </w:rPr>
  </w:style>
  <w:style w:type="character" w:styleId="24">
    <w:name w:val="Intense Reference"/>
    <w:basedOn w:val="a0"/>
    <w:uiPriority w:val="32"/>
    <w:qFormat/>
    <w:rsid w:val="00A726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633</Words>
  <Characters>3609</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Shiraishi Hiroko</dc:creator>
  <cp:keywords/>
  <dc:description/>
  <cp:lastModifiedBy>Shiraishi Hiroko</cp:lastModifiedBy>
  <cp:revision>1</cp:revision>
  <dcterms:created xsi:type="dcterms:W3CDTF">2026-04-17T08:24:00Z</dcterms:created>
  <dcterms:modified xsi:type="dcterms:W3CDTF">2026-04-17T08:27:00Z</dcterms:modified>
</cp:coreProperties>
</file>