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C8528" w14:textId="77777777" w:rsidR="007548FD" w:rsidRDefault="007548FD" w:rsidP="00A93E6B">
      <w:pPr>
        <w:rPr>
          <w:b/>
          <w:bCs/>
        </w:rPr>
      </w:pPr>
    </w:p>
    <w:p w14:paraId="6A699C6C" w14:textId="77777777" w:rsidR="0024163B" w:rsidRPr="0006497F" w:rsidRDefault="0024163B" w:rsidP="0024163B">
      <w:pPr>
        <w:rPr>
          <w:b/>
          <w:bCs/>
        </w:rPr>
      </w:pPr>
      <w:r w:rsidRPr="0024163B">
        <w:rPr>
          <w:b/>
          <w:bCs/>
        </w:rPr>
        <w:t>The Missing Middle: A Place-Based Youth Employment Model from Aotearoa New Zealand</w:t>
      </w:r>
    </w:p>
    <w:p w14:paraId="426FFCC8" w14:textId="6F63660D" w:rsidR="0024764A" w:rsidRDefault="0024764A" w:rsidP="0024163B">
      <w:r>
        <w:t>Tammie Metcalfe</w:t>
      </w:r>
    </w:p>
    <w:p w14:paraId="1978CF1F" w14:textId="3A72BD00" w:rsidR="0024764A" w:rsidRPr="0024163B" w:rsidRDefault="0024764A" w:rsidP="0024163B">
      <w:r>
        <w:t>Programme Manager</w:t>
      </w:r>
    </w:p>
    <w:p w14:paraId="70A2BCF0" w14:textId="77777777" w:rsidR="0024163B" w:rsidRPr="0024163B" w:rsidRDefault="00AA6741" w:rsidP="0024163B">
      <w:r>
        <w:pict w14:anchorId="7D539B76">
          <v:rect id="_x0000_i1025" style="width:0;height:1.5pt" o:hralign="center" o:hrstd="t" o:hr="t" fillcolor="#a0a0a0" stroked="f"/>
        </w:pict>
      </w:r>
    </w:p>
    <w:p w14:paraId="2E373DFF" w14:textId="77777777" w:rsidR="0024163B" w:rsidRPr="0024163B" w:rsidRDefault="0024163B" w:rsidP="0024163B">
      <w:r w:rsidRPr="0024163B">
        <w:t>Introduction</w:t>
      </w:r>
    </w:p>
    <w:p w14:paraId="18522E64" w14:textId="77777777" w:rsidR="0024163B" w:rsidRPr="0024163B" w:rsidRDefault="0024163B" w:rsidP="0024764A">
      <w:pPr>
        <w:ind w:firstLine="720"/>
      </w:pPr>
      <w:r w:rsidRPr="0024163B">
        <w:t>Across many countries, youth employment services are delivered through highly centralised welfare and employment systems that often struggle to respond to the realities of local labour markets. While these systems provide essential income support and employment services, they frequently leave a critical gap for young people who are close to employment but require targeted support and employer connections to transition successfully into work.</w:t>
      </w:r>
    </w:p>
    <w:p w14:paraId="23CA6222" w14:textId="77777777" w:rsidR="0024163B" w:rsidRPr="0024163B" w:rsidRDefault="0024163B" w:rsidP="0024163B">
      <w:r w:rsidRPr="0024163B">
        <w:t xml:space="preserve">In Aotearoa New Zealand, the </w:t>
      </w:r>
      <w:proofErr w:type="spellStart"/>
      <w:r w:rsidRPr="0024163B">
        <w:t>Mayors</w:t>
      </w:r>
      <w:proofErr w:type="spellEnd"/>
      <w:r w:rsidRPr="0024163B">
        <w:t xml:space="preserve"> Taskforce for Jobs (MTFJ) Community Employment Programme provides a place-based practice model that positions local government as a connector between young people, employers, and support services. Established in April 2000, MTFJ has operated for over 26 years as a locally led response to youth unemployment. Since the introduction of its current partnership with the Ministry of Social Development (MSD) in 2020, the programme has supported close to 9,000 young people into employment, training, and work experience. The programme is currently delivered across 36 councils, reflecting a significant national footprint grounded in local practice.</w:t>
      </w:r>
    </w:p>
    <w:p w14:paraId="262387D9" w14:textId="77777777" w:rsidR="0024163B" w:rsidRPr="0024163B" w:rsidRDefault="00AA6741" w:rsidP="0024163B">
      <w:r>
        <w:pict w14:anchorId="0B7FFFCC">
          <v:rect id="_x0000_i1026" style="width:0;height:1.5pt" o:hralign="center" o:hrstd="t" o:hr="t" fillcolor="#a0a0a0" stroked="f"/>
        </w:pict>
      </w:r>
    </w:p>
    <w:p w14:paraId="3C1F4CF9" w14:textId="77777777" w:rsidR="0024163B" w:rsidRPr="0024163B" w:rsidRDefault="0024163B" w:rsidP="0024163B">
      <w:r w:rsidRPr="0024163B">
        <w:t>Objectives</w:t>
      </w:r>
    </w:p>
    <w:p w14:paraId="17D8CEB1" w14:textId="77777777" w:rsidR="0024163B" w:rsidRPr="0024163B" w:rsidRDefault="0024163B" w:rsidP="0024764A">
      <w:pPr>
        <w:ind w:firstLine="720"/>
      </w:pPr>
      <w:r w:rsidRPr="0024163B">
        <w:t>This paper presents the MTFJ Community Employment Programme as a professional practice model for youth employment and career development. The objectives are to:</w:t>
      </w:r>
    </w:p>
    <w:p w14:paraId="737E14CB" w14:textId="77777777" w:rsidR="0024163B" w:rsidRPr="0024163B" w:rsidRDefault="0024163B" w:rsidP="0024163B">
      <w:pPr>
        <w:numPr>
          <w:ilvl w:val="0"/>
          <w:numId w:val="3"/>
        </w:numPr>
      </w:pPr>
      <w:r w:rsidRPr="0024163B">
        <w:t xml:space="preserve">Describe how local government can operate as an effective intermediary between young people and employers. </w:t>
      </w:r>
    </w:p>
    <w:p w14:paraId="46F0AE4D" w14:textId="77777777" w:rsidR="0024163B" w:rsidRPr="0024163B" w:rsidRDefault="0024163B" w:rsidP="0024163B">
      <w:pPr>
        <w:numPr>
          <w:ilvl w:val="0"/>
          <w:numId w:val="3"/>
        </w:numPr>
      </w:pPr>
      <w:r w:rsidRPr="0024163B">
        <w:t xml:space="preserve">Examine the practical strategies used by employment coordinators to support young people into work. </w:t>
      </w:r>
    </w:p>
    <w:p w14:paraId="1A5B91DF" w14:textId="77777777" w:rsidR="0024163B" w:rsidRPr="0024163B" w:rsidRDefault="0024163B" w:rsidP="0024163B">
      <w:pPr>
        <w:numPr>
          <w:ilvl w:val="0"/>
          <w:numId w:val="3"/>
        </w:numPr>
      </w:pPr>
      <w:r w:rsidRPr="0024163B">
        <w:lastRenderedPageBreak/>
        <w:t xml:space="preserve">Reflect on lessons learned from more than two decades of place-based programme delivery across multiple communities. </w:t>
      </w:r>
    </w:p>
    <w:p w14:paraId="45F7DFF1" w14:textId="77777777" w:rsidR="0024163B" w:rsidRPr="0024163B" w:rsidRDefault="00AA6741" w:rsidP="0024163B">
      <w:r>
        <w:pict w14:anchorId="4884E763">
          <v:rect id="_x0000_i1027" style="width:0;height:1.5pt" o:hralign="center" o:hrstd="t" o:hr="t" fillcolor="#a0a0a0" stroked="f"/>
        </w:pict>
      </w:r>
    </w:p>
    <w:p w14:paraId="515708C6" w14:textId="77777777" w:rsidR="0024163B" w:rsidRPr="0024163B" w:rsidRDefault="0024163B" w:rsidP="0024163B">
      <w:r w:rsidRPr="0024163B">
        <w:t>Theoretical Basis</w:t>
      </w:r>
    </w:p>
    <w:p w14:paraId="12F8872C" w14:textId="77777777" w:rsidR="0024163B" w:rsidRPr="0024163B" w:rsidRDefault="0024163B" w:rsidP="006F2ECE">
      <w:pPr>
        <w:ind w:firstLine="720"/>
      </w:pPr>
      <w:r w:rsidRPr="0024163B">
        <w:t>The programme aligns with research on place-based career development systems and labour market intermediation, which emphasise the importance of local institutions in supporting employment transitions. Career development scholarship increasingly recognises that successful employment outcomes depend not only on individual guidance but also on the strength of local networks connecting job seekers and employers (Hooley, Sultana, &amp; Thomsen, 2018).</w:t>
      </w:r>
    </w:p>
    <w:p w14:paraId="63666465" w14:textId="77777777" w:rsidR="0024163B" w:rsidRPr="0024163B" w:rsidRDefault="0024163B" w:rsidP="0024163B">
      <w:r w:rsidRPr="0024163B">
        <w:t>This work is also informed by administrative data insights from the Social Investment Agency, which highlight the long-term social and fiscal impacts of early labour market disengagement. Welfare-to-work research undertaken by the Institute for Democratic and Economic Analysis and other policy institutions similarly demonstrates the value of early employment interventions that prevent young people from becoming entrenched in long-term benefit dependency.</w:t>
      </w:r>
    </w:p>
    <w:p w14:paraId="6A26667B" w14:textId="77777777" w:rsidR="0024163B" w:rsidRPr="0024163B" w:rsidRDefault="00AA6741" w:rsidP="0024163B">
      <w:r>
        <w:pict w14:anchorId="2DAD963C">
          <v:rect id="_x0000_i1028" style="width:0;height:1.5pt" o:hralign="center" o:hrstd="t" o:hr="t" fillcolor="#a0a0a0" stroked="f"/>
        </w:pict>
      </w:r>
    </w:p>
    <w:p w14:paraId="5E367D2F" w14:textId="77777777" w:rsidR="0024163B" w:rsidRPr="0024163B" w:rsidRDefault="0024163B" w:rsidP="0024163B">
      <w:r w:rsidRPr="0024163B">
        <w:t>Methodology</w:t>
      </w:r>
    </w:p>
    <w:p w14:paraId="6B6D619E" w14:textId="77777777" w:rsidR="0024163B" w:rsidRPr="0024163B" w:rsidRDefault="0024163B" w:rsidP="006F2ECE">
      <w:pPr>
        <w:ind w:firstLine="720"/>
      </w:pPr>
      <w:r w:rsidRPr="0024163B">
        <w:t>This practice-based paper draws on programme documentation, delivery frameworks, and outcome data from the MTFJ Community Employment Programme. Quantitative evidence includes analysis of administrative datasets, including insights from New Zealand’s Integrated Data Infrastructure (IDI), which allows longitudinal tracking of employment participation and benefit outcomes.</w:t>
      </w:r>
    </w:p>
    <w:p w14:paraId="5E46D9AA" w14:textId="77777777" w:rsidR="0024163B" w:rsidRPr="0024163B" w:rsidRDefault="0024163B" w:rsidP="0024163B">
      <w:r w:rsidRPr="0024163B">
        <w:t>Qualitative insights are drawn from practitioner experience and programme delivery across multiple councils participating in the MTFJ network. At the time of writing, the programme operates across 36 councils, providing a broad and diverse base of delivery contexts, including rural, provincial, and urban communities.</w:t>
      </w:r>
    </w:p>
    <w:p w14:paraId="5F1944EB" w14:textId="77777777" w:rsidR="0024163B" w:rsidRPr="0024163B" w:rsidRDefault="00AA6741" w:rsidP="0024163B">
      <w:r>
        <w:pict w14:anchorId="77694A65">
          <v:rect id="_x0000_i1029" style="width:0;height:1.5pt" o:hralign="center" o:hrstd="t" o:hr="t" fillcolor="#a0a0a0" stroked="f"/>
        </w:pict>
      </w:r>
    </w:p>
    <w:p w14:paraId="6775D65E" w14:textId="77777777" w:rsidR="0024163B" w:rsidRPr="0024163B" w:rsidRDefault="0024163B" w:rsidP="0024163B">
      <w:r w:rsidRPr="0024163B">
        <w:t>Results</w:t>
      </w:r>
    </w:p>
    <w:p w14:paraId="2EADBCAD" w14:textId="77777777" w:rsidR="0024163B" w:rsidRPr="0024163B" w:rsidRDefault="0024163B" w:rsidP="006F2ECE">
      <w:pPr>
        <w:ind w:firstLine="720"/>
      </w:pPr>
      <w:r w:rsidRPr="0024163B">
        <w:t xml:space="preserve">The practice model demonstrates the value of locally embedded employment coordinators who work directly with both young people and employers. Rather than focusing on intensive case management, coordinators prioritise removing practical </w:t>
      </w:r>
      <w:r w:rsidRPr="0024163B">
        <w:lastRenderedPageBreak/>
        <w:t>barriers to employment such as access to driver licences, short-term training, and direct employer connections.</w:t>
      </w:r>
    </w:p>
    <w:p w14:paraId="5A2BFB3C" w14:textId="77777777" w:rsidR="0024163B" w:rsidRPr="0024163B" w:rsidRDefault="0024163B" w:rsidP="0024163B">
      <w:r w:rsidRPr="0024163B">
        <w:t>Since 2020, through its partnership with MSD, the programme has supported close to 9,000 young people into employment, training, and work experience, demonstrating both scale and consistency of delivery across diverse communities.</w:t>
      </w:r>
    </w:p>
    <w:p w14:paraId="64520416" w14:textId="49FD6EFA" w:rsidR="0024163B" w:rsidRPr="0024163B" w:rsidRDefault="0024163B" w:rsidP="0024163B">
      <w:r w:rsidRPr="0024163B">
        <w:t>More recent</w:t>
      </w:r>
      <w:r w:rsidR="00473765">
        <w:t xml:space="preserve"> 2026</w:t>
      </w:r>
      <w:r w:rsidRPr="0024163B">
        <w:t xml:space="preserve"> programme data indicates that 1,022 young people have transitioned directly into employment, with 681 moving off Jobseeker Support, highlighting the effectiveness of early, locally coordinated interventions for those who are work-ready but disconnected from traditional employment services.</w:t>
      </w:r>
    </w:p>
    <w:p w14:paraId="3973B149" w14:textId="77777777" w:rsidR="0024163B" w:rsidRPr="0024163B" w:rsidRDefault="0024163B" w:rsidP="0024163B">
      <w:r w:rsidRPr="0024163B">
        <w:t>Administrative data further indicates improved labour market participation and reduced reliance on income support among participants, particularly for young people who are engaged early and supported through direct employer pathways.</w:t>
      </w:r>
    </w:p>
    <w:p w14:paraId="26650993" w14:textId="77777777" w:rsidR="0024163B" w:rsidRPr="0024163B" w:rsidRDefault="00AA6741" w:rsidP="0024163B">
      <w:r>
        <w:pict w14:anchorId="1D57F34A">
          <v:rect id="_x0000_i1030" style="width:0;height:1.5pt" o:hralign="center" o:hrstd="t" o:hr="t" fillcolor="#a0a0a0" stroked="f"/>
        </w:pict>
      </w:r>
    </w:p>
    <w:p w14:paraId="0D2D0DE5" w14:textId="77777777" w:rsidR="0024163B" w:rsidRPr="0024163B" w:rsidRDefault="0024163B" w:rsidP="0024163B">
      <w:r w:rsidRPr="0024163B">
        <w:t>Policy Context: Social Procurement and Local Labour Market Activation</w:t>
      </w:r>
    </w:p>
    <w:p w14:paraId="147AB43B" w14:textId="77777777" w:rsidR="0024163B" w:rsidRPr="0024163B" w:rsidRDefault="0024163B" w:rsidP="0024163B">
      <w:r w:rsidRPr="0024163B">
        <w:t>Recent public sector procurement reforms in Aotearoa New Zealand have strengthened expectations for delivering broader social outcomes through government spending, positioning employment—particularly for young people—as a key measure of public value.</w:t>
      </w:r>
    </w:p>
    <w:p w14:paraId="4260EB17" w14:textId="77777777" w:rsidR="0024163B" w:rsidRPr="0024163B" w:rsidRDefault="0024163B" w:rsidP="0024163B">
      <w:r w:rsidRPr="0024163B">
        <w:t xml:space="preserve">Within this context, the MTFJ model provides a practical mechanism to connect rangatahi to employment opportunities generated through local and central government investment. By working directly with employers and council procurement pipelines, employment coordinators </w:t>
      </w:r>
      <w:proofErr w:type="gramStart"/>
      <w:r w:rsidRPr="0024163B">
        <w:t>are able to</w:t>
      </w:r>
      <w:proofErr w:type="gramEnd"/>
      <w:r w:rsidRPr="0024163B">
        <w:t xml:space="preserve"> align job opportunities with local young people, ensuring that public investment contributes to community-level employment outcomes.</w:t>
      </w:r>
    </w:p>
    <w:p w14:paraId="1B2798EA" w14:textId="77777777" w:rsidR="0024163B" w:rsidRPr="0024163B" w:rsidRDefault="0024163B" w:rsidP="0024163B">
      <w:r w:rsidRPr="0024163B">
        <w:t>The next stage of the MTFJ model is to embed these approaches more systematically, aligning local employment pathways with public investment in a way that reflects emerging international practice.</w:t>
      </w:r>
    </w:p>
    <w:p w14:paraId="59220E64" w14:textId="77777777" w:rsidR="0024163B" w:rsidRPr="0024163B" w:rsidRDefault="00AA6741" w:rsidP="0024163B">
      <w:r>
        <w:pict w14:anchorId="521D1541">
          <v:rect id="_x0000_i1031" style="width:0;height:1.5pt" o:hralign="center" o:hrstd="t" o:hr="t" fillcolor="#a0a0a0" stroked="f"/>
        </w:pict>
      </w:r>
    </w:p>
    <w:p w14:paraId="0A8EF3D0" w14:textId="77777777" w:rsidR="0024163B" w:rsidRPr="0024163B" w:rsidRDefault="0024163B" w:rsidP="0024163B">
      <w:r w:rsidRPr="0024163B">
        <w:t>Conclusions</w:t>
      </w:r>
    </w:p>
    <w:p w14:paraId="292C321A" w14:textId="77777777" w:rsidR="0024163B" w:rsidRPr="0024163B" w:rsidRDefault="0024163B" w:rsidP="004B4EC3">
      <w:pPr>
        <w:ind w:firstLine="720"/>
      </w:pPr>
      <w:r w:rsidRPr="0024163B">
        <w:t xml:space="preserve">This scale of delivery challenges the assumption that effective employment interventions must be centrally designed, demonstrating instead that locally </w:t>
      </w:r>
      <w:r w:rsidRPr="0024163B">
        <w:lastRenderedPageBreak/>
        <w:t>coordinated systems can operate at scale while maintaining responsiveness to community labour markets.</w:t>
      </w:r>
    </w:p>
    <w:p w14:paraId="1F8AEA7C" w14:textId="77777777" w:rsidR="0024163B" w:rsidRPr="0024163B" w:rsidRDefault="0024163B" w:rsidP="0024163B">
      <w:r w:rsidRPr="0024163B">
        <w:t>The MTFJ Community Employment Programme provides a practical example of how this can be achieved through sustained partnerships between local government, employers, and support services.</w:t>
      </w:r>
    </w:p>
    <w:p w14:paraId="2F526520" w14:textId="77777777" w:rsidR="0024163B" w:rsidRPr="0024163B" w:rsidRDefault="0024163B" w:rsidP="0024163B">
      <w:r w:rsidRPr="0024163B">
        <w:t>Recent public sector procurement reforms in Aotearoa New Zealand have strengthened expectations for delivering broader social outcomes through government spending, positioning employment—particularly for young people—as a key measure of public value. The next stage of the MTFJ model is to embed these approaches more systematically, aligning local employment pathways with public investment in a way that reflects emerging international practice.</w:t>
      </w:r>
    </w:p>
    <w:p w14:paraId="06FE3A72" w14:textId="77777777" w:rsidR="0024163B" w:rsidRPr="0024163B" w:rsidRDefault="0024163B" w:rsidP="0024163B">
      <w:r w:rsidRPr="0024163B">
        <w:t>Early attachment to the labour market is strongly associated with reduced lifetime reliance on income support and increased tax contribution, meaning that even small shifts in youth employment outcomes can generate substantial long-term fiscal savings alongside improved social outcomes.</w:t>
      </w:r>
    </w:p>
    <w:p w14:paraId="6214D545" w14:textId="77777777" w:rsidR="0024163B" w:rsidRPr="0024163B" w:rsidRDefault="0024163B" w:rsidP="0024163B">
      <w:r w:rsidRPr="0024163B">
        <w:t>The findings suggest that stronger integration between local government, employers, and career development practitioners can play a critical role not only in preventing labour market disengagement, but in delivering measurable economic and social returns through sustained employment participation.</w:t>
      </w:r>
    </w:p>
    <w:p w14:paraId="54469833" w14:textId="77777777" w:rsidR="0024163B" w:rsidRPr="0024163B" w:rsidRDefault="00AA6741" w:rsidP="0024163B">
      <w:r>
        <w:pict w14:anchorId="40C5415E">
          <v:rect id="_x0000_i1032" style="width:0;height:1.5pt" o:hralign="center" o:hrstd="t" o:hr="t" fillcolor="#a0a0a0" stroked="f"/>
        </w:pict>
      </w:r>
    </w:p>
    <w:p w14:paraId="3349B817" w14:textId="77777777" w:rsidR="0024163B" w:rsidRPr="0024163B" w:rsidRDefault="0024163B" w:rsidP="0024163B">
      <w:r w:rsidRPr="0024163B">
        <w:t>References</w:t>
      </w:r>
    </w:p>
    <w:p w14:paraId="123D47F9" w14:textId="77777777" w:rsidR="004B4EC3" w:rsidRDefault="0024163B" w:rsidP="004B4EC3">
      <w:pPr>
        <w:ind w:left="720" w:hanging="720"/>
      </w:pPr>
      <w:r w:rsidRPr="0024163B">
        <w:t xml:space="preserve">Bimrose, J., &amp; Barnes, S. (2011). </w:t>
      </w:r>
      <w:r w:rsidRPr="0024163B">
        <w:rPr>
          <w:i/>
          <w:iCs/>
        </w:rPr>
        <w:t>Labour market information and career guidance</w:t>
      </w:r>
      <w:r w:rsidRPr="0024163B">
        <w:t>. Oxford University Press.</w:t>
      </w:r>
    </w:p>
    <w:p w14:paraId="3D857AA5" w14:textId="77777777" w:rsidR="004B4EC3" w:rsidRDefault="0024163B" w:rsidP="004B4EC3">
      <w:pPr>
        <w:ind w:left="720" w:hanging="720"/>
      </w:pPr>
      <w:r w:rsidRPr="0024163B">
        <w:t xml:space="preserve">Hooley, T., Sultana, R. G., &amp; Thomsen, R. (2018). </w:t>
      </w:r>
      <w:r w:rsidRPr="0024163B">
        <w:rPr>
          <w:i/>
          <w:iCs/>
        </w:rPr>
        <w:t>Career guidance for social justice</w:t>
      </w:r>
      <w:r w:rsidRPr="0024163B">
        <w:t>. Routledge.</w:t>
      </w:r>
    </w:p>
    <w:p w14:paraId="19F6F766" w14:textId="77777777" w:rsidR="004B4EC3" w:rsidRDefault="0024163B" w:rsidP="004B4EC3">
      <w:pPr>
        <w:ind w:left="720" w:hanging="720"/>
      </w:pPr>
      <w:r w:rsidRPr="0024163B">
        <w:t xml:space="preserve">Ministry of Business, Innovation and Employment. (2019). </w:t>
      </w:r>
      <w:r w:rsidRPr="0024163B">
        <w:rPr>
          <w:i/>
          <w:iCs/>
        </w:rPr>
        <w:t>Government procurement: Broader outcomes</w:t>
      </w:r>
      <w:r w:rsidRPr="0024163B">
        <w:t>. Wellington, New Zealand.</w:t>
      </w:r>
    </w:p>
    <w:p w14:paraId="4F4B041E" w14:textId="77777777" w:rsidR="004B4EC3" w:rsidRDefault="0024163B" w:rsidP="004B4EC3">
      <w:pPr>
        <w:ind w:left="720" w:hanging="720"/>
      </w:pPr>
      <w:r w:rsidRPr="0024163B">
        <w:t xml:space="preserve">Social Investment Agency. (2021). </w:t>
      </w:r>
      <w:r w:rsidRPr="0024163B">
        <w:rPr>
          <w:i/>
          <w:iCs/>
        </w:rPr>
        <w:t>Using the Integrated Data Infrastructure to understand long-term outcomes for people receiving income support</w:t>
      </w:r>
      <w:r w:rsidRPr="0024163B">
        <w:t>. Wellington, New Zealand.</w:t>
      </w:r>
    </w:p>
    <w:p w14:paraId="067EB7ED" w14:textId="77777777" w:rsidR="0006497F" w:rsidRDefault="0024163B" w:rsidP="004B4EC3">
      <w:pPr>
        <w:ind w:left="720" w:hanging="720"/>
      </w:pPr>
      <w:r w:rsidRPr="0024163B">
        <w:lastRenderedPageBreak/>
        <w:t xml:space="preserve">Institute for Democratic and Economic Analysis. (2022). </w:t>
      </w:r>
      <w:r w:rsidRPr="0024163B">
        <w:rPr>
          <w:i/>
          <w:iCs/>
        </w:rPr>
        <w:t>Welfare-to-work transitions and employment outcomes for young people in New Zealand</w:t>
      </w:r>
      <w:r w:rsidRPr="0024163B">
        <w:t>. Wellington, New Zealand.</w:t>
      </w:r>
    </w:p>
    <w:p w14:paraId="2E2822D9" w14:textId="4662A071" w:rsidR="0024163B" w:rsidRPr="0024163B" w:rsidRDefault="0024163B" w:rsidP="004B4EC3">
      <w:pPr>
        <w:ind w:left="720" w:hanging="720"/>
      </w:pPr>
      <w:r w:rsidRPr="0024163B">
        <w:t xml:space="preserve">Watts, A. G. (2013). False dawns, bleak sunset: The Coalition Government’s policies on career guidance. </w:t>
      </w:r>
      <w:r w:rsidRPr="0024163B">
        <w:rPr>
          <w:i/>
          <w:iCs/>
        </w:rPr>
        <w:t>British Journal of Guidance &amp; Counselling, 41</w:t>
      </w:r>
      <w:r w:rsidRPr="0024163B">
        <w:t>(4), 442–453.</w:t>
      </w:r>
    </w:p>
    <w:p w14:paraId="37CD84F9" w14:textId="77777777" w:rsidR="00A40CAE" w:rsidRDefault="00A40CAE"/>
    <w:sectPr w:rsidR="00A40CA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FD13A" w14:textId="77777777" w:rsidR="00AA6741" w:rsidRDefault="00AA6741" w:rsidP="007548FD">
      <w:pPr>
        <w:spacing w:after="0" w:line="240" w:lineRule="auto"/>
      </w:pPr>
      <w:r>
        <w:separator/>
      </w:r>
    </w:p>
  </w:endnote>
  <w:endnote w:type="continuationSeparator" w:id="0">
    <w:p w14:paraId="4CB1A37A" w14:textId="77777777" w:rsidR="00AA6741" w:rsidRDefault="00AA6741" w:rsidP="00754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5E7E9" w14:textId="77777777" w:rsidR="00AA6741" w:rsidRDefault="00AA6741" w:rsidP="007548FD">
      <w:pPr>
        <w:spacing w:after="0" w:line="240" w:lineRule="auto"/>
      </w:pPr>
      <w:r>
        <w:separator/>
      </w:r>
    </w:p>
  </w:footnote>
  <w:footnote w:type="continuationSeparator" w:id="0">
    <w:p w14:paraId="02B16177" w14:textId="77777777" w:rsidR="00AA6741" w:rsidRDefault="00AA6741" w:rsidP="007548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EBD47" w14:textId="77777777" w:rsidR="007548FD" w:rsidRDefault="007548FD">
    <w:pPr>
      <w:pStyle w:val="Header"/>
    </w:pPr>
  </w:p>
  <w:p w14:paraId="119191DF" w14:textId="6376C0C9" w:rsidR="007548FD" w:rsidRDefault="007548FD">
    <w:pPr>
      <w:pStyle w:val="Header"/>
    </w:pPr>
    <w:r>
      <w:rPr>
        <w:noProof/>
      </w:rPr>
      <w:drawing>
        <wp:inline distT="0" distB="0" distL="0" distR="0" wp14:anchorId="5D25FEDF" wp14:editId="416795F7">
          <wp:extent cx="2005965" cy="591185"/>
          <wp:effectExtent l="0" t="0" r="0" b="0"/>
          <wp:docPr id="11077138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5965" cy="591185"/>
                  </a:xfrm>
                  <a:prstGeom prst="rect">
                    <a:avLst/>
                  </a:prstGeom>
                  <a:noFill/>
                </pic:spPr>
              </pic:pic>
            </a:graphicData>
          </a:graphic>
        </wp:inline>
      </w:drawing>
    </w:r>
  </w:p>
  <w:p w14:paraId="256D7304" w14:textId="77777777" w:rsidR="006F2ECE" w:rsidRDefault="006F2ECE">
    <w:pPr>
      <w:pStyle w:val="Header"/>
    </w:pPr>
  </w:p>
  <w:p w14:paraId="68B5A584" w14:textId="77777777" w:rsidR="006F2ECE" w:rsidRDefault="006F2E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85BCF"/>
    <w:multiLevelType w:val="multilevel"/>
    <w:tmpl w:val="98521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AB361A"/>
    <w:multiLevelType w:val="multilevel"/>
    <w:tmpl w:val="99DAD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2A06F27"/>
    <w:multiLevelType w:val="multilevel"/>
    <w:tmpl w:val="15FCDB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08381192">
    <w:abstractNumId w:val="1"/>
  </w:num>
  <w:num w:numId="2" w16cid:durableId="1346782729">
    <w:abstractNumId w:val="2"/>
  </w:num>
  <w:num w:numId="3" w16cid:durableId="1415587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F97"/>
    <w:rsid w:val="0006497F"/>
    <w:rsid w:val="0024163B"/>
    <w:rsid w:val="00241916"/>
    <w:rsid w:val="0024764A"/>
    <w:rsid w:val="00473765"/>
    <w:rsid w:val="004B4EC3"/>
    <w:rsid w:val="004C04AC"/>
    <w:rsid w:val="005227E5"/>
    <w:rsid w:val="005B3F62"/>
    <w:rsid w:val="006F2ECE"/>
    <w:rsid w:val="007548FD"/>
    <w:rsid w:val="00896F97"/>
    <w:rsid w:val="009506E9"/>
    <w:rsid w:val="00A40CAE"/>
    <w:rsid w:val="00A65F0A"/>
    <w:rsid w:val="00A93E6B"/>
    <w:rsid w:val="00AA6741"/>
    <w:rsid w:val="00F31811"/>
    <w:rsid w:val="00F476E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5A469F"/>
  <w15:chartTrackingRefBased/>
  <w15:docId w15:val="{473F3FE6-8F5A-4A46-9073-0EEFD8CA8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6F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6F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6F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6F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6F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6F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6F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6F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6F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6F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6F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6F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6F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6F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6F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6F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6F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6F97"/>
    <w:rPr>
      <w:rFonts w:eastAsiaTheme="majorEastAsia" w:cstheme="majorBidi"/>
      <w:color w:val="272727" w:themeColor="text1" w:themeTint="D8"/>
    </w:rPr>
  </w:style>
  <w:style w:type="paragraph" w:styleId="Title">
    <w:name w:val="Title"/>
    <w:basedOn w:val="Normal"/>
    <w:next w:val="Normal"/>
    <w:link w:val="TitleChar"/>
    <w:uiPriority w:val="10"/>
    <w:qFormat/>
    <w:rsid w:val="00896F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6F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6F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6F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6F97"/>
    <w:pPr>
      <w:spacing w:before="160"/>
      <w:jc w:val="center"/>
    </w:pPr>
    <w:rPr>
      <w:i/>
      <w:iCs/>
      <w:color w:val="404040" w:themeColor="text1" w:themeTint="BF"/>
    </w:rPr>
  </w:style>
  <w:style w:type="character" w:customStyle="1" w:styleId="QuoteChar">
    <w:name w:val="Quote Char"/>
    <w:basedOn w:val="DefaultParagraphFont"/>
    <w:link w:val="Quote"/>
    <w:uiPriority w:val="29"/>
    <w:rsid w:val="00896F97"/>
    <w:rPr>
      <w:i/>
      <w:iCs/>
      <w:color w:val="404040" w:themeColor="text1" w:themeTint="BF"/>
    </w:rPr>
  </w:style>
  <w:style w:type="paragraph" w:styleId="ListParagraph">
    <w:name w:val="List Paragraph"/>
    <w:basedOn w:val="Normal"/>
    <w:uiPriority w:val="34"/>
    <w:qFormat/>
    <w:rsid w:val="00896F97"/>
    <w:pPr>
      <w:ind w:left="720"/>
      <w:contextualSpacing/>
    </w:pPr>
  </w:style>
  <w:style w:type="character" w:styleId="IntenseEmphasis">
    <w:name w:val="Intense Emphasis"/>
    <w:basedOn w:val="DefaultParagraphFont"/>
    <w:uiPriority w:val="21"/>
    <w:qFormat/>
    <w:rsid w:val="00896F97"/>
    <w:rPr>
      <w:i/>
      <w:iCs/>
      <w:color w:val="0F4761" w:themeColor="accent1" w:themeShade="BF"/>
    </w:rPr>
  </w:style>
  <w:style w:type="paragraph" w:styleId="IntenseQuote">
    <w:name w:val="Intense Quote"/>
    <w:basedOn w:val="Normal"/>
    <w:next w:val="Normal"/>
    <w:link w:val="IntenseQuoteChar"/>
    <w:uiPriority w:val="30"/>
    <w:qFormat/>
    <w:rsid w:val="00896F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6F97"/>
    <w:rPr>
      <w:i/>
      <w:iCs/>
      <w:color w:val="0F4761" w:themeColor="accent1" w:themeShade="BF"/>
    </w:rPr>
  </w:style>
  <w:style w:type="character" w:styleId="IntenseReference">
    <w:name w:val="Intense Reference"/>
    <w:basedOn w:val="DefaultParagraphFont"/>
    <w:uiPriority w:val="32"/>
    <w:qFormat/>
    <w:rsid w:val="00896F97"/>
    <w:rPr>
      <w:b/>
      <w:bCs/>
      <w:smallCaps/>
      <w:color w:val="0F4761" w:themeColor="accent1" w:themeShade="BF"/>
      <w:spacing w:val="5"/>
    </w:rPr>
  </w:style>
  <w:style w:type="paragraph" w:styleId="Header">
    <w:name w:val="header"/>
    <w:basedOn w:val="Normal"/>
    <w:link w:val="HeaderChar"/>
    <w:uiPriority w:val="99"/>
    <w:unhideWhenUsed/>
    <w:rsid w:val="007548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48FD"/>
  </w:style>
  <w:style w:type="paragraph" w:styleId="Footer">
    <w:name w:val="footer"/>
    <w:basedOn w:val="Normal"/>
    <w:link w:val="FooterChar"/>
    <w:uiPriority w:val="99"/>
    <w:unhideWhenUsed/>
    <w:rsid w:val="007548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48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1162</Words>
  <Characters>6630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Tammie Metcalfe</dc:creator>
  <cp:keywords/>
  <dc:description/>
  <cp:lastModifiedBy>Tammie Metcalfe</cp:lastModifiedBy>
  <cp:revision>2</cp:revision>
  <dcterms:created xsi:type="dcterms:W3CDTF">2026-04-15T10:35:00Z</dcterms:created>
  <dcterms:modified xsi:type="dcterms:W3CDTF">2026-04-15T10:35:00Z</dcterms:modified>
</cp:coreProperties>
</file>