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BD8E4" w14:textId="77777777" w:rsidR="00AB4917" w:rsidRDefault="00AC4FFB">
      <w:pPr>
        <w:spacing w:line="360" w:lineRule="auto"/>
        <w:outlineLvl w:val="1"/>
        <w:rPr>
          <w:rFonts w:ascii="Calibri" w:eastAsia="Times New Roman" w:hAnsi="Calibri" w:cs="Calibri"/>
          <w:b/>
          <w:bCs/>
          <w:kern w:val="0"/>
          <w:sz w:val="22"/>
          <w:szCs w:val="22"/>
          <w:lang w:eastAsia="en-AU"/>
        </w:rPr>
      </w:pPr>
      <w:r>
        <w:rPr>
          <w:rFonts w:ascii="Calibri" w:eastAsia="Times New Roman" w:hAnsi="Calibri" w:cs="Calibri"/>
          <w:b/>
          <w:bCs/>
          <w:kern w:val="0"/>
          <w:sz w:val="22"/>
          <w:szCs w:val="22"/>
          <w:lang w:eastAsia="en-AU"/>
        </w:rPr>
        <w:t>Title of paper: A Practice of Change in Career Development: Two approaches towards understanding change.</w:t>
      </w:r>
    </w:p>
    <w:p w14:paraId="605BD8E5" w14:textId="77777777" w:rsidR="00AB4917" w:rsidRDefault="00AC4FFB">
      <w:pPr>
        <w:spacing w:line="360" w:lineRule="auto"/>
        <w:outlineLvl w:val="1"/>
        <w:rPr>
          <w:rFonts w:ascii="Calibri" w:eastAsia="Times New Roman" w:hAnsi="Calibri" w:cs="Calibri"/>
          <w:b/>
          <w:bCs/>
          <w:kern w:val="0"/>
          <w:sz w:val="22"/>
          <w:szCs w:val="22"/>
          <w:lang w:eastAsia="en-AU"/>
        </w:rPr>
      </w:pPr>
      <w:r>
        <w:rPr>
          <w:rFonts w:ascii="Calibri" w:eastAsia="Times New Roman" w:hAnsi="Calibri" w:cs="Calibri"/>
          <w:b/>
          <w:bCs/>
          <w:kern w:val="0"/>
          <w:sz w:val="22"/>
          <w:szCs w:val="22"/>
          <w:lang w:eastAsia="en-AU"/>
        </w:rPr>
        <w:t>Conference theme: Best practice</w:t>
      </w:r>
    </w:p>
    <w:p w14:paraId="605BD8E6" w14:textId="77777777" w:rsidR="00AB4917" w:rsidRDefault="00AC4FFB">
      <w:pPr>
        <w:spacing w:line="360" w:lineRule="auto"/>
        <w:outlineLvl w:val="1"/>
        <w:rPr>
          <w:rFonts w:ascii="Calibri" w:eastAsia="Times New Roman" w:hAnsi="Calibri" w:cs="Calibri"/>
          <w:b/>
          <w:bCs/>
          <w:kern w:val="0"/>
          <w:sz w:val="22"/>
          <w:szCs w:val="22"/>
          <w:lang w:eastAsia="en-AU"/>
        </w:rPr>
      </w:pPr>
      <w:r>
        <w:rPr>
          <w:rFonts w:ascii="Calibri" w:eastAsia="Times New Roman" w:hAnsi="Calibri" w:cs="Calibri"/>
          <w:b/>
          <w:bCs/>
          <w:kern w:val="0"/>
          <w:sz w:val="22"/>
          <w:szCs w:val="22"/>
          <w:lang w:eastAsia="en-AU"/>
        </w:rPr>
        <w:t>Presentation language: English</w:t>
      </w:r>
    </w:p>
    <w:p w14:paraId="605BD8E7" w14:textId="77777777" w:rsidR="00AB4917" w:rsidRDefault="00AB4917">
      <w:pPr>
        <w:spacing w:line="360" w:lineRule="auto"/>
        <w:outlineLvl w:val="1"/>
        <w:rPr>
          <w:rFonts w:ascii="Calibri" w:eastAsia="Times New Roman" w:hAnsi="Calibri" w:cs="Calibri"/>
          <w:b/>
          <w:bCs/>
          <w:kern w:val="0"/>
          <w:sz w:val="22"/>
          <w:szCs w:val="22"/>
          <w:lang w:eastAsia="en-AU"/>
        </w:rPr>
      </w:pPr>
    </w:p>
    <w:p w14:paraId="605BD8E8" w14:textId="77777777" w:rsidR="00AB4917" w:rsidRDefault="00AC4FFB">
      <w:pPr>
        <w:spacing w:line="360" w:lineRule="auto"/>
        <w:jc w:val="center"/>
        <w:outlineLvl w:val="1"/>
        <w:rPr>
          <w:rFonts w:ascii="Calibri" w:eastAsia="Times New Roman" w:hAnsi="Calibri" w:cs="Calibri"/>
          <w:b/>
          <w:bCs/>
          <w:kern w:val="0"/>
          <w:sz w:val="22"/>
          <w:szCs w:val="22"/>
          <w:lang w:eastAsia="en-AU"/>
        </w:rPr>
      </w:pPr>
      <w:r>
        <w:rPr>
          <w:rFonts w:ascii="Calibri" w:eastAsia="Times New Roman" w:hAnsi="Calibri" w:cs="Calibri"/>
          <w:b/>
          <w:bCs/>
          <w:kern w:val="0"/>
          <w:sz w:val="22"/>
          <w:szCs w:val="22"/>
          <w:lang w:eastAsia="en-AU"/>
        </w:rPr>
        <w:t>Abstract</w:t>
      </w:r>
    </w:p>
    <w:p w14:paraId="605BD8E9" w14:textId="77777777" w:rsidR="00AB4917" w:rsidRDefault="00AC4FFB">
      <w:pPr>
        <w:spacing w:line="360" w:lineRule="auto"/>
      </w:pPr>
      <w:r>
        <w:rPr>
          <w:rFonts w:ascii="Calibri" w:eastAsia="Times New Roman" w:hAnsi="Calibri" w:cs="Calibri"/>
          <w:b/>
          <w:bCs/>
          <w:kern w:val="0"/>
          <w:sz w:val="22"/>
          <w:szCs w:val="22"/>
          <w:lang w:eastAsia="en-AU"/>
        </w:rPr>
        <w:t>Keywords:</w:t>
      </w:r>
      <w:r>
        <w:rPr>
          <w:rFonts w:ascii="Calibri" w:eastAsia="Times New Roman" w:hAnsi="Calibri" w:cs="Calibri"/>
          <w:kern w:val="0"/>
          <w:sz w:val="22"/>
          <w:szCs w:val="22"/>
          <w:lang w:eastAsia="en-AU"/>
        </w:rPr>
        <w:t xml:space="preserve"> practice-led career development; kaupapa </w:t>
      </w:r>
      <w:r>
        <w:rPr>
          <w:rFonts w:ascii="Calibri" w:eastAsia="Times New Roman" w:hAnsi="Calibri" w:cs="Calibri"/>
          <w:kern w:val="0"/>
          <w:sz w:val="22"/>
          <w:szCs w:val="22"/>
          <w:lang w:eastAsia="en-AU"/>
        </w:rPr>
        <w:t>Māori; wayfinding evaluation</w:t>
      </w:r>
    </w:p>
    <w:p w14:paraId="605BD8EA" w14:textId="77777777" w:rsidR="00AB4917" w:rsidRDefault="00AC4FFB">
      <w:pPr>
        <w:spacing w:line="360" w:lineRule="auto"/>
        <w:rPr>
          <w:rFonts w:ascii="Calibri" w:eastAsia="Times New Roman" w:hAnsi="Calibri" w:cs="Calibri"/>
          <w:kern w:val="0"/>
          <w:sz w:val="22"/>
          <w:szCs w:val="22"/>
          <w:lang w:eastAsia="en-AU"/>
        </w:rPr>
      </w:pPr>
      <w:r>
        <w:rPr>
          <w:rFonts w:ascii="Calibri" w:eastAsia="Times New Roman" w:hAnsi="Calibri" w:cs="Calibri"/>
          <w:kern w:val="0"/>
          <w:sz w:val="22"/>
          <w:szCs w:val="22"/>
          <w:lang w:eastAsia="en-AU"/>
        </w:rPr>
        <w:t>Career development systems in Aotearoa New Zealand are expected to demonstrate impact through predefined approaches to change, often framed through linear, theory-driven models linking inputs, activities, and outcomes. However, these models struggle to reflect the social, cultural, and relational foundations of career development for Māori. This paper proposes a practice-led perspective, positioning a practice of change as evolving, grounded in lived experience, and shaped through relationships over time. C</w:t>
      </w:r>
      <w:r>
        <w:rPr>
          <w:rFonts w:ascii="Calibri" w:eastAsia="Times New Roman" w:hAnsi="Calibri" w:cs="Calibri"/>
          <w:kern w:val="0"/>
          <w:sz w:val="22"/>
          <w:szCs w:val="22"/>
          <w:lang w:eastAsia="en-AU"/>
        </w:rPr>
        <w:t>hange is not imposed but emerges through and is navigated within practice.</w:t>
      </w:r>
    </w:p>
    <w:p w14:paraId="605BD8EB" w14:textId="77777777" w:rsidR="00AB4917" w:rsidRDefault="00AB4917">
      <w:pPr>
        <w:spacing w:line="360" w:lineRule="auto"/>
        <w:rPr>
          <w:rFonts w:ascii="Calibri" w:eastAsia="Times New Roman" w:hAnsi="Calibri" w:cs="Calibri"/>
          <w:kern w:val="0"/>
          <w:sz w:val="22"/>
          <w:szCs w:val="22"/>
          <w:lang w:eastAsia="en-AU"/>
        </w:rPr>
      </w:pPr>
    </w:p>
    <w:p w14:paraId="605BD8EC" w14:textId="77777777" w:rsidR="00AB4917" w:rsidRDefault="00AC4FFB">
      <w:pPr>
        <w:spacing w:line="360" w:lineRule="auto"/>
        <w:rPr>
          <w:rFonts w:ascii="Calibri" w:eastAsia="Times New Roman" w:hAnsi="Calibri" w:cs="Calibri"/>
          <w:kern w:val="0"/>
          <w:sz w:val="22"/>
          <w:szCs w:val="22"/>
          <w:lang w:eastAsia="en-AU"/>
        </w:rPr>
      </w:pPr>
      <w:r>
        <w:rPr>
          <w:rFonts w:ascii="Calibri" w:eastAsia="Times New Roman" w:hAnsi="Calibri" w:cs="Calibri"/>
          <w:kern w:val="0"/>
          <w:sz w:val="22"/>
          <w:szCs w:val="22"/>
          <w:lang w:eastAsia="en-AU"/>
        </w:rPr>
        <w:t xml:space="preserve">Grounded in </w:t>
      </w:r>
      <w:proofErr w:type="spellStart"/>
      <w:r>
        <w:rPr>
          <w:rFonts w:ascii="Calibri" w:eastAsia="Times New Roman" w:hAnsi="Calibri" w:cs="Calibri"/>
          <w:kern w:val="0"/>
          <w:sz w:val="22"/>
          <w:szCs w:val="22"/>
          <w:lang w:eastAsia="en-AU"/>
        </w:rPr>
        <w:t>Te</w:t>
      </w:r>
      <w:proofErr w:type="spellEnd"/>
      <w:r>
        <w:rPr>
          <w:rFonts w:ascii="Calibri" w:eastAsia="Times New Roman" w:hAnsi="Calibri" w:cs="Calibri"/>
          <w:kern w:val="0"/>
          <w:sz w:val="22"/>
          <w:szCs w:val="22"/>
          <w:lang w:eastAsia="en-AU"/>
        </w:rPr>
        <w:t xml:space="preserve"> Ao Māori epistemologies, this work positions career development as interconnected with whakapapa, belonging, and collective wellbeing. From this foundation, practice is cultivated through relationships and collective responsibility, reframing career development as an expression of identity, purpose, and connection, shaped in relationship with whānau and communities.</w:t>
      </w:r>
    </w:p>
    <w:p w14:paraId="605BD8ED" w14:textId="77777777" w:rsidR="00AB4917" w:rsidRDefault="00AB4917">
      <w:pPr>
        <w:spacing w:line="360" w:lineRule="auto"/>
        <w:rPr>
          <w:rFonts w:ascii="Calibri" w:eastAsia="Times New Roman" w:hAnsi="Calibri" w:cs="Calibri"/>
          <w:kern w:val="0"/>
          <w:sz w:val="22"/>
          <w:szCs w:val="22"/>
          <w:lang w:eastAsia="en-AU"/>
        </w:rPr>
      </w:pPr>
    </w:p>
    <w:p w14:paraId="605BD8EE" w14:textId="77777777" w:rsidR="00AB4917" w:rsidRDefault="00AC4FFB">
      <w:pPr>
        <w:spacing w:line="360" w:lineRule="auto"/>
      </w:pPr>
      <w:r>
        <w:rPr>
          <w:rFonts w:ascii="Calibri" w:eastAsia="Times New Roman" w:hAnsi="Calibri" w:cs="Calibri"/>
          <w:kern w:val="0"/>
          <w:sz w:val="22"/>
          <w:szCs w:val="22"/>
          <w:lang w:eastAsia="en-AU"/>
        </w:rPr>
        <w:t>This paper draws on two interconnected approaches that illustrate how practice can be recognised, strengthened, and understood in relation to change. The first is a kaupapa Māori-informed careers quality framework for career education, information, advice and guidance in Aotearoa (Reid, 2024). It positions quality as values-driven and shaped by context, with key dimensions including self-determined success, thriving identities, and sustainable futures. It highlights that quality is recognised within practic</w:t>
      </w:r>
      <w:r>
        <w:rPr>
          <w:rFonts w:ascii="Calibri" w:eastAsia="Times New Roman" w:hAnsi="Calibri" w:cs="Calibri"/>
          <w:kern w:val="0"/>
          <w:sz w:val="22"/>
          <w:szCs w:val="22"/>
          <w:lang w:eastAsia="en-AU"/>
        </w:rPr>
        <w:t xml:space="preserve">e, as the knowledge and lived expertise of communities and the practitioners working alongside them. The application of the careers quality framework in the refresh of Rangatahi Futures, </w:t>
      </w:r>
      <w:r>
        <w:rPr>
          <w:rFonts w:ascii="Calibri" w:hAnsi="Calibri" w:cs="Calibri"/>
          <w:sz w:val="22"/>
          <w:szCs w:val="22"/>
          <w:lang w:val="en-NZ"/>
        </w:rPr>
        <w:t>a government-led resource co-developed with Māori practitioners,</w:t>
      </w:r>
      <w:r>
        <w:rPr>
          <w:rFonts w:ascii="Calibri" w:eastAsia="Times New Roman" w:hAnsi="Calibri" w:cs="Calibri"/>
          <w:kern w:val="0"/>
          <w:sz w:val="22"/>
          <w:szCs w:val="22"/>
          <w:lang w:eastAsia="en-AU"/>
        </w:rPr>
        <w:t xml:space="preserve"> demonstrates how quality can be made visible and strengthened in practice approaches when values, a shared language and frameworks are recognised, identified and developed as part of shared conversations on what quality looks and feels  like. In this way, the </w:t>
      </w:r>
      <w:r>
        <w:rPr>
          <w:rFonts w:ascii="Calibri" w:eastAsia="Times New Roman" w:hAnsi="Calibri" w:cs="Calibri"/>
          <w:kern w:val="0"/>
          <w:sz w:val="22"/>
          <w:szCs w:val="22"/>
          <w:lang w:eastAsia="en-AU"/>
        </w:rPr>
        <w:t>framework generates new insights and legitimises knowledge already held in practice and communities.</w:t>
      </w:r>
    </w:p>
    <w:p w14:paraId="605BD8EF" w14:textId="77777777" w:rsidR="00AB4917" w:rsidRDefault="00AB4917">
      <w:pPr>
        <w:spacing w:line="360" w:lineRule="auto"/>
      </w:pPr>
    </w:p>
    <w:p w14:paraId="605BD8F0" w14:textId="77777777" w:rsidR="00AB4917" w:rsidRDefault="00AC4FFB">
      <w:pPr>
        <w:spacing w:line="360" w:lineRule="auto"/>
      </w:pPr>
      <w:r>
        <w:rPr>
          <w:rFonts w:ascii="Calibri" w:eastAsia="Times New Roman" w:hAnsi="Calibri" w:cs="Calibri"/>
          <w:kern w:val="0"/>
          <w:sz w:val="22"/>
          <w:szCs w:val="22"/>
          <w:lang w:eastAsia="en-AU"/>
        </w:rPr>
        <w:t xml:space="preserve">The second approach draws on Wayfinding </w:t>
      </w:r>
      <w:r>
        <w:rPr>
          <w:rFonts w:ascii="Calibri" w:hAnsi="Calibri" w:cs="Calibri"/>
          <w:sz w:val="22"/>
          <w:szCs w:val="22"/>
          <w:lang w:val="en-NZ"/>
        </w:rPr>
        <w:t xml:space="preserve">(Spiller et al., 2015), </w:t>
      </w:r>
      <w:r>
        <w:rPr>
          <w:rFonts w:ascii="Calibri" w:eastAsia="Times New Roman" w:hAnsi="Calibri" w:cs="Calibri"/>
          <w:kern w:val="0"/>
          <w:sz w:val="22"/>
          <w:szCs w:val="22"/>
          <w:lang w:eastAsia="en-AU"/>
        </w:rPr>
        <w:t>an evaluation method grounded in Indigenous navigation principles to understand how practice change unfolds over time. Wayfinding centres meaning, lived experience, and connection, attending to what is steady and what is shifting. Drawing on whakapapa, people, and context, it recognises patterns of identity, belonging, and interaction as they emerge, offering a grounded understanding of impact. It provides an alternative to conventional evaluation by shifting the focus from measuring</w:t>
      </w:r>
      <w:r>
        <w:rPr>
          <w:rFonts w:ascii="Calibri" w:eastAsia="Times New Roman" w:hAnsi="Calibri" w:cs="Calibri"/>
          <w:kern w:val="0"/>
          <w:sz w:val="22"/>
          <w:szCs w:val="22"/>
          <w:lang w:eastAsia="en-AU"/>
        </w:rPr>
        <w:t xml:space="preserve"> outcomes to understanding a practice of change in context.</w:t>
      </w:r>
    </w:p>
    <w:p w14:paraId="605BD8F1" w14:textId="77777777" w:rsidR="00AB4917" w:rsidRDefault="00AB4917">
      <w:pPr>
        <w:spacing w:line="360" w:lineRule="auto"/>
      </w:pPr>
    </w:p>
    <w:p w14:paraId="605BD8F2" w14:textId="77777777" w:rsidR="00AB4917" w:rsidRDefault="00AC4FFB">
      <w:pPr>
        <w:spacing w:line="360" w:lineRule="auto"/>
        <w:rPr>
          <w:rFonts w:ascii="Calibri" w:eastAsia="Times New Roman" w:hAnsi="Calibri" w:cs="Calibri"/>
          <w:kern w:val="0"/>
          <w:sz w:val="22"/>
          <w:szCs w:val="22"/>
          <w:lang w:eastAsia="en-AU"/>
        </w:rPr>
      </w:pPr>
      <w:r>
        <w:rPr>
          <w:rFonts w:ascii="Calibri" w:eastAsia="Times New Roman" w:hAnsi="Calibri" w:cs="Calibri"/>
          <w:kern w:val="0"/>
          <w:sz w:val="22"/>
          <w:szCs w:val="22"/>
          <w:lang w:eastAsia="en-AU"/>
        </w:rPr>
        <w:t xml:space="preserve">Together, these approaches shift attention from designing change in </w:t>
      </w:r>
      <w:r>
        <w:rPr>
          <w:rFonts w:ascii="Calibri" w:eastAsia="Times New Roman" w:hAnsi="Calibri" w:cs="Calibri"/>
          <w:kern w:val="0"/>
          <w:sz w:val="22"/>
          <w:szCs w:val="22"/>
          <w:lang w:eastAsia="en-AU"/>
        </w:rPr>
        <w:t>advance to recognising and working with what is already occurring within practice. For example, understanding an ongoing process of recognising, interpreting, and strengthening what matters here or in this context.</w:t>
      </w:r>
    </w:p>
    <w:p w14:paraId="605BD8F3" w14:textId="77777777" w:rsidR="00AB4917" w:rsidRDefault="00AC4FFB">
      <w:pPr>
        <w:spacing w:line="360" w:lineRule="auto"/>
        <w:rPr>
          <w:rFonts w:ascii="Calibri" w:eastAsia="Times New Roman" w:hAnsi="Calibri" w:cs="Calibri"/>
          <w:kern w:val="0"/>
          <w:sz w:val="22"/>
          <w:szCs w:val="22"/>
          <w:lang w:eastAsia="en-AU"/>
        </w:rPr>
      </w:pPr>
      <w:r>
        <w:rPr>
          <w:rFonts w:ascii="Calibri" w:eastAsia="Times New Roman" w:hAnsi="Calibri" w:cs="Calibri"/>
          <w:kern w:val="0"/>
          <w:sz w:val="22"/>
          <w:szCs w:val="22"/>
          <w:lang w:eastAsia="en-AU"/>
        </w:rPr>
        <w:t>Career development practice is a site of meaning, action, and change, shaped by the values and commitments shared by communities and practitioners. This paper positions practice as a place of change in motion, unfolding over time through shifts in mindset and the capability of practitioners to act on what they already know, following the lead of their communities. A practice of change offers an Indigenous-informed perspective that frames career development as a collective practice of change that can support</w:t>
      </w:r>
      <w:r>
        <w:rPr>
          <w:rFonts w:ascii="Calibri" w:eastAsia="Times New Roman" w:hAnsi="Calibri" w:cs="Calibri"/>
          <w:kern w:val="0"/>
          <w:sz w:val="22"/>
          <w:szCs w:val="22"/>
          <w:lang w:eastAsia="en-AU"/>
        </w:rPr>
        <w:t xml:space="preserve"> identity, wellbeing, and sustainable past, present and futures for communities.</w:t>
      </w:r>
    </w:p>
    <w:p w14:paraId="605BD8F4" w14:textId="77777777" w:rsidR="00AB4917" w:rsidRDefault="00AB4917">
      <w:pPr>
        <w:spacing w:line="360" w:lineRule="auto"/>
        <w:rPr>
          <w:rFonts w:ascii="Calibri" w:eastAsia="Times New Roman" w:hAnsi="Calibri" w:cs="Calibri"/>
          <w:kern w:val="0"/>
          <w:sz w:val="22"/>
          <w:szCs w:val="22"/>
          <w:lang w:eastAsia="en-AU"/>
        </w:rPr>
      </w:pPr>
    </w:p>
    <w:p w14:paraId="605BD8F5" w14:textId="77777777" w:rsidR="00AB4917" w:rsidRDefault="00AC4FFB">
      <w:pPr>
        <w:spacing w:line="360" w:lineRule="auto"/>
        <w:rPr>
          <w:rFonts w:ascii="Calibri" w:eastAsia="Times New Roman" w:hAnsi="Calibri" w:cs="Calibri"/>
          <w:kern w:val="0"/>
          <w:sz w:val="22"/>
          <w:szCs w:val="22"/>
          <w:lang w:eastAsia="en-AU"/>
        </w:rPr>
      </w:pPr>
      <w:r>
        <w:rPr>
          <w:rFonts w:ascii="Calibri" w:eastAsia="Times New Roman" w:hAnsi="Calibri" w:cs="Calibri"/>
          <w:kern w:val="0"/>
          <w:sz w:val="22"/>
          <w:szCs w:val="22"/>
          <w:lang w:eastAsia="en-AU"/>
        </w:rPr>
        <w:t>By the end of this session, participants will:</w:t>
      </w:r>
    </w:p>
    <w:p w14:paraId="605BD8F6" w14:textId="77777777" w:rsidR="00AB4917" w:rsidRDefault="00AB4917">
      <w:pPr>
        <w:pStyle w:val="ListParagraph"/>
        <w:spacing w:line="360" w:lineRule="auto"/>
        <w:rPr>
          <w:rFonts w:ascii="Calibri" w:eastAsia="Times New Roman" w:hAnsi="Calibri" w:cs="Calibri"/>
          <w:kern w:val="0"/>
          <w:sz w:val="22"/>
          <w:szCs w:val="22"/>
          <w:lang w:eastAsia="en-AU"/>
        </w:rPr>
      </w:pPr>
    </w:p>
    <w:p w14:paraId="605BD8F7" w14:textId="77777777" w:rsidR="00AB4917" w:rsidRDefault="00AC4FFB">
      <w:pPr>
        <w:pStyle w:val="ListParagraph"/>
        <w:numPr>
          <w:ilvl w:val="0"/>
          <w:numId w:val="1"/>
        </w:numPr>
        <w:spacing w:line="360" w:lineRule="auto"/>
        <w:rPr>
          <w:rFonts w:ascii="Calibri" w:hAnsi="Calibri" w:cs="Calibri"/>
          <w:sz w:val="22"/>
          <w:szCs w:val="22"/>
        </w:rPr>
      </w:pPr>
      <w:r>
        <w:rPr>
          <w:rFonts w:ascii="Calibri" w:hAnsi="Calibri" w:cs="Calibri"/>
          <w:sz w:val="22"/>
          <w:szCs w:val="22"/>
        </w:rPr>
        <w:t xml:space="preserve">Understand how a kaupapa Māori-informed career quality framework and Wayfinding concepts and meaning can inform career development practice. </w:t>
      </w:r>
    </w:p>
    <w:p w14:paraId="605BD8F8" w14:textId="77777777" w:rsidR="00AB4917" w:rsidRDefault="00AB4917">
      <w:pPr>
        <w:pStyle w:val="ListParagraph"/>
        <w:spacing w:line="360" w:lineRule="auto"/>
        <w:rPr>
          <w:rFonts w:ascii="Calibri" w:eastAsia="Times New Roman" w:hAnsi="Calibri" w:cs="Calibri"/>
          <w:kern w:val="0"/>
          <w:sz w:val="22"/>
          <w:szCs w:val="22"/>
          <w:lang w:eastAsia="en-AU"/>
        </w:rPr>
      </w:pPr>
    </w:p>
    <w:p w14:paraId="605BD8F9" w14:textId="77777777" w:rsidR="00AB4917" w:rsidRDefault="00AC4FFB">
      <w:pPr>
        <w:pStyle w:val="ListParagraph"/>
        <w:numPr>
          <w:ilvl w:val="0"/>
          <w:numId w:val="1"/>
        </w:numPr>
        <w:spacing w:line="360" w:lineRule="auto"/>
        <w:rPr>
          <w:rFonts w:ascii="Calibri" w:eastAsia="Times New Roman" w:hAnsi="Calibri" w:cs="Calibri"/>
          <w:kern w:val="0"/>
          <w:sz w:val="22"/>
          <w:szCs w:val="22"/>
          <w:lang w:eastAsia="en-AU"/>
        </w:rPr>
      </w:pPr>
      <w:r>
        <w:rPr>
          <w:rFonts w:ascii="Calibri" w:eastAsia="Times New Roman" w:hAnsi="Calibri" w:cs="Calibri"/>
          <w:kern w:val="0"/>
          <w:sz w:val="22"/>
          <w:szCs w:val="22"/>
          <w:lang w:eastAsia="en-AU"/>
        </w:rPr>
        <w:t xml:space="preserve">Share what is </w:t>
      </w:r>
      <w:r>
        <w:rPr>
          <w:rFonts w:ascii="Calibri" w:eastAsia="Times New Roman" w:hAnsi="Calibri" w:cs="Calibri"/>
          <w:kern w:val="0"/>
          <w:sz w:val="22"/>
          <w:szCs w:val="22"/>
          <w:lang w:eastAsia="en-AU"/>
        </w:rPr>
        <w:t>steady, shifting and what stands out in their practice context.</w:t>
      </w:r>
    </w:p>
    <w:p w14:paraId="605BD8FA" w14:textId="77777777" w:rsidR="00AB4917" w:rsidRDefault="00AB4917">
      <w:pPr>
        <w:pStyle w:val="ListParagraph"/>
        <w:spacing w:line="360" w:lineRule="auto"/>
        <w:rPr>
          <w:rFonts w:ascii="Calibri" w:eastAsia="Times New Roman" w:hAnsi="Calibri" w:cs="Calibri"/>
          <w:kern w:val="0"/>
          <w:sz w:val="22"/>
          <w:szCs w:val="22"/>
          <w:lang w:eastAsia="en-AU"/>
        </w:rPr>
      </w:pPr>
    </w:p>
    <w:p w14:paraId="605BD8FB" w14:textId="77777777" w:rsidR="00AB4917" w:rsidRDefault="00AC4FFB">
      <w:pPr>
        <w:pStyle w:val="ListParagraph"/>
        <w:numPr>
          <w:ilvl w:val="0"/>
          <w:numId w:val="1"/>
        </w:numPr>
        <w:spacing w:line="360" w:lineRule="auto"/>
      </w:pPr>
      <w:r>
        <w:rPr>
          <w:rFonts w:ascii="Calibri" w:eastAsia="Times New Roman" w:hAnsi="Calibri" w:cs="Calibri"/>
          <w:kern w:val="0"/>
          <w:sz w:val="22"/>
          <w:szCs w:val="22"/>
          <w:lang w:eastAsia="en-AU"/>
        </w:rPr>
        <w:t>Consider how they have built relationships over time within their communities.</w:t>
      </w:r>
    </w:p>
    <w:p w14:paraId="605BD8FC" w14:textId="77777777" w:rsidR="00AB4917" w:rsidRDefault="00AB4917">
      <w:pPr>
        <w:pStyle w:val="ListParagraph"/>
        <w:spacing w:line="360" w:lineRule="auto"/>
        <w:rPr>
          <w:rFonts w:ascii="Calibri" w:eastAsia="Times New Roman" w:hAnsi="Calibri" w:cs="Calibri"/>
          <w:kern w:val="0"/>
          <w:sz w:val="22"/>
          <w:szCs w:val="22"/>
          <w:lang w:eastAsia="en-AU"/>
        </w:rPr>
      </w:pPr>
    </w:p>
    <w:p w14:paraId="605BD8FD" w14:textId="77777777" w:rsidR="00AB4917" w:rsidRDefault="00AC4FFB">
      <w:pPr>
        <w:pStyle w:val="ListParagraph"/>
        <w:numPr>
          <w:ilvl w:val="0"/>
          <w:numId w:val="1"/>
        </w:numPr>
        <w:spacing w:line="360" w:lineRule="auto"/>
        <w:rPr>
          <w:rFonts w:ascii="Calibri" w:eastAsia="Times New Roman" w:hAnsi="Calibri" w:cs="Calibri"/>
          <w:kern w:val="0"/>
          <w:sz w:val="22"/>
          <w:szCs w:val="22"/>
          <w:lang w:eastAsia="en-AU"/>
        </w:rPr>
      </w:pPr>
      <w:r>
        <w:rPr>
          <w:rFonts w:ascii="Calibri" w:eastAsia="Times New Roman" w:hAnsi="Calibri" w:cs="Calibri"/>
          <w:kern w:val="0"/>
          <w:sz w:val="22"/>
          <w:szCs w:val="22"/>
          <w:lang w:eastAsia="en-AU"/>
        </w:rPr>
        <w:t>Reflect on how change is evaluated in their practice context.</w:t>
      </w:r>
    </w:p>
    <w:p w14:paraId="605BD8FE" w14:textId="77777777" w:rsidR="00AB4917" w:rsidRDefault="00AB4917">
      <w:pPr>
        <w:pStyle w:val="ListParagraph"/>
        <w:spacing w:line="360" w:lineRule="auto"/>
        <w:rPr>
          <w:rFonts w:ascii="Calibri" w:eastAsia="Times New Roman" w:hAnsi="Calibri" w:cs="Calibri"/>
          <w:kern w:val="0"/>
          <w:sz w:val="22"/>
          <w:szCs w:val="22"/>
          <w:lang w:eastAsia="en-AU"/>
        </w:rPr>
      </w:pPr>
    </w:p>
    <w:p w14:paraId="605BD8FF" w14:textId="77777777" w:rsidR="00AB4917" w:rsidRDefault="00AB4917">
      <w:pPr>
        <w:spacing w:line="360" w:lineRule="auto"/>
        <w:rPr>
          <w:rFonts w:ascii="Calibri" w:hAnsi="Calibri" w:cs="Calibri"/>
          <w:sz w:val="22"/>
          <w:szCs w:val="22"/>
        </w:rPr>
      </w:pPr>
    </w:p>
    <w:p w14:paraId="605BD900" w14:textId="77777777" w:rsidR="00AB4917" w:rsidRDefault="00AC4FFB">
      <w:pPr>
        <w:spacing w:line="360" w:lineRule="auto"/>
        <w:jc w:val="center"/>
        <w:rPr>
          <w:rFonts w:ascii="Calibri" w:hAnsi="Calibri" w:cs="Calibri"/>
          <w:b/>
          <w:bCs/>
          <w:sz w:val="22"/>
          <w:szCs w:val="22"/>
        </w:rPr>
      </w:pPr>
      <w:r>
        <w:rPr>
          <w:rFonts w:ascii="Calibri" w:hAnsi="Calibri" w:cs="Calibri"/>
          <w:b/>
          <w:bCs/>
          <w:sz w:val="22"/>
          <w:szCs w:val="22"/>
        </w:rPr>
        <w:lastRenderedPageBreak/>
        <w:t>Reference</w:t>
      </w:r>
    </w:p>
    <w:p w14:paraId="605BD901" w14:textId="77777777" w:rsidR="00AB4917" w:rsidRDefault="00AB4917">
      <w:pPr>
        <w:spacing w:line="360" w:lineRule="auto"/>
        <w:jc w:val="center"/>
        <w:rPr>
          <w:rFonts w:ascii="Calibri" w:hAnsi="Calibri" w:cs="Calibri"/>
          <w:b/>
          <w:bCs/>
          <w:sz w:val="22"/>
          <w:szCs w:val="22"/>
        </w:rPr>
      </w:pPr>
    </w:p>
    <w:p w14:paraId="605BD902" w14:textId="77777777" w:rsidR="00AB4917" w:rsidRDefault="00AC4FFB">
      <w:pPr>
        <w:spacing w:line="360" w:lineRule="auto"/>
      </w:pPr>
      <w:r>
        <w:rPr>
          <w:rFonts w:ascii="Calibri" w:hAnsi="Calibri" w:cs="Calibri"/>
          <w:kern w:val="0"/>
          <w:sz w:val="22"/>
          <w:szCs w:val="22"/>
        </w:rPr>
        <w:t xml:space="preserve">Reid, L. (2024). </w:t>
      </w:r>
      <w:r>
        <w:rPr>
          <w:rFonts w:ascii="Calibri" w:hAnsi="Calibri" w:cs="Calibri"/>
          <w:i/>
          <w:iCs/>
          <w:kern w:val="0"/>
          <w:sz w:val="22"/>
          <w:szCs w:val="22"/>
        </w:rPr>
        <w:t xml:space="preserve">Quality framework for career education, information, advice and </w:t>
      </w:r>
    </w:p>
    <w:p w14:paraId="605BD903" w14:textId="77777777" w:rsidR="00AB4917" w:rsidRDefault="00AC4FFB">
      <w:pPr>
        <w:spacing w:line="360" w:lineRule="auto"/>
        <w:ind w:left="720"/>
      </w:pPr>
      <w:r>
        <w:rPr>
          <w:rFonts w:ascii="Calibri" w:hAnsi="Calibri" w:cs="Calibri"/>
          <w:i/>
          <w:iCs/>
          <w:kern w:val="0"/>
          <w:sz w:val="22"/>
          <w:szCs w:val="22"/>
        </w:rPr>
        <w:t>guidance (CEIAG)</w:t>
      </w:r>
      <w:r>
        <w:rPr>
          <w:rFonts w:ascii="Calibri" w:hAnsi="Calibri" w:cs="Calibri"/>
          <w:kern w:val="0"/>
          <w:sz w:val="22"/>
          <w:szCs w:val="22"/>
        </w:rPr>
        <w:t xml:space="preserve">. Skills Highway. </w:t>
      </w:r>
      <w:hyperlink r:id="rId7" w:history="1">
        <w:r>
          <w:rPr>
            <w:rStyle w:val="Hyperlink"/>
            <w:rFonts w:ascii="Calibri" w:hAnsi="Calibri" w:cs="Calibri"/>
            <w:kern w:val="0"/>
            <w:sz w:val="22"/>
            <w:szCs w:val="22"/>
          </w:rPr>
          <w:t>https://www.skillshighway.govt.nz/assets/Publications-and-others/careers-quality-framework.pdf</w:t>
        </w:r>
      </w:hyperlink>
      <w:r>
        <w:rPr>
          <w:rFonts w:ascii="Calibri" w:hAnsi="Calibri" w:cs="Calibri"/>
          <w:kern w:val="0"/>
          <w:sz w:val="22"/>
          <w:szCs w:val="22"/>
        </w:rPr>
        <w:t>.</w:t>
      </w:r>
    </w:p>
    <w:p w14:paraId="605BD904" w14:textId="77777777" w:rsidR="00AB4917" w:rsidRDefault="00AB4917">
      <w:pPr>
        <w:spacing w:line="360" w:lineRule="auto"/>
        <w:rPr>
          <w:rFonts w:ascii="Calibri" w:hAnsi="Calibri" w:cs="Calibri"/>
          <w:kern w:val="0"/>
          <w:sz w:val="22"/>
          <w:szCs w:val="22"/>
        </w:rPr>
      </w:pPr>
    </w:p>
    <w:p w14:paraId="605BD905" w14:textId="77777777" w:rsidR="00AB4917" w:rsidRDefault="00AC4FFB">
      <w:pPr>
        <w:spacing w:before="0" w:after="160" w:line="360" w:lineRule="auto"/>
      </w:pPr>
      <w:r>
        <w:rPr>
          <w:rFonts w:ascii="Calibri" w:hAnsi="Calibri" w:cs="Calibri"/>
          <w:sz w:val="22"/>
          <w:szCs w:val="22"/>
          <w:lang w:val="en-NZ"/>
        </w:rPr>
        <w:t xml:space="preserve">Spiller, C., Barclay-Kerr, H., &amp; </w:t>
      </w:r>
      <w:proofErr w:type="spellStart"/>
      <w:r>
        <w:rPr>
          <w:rFonts w:ascii="Calibri" w:hAnsi="Calibri" w:cs="Calibri"/>
          <w:sz w:val="22"/>
          <w:szCs w:val="22"/>
          <w:lang w:val="en-NZ"/>
        </w:rPr>
        <w:t>Panoho</w:t>
      </w:r>
      <w:proofErr w:type="spellEnd"/>
      <w:r>
        <w:rPr>
          <w:rFonts w:ascii="Calibri" w:hAnsi="Calibri" w:cs="Calibri"/>
          <w:sz w:val="22"/>
          <w:szCs w:val="22"/>
          <w:lang w:val="en-NZ"/>
        </w:rPr>
        <w:t xml:space="preserve">, J. (2015). </w:t>
      </w:r>
      <w:r>
        <w:rPr>
          <w:rFonts w:ascii="Calibri" w:hAnsi="Calibri" w:cs="Calibri"/>
          <w:i/>
          <w:iCs/>
          <w:sz w:val="22"/>
          <w:szCs w:val="22"/>
          <w:lang w:val="en-NZ"/>
        </w:rPr>
        <w:t>Wayfinding Leadership:</w:t>
      </w:r>
      <w:r>
        <w:rPr>
          <w:rFonts w:ascii="Calibri" w:hAnsi="Calibri" w:cs="Calibri"/>
          <w:sz w:val="22"/>
          <w:szCs w:val="22"/>
          <w:lang w:val="en-NZ"/>
        </w:rPr>
        <w:t> </w:t>
      </w:r>
      <w:r>
        <w:rPr>
          <w:rFonts w:ascii="Calibri" w:hAnsi="Calibri" w:cs="Calibri"/>
          <w:i/>
          <w:iCs/>
          <w:sz w:val="22"/>
          <w:szCs w:val="22"/>
          <w:lang w:val="en-NZ"/>
        </w:rPr>
        <w:t xml:space="preserve">Groundbreaking </w:t>
      </w:r>
    </w:p>
    <w:p w14:paraId="605BD906" w14:textId="77777777" w:rsidR="00AB4917" w:rsidRDefault="00AC4FFB">
      <w:pPr>
        <w:spacing w:before="0" w:after="160" w:line="360" w:lineRule="auto"/>
        <w:ind w:firstLine="720"/>
      </w:pPr>
      <w:r>
        <w:rPr>
          <w:rFonts w:ascii="Calibri" w:hAnsi="Calibri" w:cs="Calibri"/>
          <w:i/>
          <w:iCs/>
          <w:sz w:val="22"/>
          <w:szCs w:val="22"/>
          <w:lang w:val="en-NZ"/>
        </w:rPr>
        <w:t>wisdom for developing leaders</w:t>
      </w:r>
      <w:r>
        <w:rPr>
          <w:rFonts w:ascii="Calibri" w:hAnsi="Calibri" w:cs="Calibri"/>
          <w:sz w:val="22"/>
          <w:szCs w:val="22"/>
          <w:lang w:val="en-NZ"/>
        </w:rPr>
        <w:t>. Huia Publishers.</w:t>
      </w:r>
    </w:p>
    <w:sectPr w:rsidR="00AB491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28C4E" w14:textId="77777777" w:rsidR="00AC4FFB" w:rsidRDefault="00AC4FFB">
      <w:pPr>
        <w:spacing w:before="0" w:after="0"/>
      </w:pPr>
      <w:r>
        <w:separator/>
      </w:r>
    </w:p>
  </w:endnote>
  <w:endnote w:type="continuationSeparator" w:id="0">
    <w:p w14:paraId="6E1F2BFC" w14:textId="77777777" w:rsidR="00AC4FFB" w:rsidRDefault="00AC4FF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ED210" w14:textId="77777777" w:rsidR="00AC4FFB" w:rsidRDefault="00AC4FFB">
      <w:pPr>
        <w:spacing w:before="0" w:after="0"/>
      </w:pPr>
      <w:r>
        <w:rPr>
          <w:color w:val="000000"/>
        </w:rPr>
        <w:separator/>
      </w:r>
    </w:p>
  </w:footnote>
  <w:footnote w:type="continuationSeparator" w:id="0">
    <w:p w14:paraId="2C6300C7" w14:textId="77777777" w:rsidR="00AC4FFB" w:rsidRDefault="00AC4FF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168A6"/>
    <w:multiLevelType w:val="multilevel"/>
    <w:tmpl w:val="D786C2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03521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B4917"/>
    <w:rsid w:val="00051ED6"/>
    <w:rsid w:val="00954C0D"/>
    <w:rsid w:val="00AB4917"/>
    <w:rsid w:val="00AC4F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BD8E4"/>
  <w15:docId w15:val="{9969C703-F2D3-49B5-9462-90D13D492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AU" w:eastAsia="en-US" w:bidi="ar-SA"/>
      </w:rPr>
    </w:rPrDefault>
    <w:pPrDefault>
      <w:pPr>
        <w:autoSpaceDN w:val="0"/>
        <w:spacing w:before="10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before="0" w:after="0"/>
      <w:outlineLvl w:val="7"/>
    </w:pPr>
    <w:rPr>
      <w:rFonts w:eastAsia="Times New Roman"/>
      <w:i/>
      <w:iCs/>
      <w:color w:val="272727"/>
    </w:rPr>
  </w:style>
  <w:style w:type="paragraph" w:styleId="Heading9">
    <w:name w:val="heading 9"/>
    <w:basedOn w:val="Normal"/>
    <w:next w:val="Normal"/>
    <w:pPr>
      <w:keepNext/>
      <w:keepLines/>
      <w:spacing w:before="0"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before="0" w:after="80"/>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Strong">
    <w:name w:val="Strong"/>
    <w:basedOn w:val="DefaultParagraphFont"/>
    <w:rPr>
      <w:b/>
      <w:bCs/>
    </w:rPr>
  </w:style>
  <w:style w:type="character" w:styleId="Emphasis">
    <w:name w:val="Emphasis"/>
    <w:basedOn w:val="DefaultParagraphFont"/>
    <w:rPr>
      <w:i/>
      <w:iCs/>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killshighway.govt.nz/assets/Publications-and-others/careers-quality-framewor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624</Words>
  <Characters>3986</Characters>
  <Application>Microsoft Office Word</Application>
  <DocSecurity>0</DocSecurity>
  <Lines>72</Lines>
  <Paragraphs>21</Paragraphs>
  <ScaleCrop>false</ScaleCrop>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Reid</dc:creator>
  <dc:description/>
  <cp:lastModifiedBy>Lynette Reid</cp:lastModifiedBy>
  <cp:revision>3</cp:revision>
  <cp:lastPrinted>2026-04-16T03:04:00Z</cp:lastPrinted>
  <dcterms:created xsi:type="dcterms:W3CDTF">2026-04-16T23:49:00Z</dcterms:created>
  <dcterms:modified xsi:type="dcterms:W3CDTF">2026-04-16T23:50:00Z</dcterms:modified>
</cp:coreProperties>
</file>