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269AD" w14:textId="00E66F49" w:rsidR="004A715B" w:rsidRPr="004679BE" w:rsidRDefault="00503460" w:rsidP="00323ED5">
      <w:pPr>
        <w:spacing w:line="360" w:lineRule="auto"/>
        <w:jc w:val="center"/>
        <w:rPr>
          <w:rFonts w:ascii="Calibri" w:hAnsi="Calibri" w:cs="Calibri"/>
          <w:b/>
          <w:bCs/>
          <w:sz w:val="22"/>
          <w:szCs w:val="22"/>
        </w:rPr>
      </w:pPr>
      <w:r w:rsidRPr="004679BE">
        <w:rPr>
          <w:rFonts w:ascii="Calibri" w:hAnsi="Calibri" w:cs="Calibri"/>
          <w:b/>
          <w:bCs/>
          <w:sz w:val="22"/>
          <w:szCs w:val="22"/>
        </w:rPr>
        <w:t>Title of Paper</w:t>
      </w:r>
      <w:r w:rsidR="00A85947" w:rsidRPr="004679BE">
        <w:rPr>
          <w:rFonts w:ascii="Calibri" w:hAnsi="Calibri" w:cs="Calibri" w:hint="eastAsia"/>
          <w:b/>
          <w:bCs/>
          <w:sz w:val="22"/>
          <w:szCs w:val="22"/>
        </w:rPr>
        <w:t xml:space="preserve">: </w:t>
      </w:r>
      <w:r w:rsidR="00DF5580" w:rsidRPr="004679BE">
        <w:rPr>
          <w:rFonts w:ascii="Calibri" w:hAnsi="Calibri" w:cs="Calibri"/>
          <w:b/>
          <w:bCs/>
          <w:sz w:val="22"/>
          <w:szCs w:val="22"/>
        </w:rPr>
        <w:t>Gender, Work, and Migration: Building Work Capital among Korean Women in Australia</w:t>
      </w:r>
    </w:p>
    <w:p w14:paraId="349C42EC" w14:textId="08D9EC7F" w:rsidR="00CA6D01" w:rsidRPr="004679BE" w:rsidRDefault="0038556C" w:rsidP="000B43E6">
      <w:pPr>
        <w:spacing w:line="360" w:lineRule="auto"/>
        <w:rPr>
          <w:rFonts w:ascii="Calibri" w:hAnsi="Calibri" w:cs="Calibri"/>
          <w:b/>
          <w:bCs/>
          <w:sz w:val="22"/>
          <w:szCs w:val="22"/>
        </w:rPr>
      </w:pPr>
      <w:r w:rsidRPr="004679BE">
        <w:rPr>
          <w:rFonts w:ascii="Calibri" w:hAnsi="Calibri" w:cs="Calibri"/>
          <w:b/>
          <w:bCs/>
          <w:sz w:val="22"/>
          <w:szCs w:val="22"/>
        </w:rPr>
        <w:t>Introduction</w:t>
      </w:r>
    </w:p>
    <w:p w14:paraId="1234F766" w14:textId="4F35CC1B" w:rsidR="0047209B" w:rsidRDefault="000238A0" w:rsidP="00876B96">
      <w:pPr>
        <w:spacing w:line="360" w:lineRule="auto"/>
        <w:rPr>
          <w:rFonts w:ascii="Calibri" w:hAnsi="Calibri" w:cs="Calibri"/>
          <w:sz w:val="22"/>
          <w:szCs w:val="22"/>
        </w:rPr>
      </w:pPr>
      <w:r>
        <w:rPr>
          <w:rFonts w:ascii="Calibri" w:hAnsi="Calibri" w:cs="Calibri" w:hint="eastAsia"/>
          <w:sz w:val="22"/>
          <w:szCs w:val="22"/>
        </w:rPr>
        <w:t>M</w:t>
      </w:r>
      <w:r w:rsidRPr="000238A0">
        <w:rPr>
          <w:rFonts w:ascii="Calibri" w:hAnsi="Calibri" w:cs="Calibri"/>
          <w:sz w:val="22"/>
          <w:szCs w:val="22"/>
        </w:rPr>
        <w:t>igrants commonly face challenges in adapting to new life circumstances in the host country (Fejes et al., 2022).</w:t>
      </w:r>
      <w:r w:rsidR="007C4CEF">
        <w:rPr>
          <w:rFonts w:ascii="Calibri" w:hAnsi="Calibri" w:cs="Calibri" w:hint="eastAsia"/>
          <w:sz w:val="22"/>
          <w:szCs w:val="22"/>
        </w:rPr>
        <w:t xml:space="preserve"> </w:t>
      </w:r>
      <w:r w:rsidR="00CC11E4" w:rsidRPr="004679BE">
        <w:rPr>
          <w:rFonts w:ascii="Calibri" w:hAnsi="Calibri" w:cs="Calibri"/>
          <w:sz w:val="22"/>
          <w:szCs w:val="22"/>
        </w:rPr>
        <w:t>Australia relies on immigration to sustain population growth and labour supply (Gamlen &amp; Sherrell, 2022). Korean immigrants represent a visible linguistic and cultural minority, with the 2021 Census reporting 115,531 Korean speakers and 102,092 Korea-born residents in Australia</w:t>
      </w:r>
      <w:r w:rsidR="00865F3E" w:rsidRPr="004679BE">
        <w:rPr>
          <w:rFonts w:ascii="Calibri" w:hAnsi="Calibri" w:cs="Calibri" w:hint="eastAsia"/>
          <w:sz w:val="22"/>
          <w:szCs w:val="22"/>
        </w:rPr>
        <w:t xml:space="preserve"> (ABS, 202</w:t>
      </w:r>
      <w:r w:rsidR="00A55F02" w:rsidRPr="004679BE">
        <w:rPr>
          <w:rFonts w:ascii="Calibri" w:hAnsi="Calibri" w:cs="Calibri" w:hint="eastAsia"/>
          <w:sz w:val="22"/>
          <w:szCs w:val="22"/>
        </w:rPr>
        <w:t>2</w:t>
      </w:r>
      <w:r w:rsidR="00865F3E" w:rsidRPr="004679BE">
        <w:rPr>
          <w:rFonts w:ascii="Calibri" w:hAnsi="Calibri" w:cs="Calibri" w:hint="eastAsia"/>
          <w:sz w:val="22"/>
          <w:szCs w:val="22"/>
        </w:rPr>
        <w:t>)</w:t>
      </w:r>
      <w:r w:rsidR="00CC11E4" w:rsidRPr="004679BE">
        <w:rPr>
          <w:rFonts w:ascii="Calibri" w:hAnsi="Calibri" w:cs="Calibri"/>
          <w:sz w:val="22"/>
          <w:szCs w:val="22"/>
        </w:rPr>
        <w:t xml:space="preserve">. </w:t>
      </w:r>
      <w:r w:rsidR="0047209B" w:rsidRPr="004679BE">
        <w:rPr>
          <w:rFonts w:ascii="Calibri" w:hAnsi="Calibri" w:cs="Calibri"/>
          <w:sz w:val="22"/>
          <w:szCs w:val="22"/>
        </w:rPr>
        <w:t>While previous research on Korean immigrants in Australia has addressed settlement patterns (Hundt, 2019), health practices (Cho, 2024), social work (Kang et al., 2022), and entrepreneurial enclaves (Choi, 2022), empirical studies focusing on career development</w:t>
      </w:r>
      <w:r w:rsidR="0047209B" w:rsidRPr="004679BE">
        <w:rPr>
          <w:rFonts w:ascii="Calibri" w:hAnsi="Calibri" w:cs="Calibri" w:hint="eastAsia"/>
          <w:sz w:val="22"/>
          <w:szCs w:val="22"/>
        </w:rPr>
        <w:t xml:space="preserve"> - </w:t>
      </w:r>
      <w:r w:rsidR="0047209B" w:rsidRPr="004679BE">
        <w:rPr>
          <w:rFonts w:ascii="Calibri" w:hAnsi="Calibri" w:cs="Calibri"/>
          <w:sz w:val="22"/>
          <w:szCs w:val="22"/>
        </w:rPr>
        <w:t>particularly among female immigrants</w:t>
      </w:r>
      <w:r w:rsidR="0047209B" w:rsidRPr="004679BE">
        <w:rPr>
          <w:rFonts w:ascii="Calibri" w:hAnsi="Calibri" w:cs="Calibri" w:hint="eastAsia"/>
          <w:sz w:val="22"/>
          <w:szCs w:val="22"/>
        </w:rPr>
        <w:t xml:space="preserve"> - </w:t>
      </w:r>
      <w:r w:rsidR="0047209B" w:rsidRPr="004679BE">
        <w:rPr>
          <w:rFonts w:ascii="Calibri" w:hAnsi="Calibri" w:cs="Calibri"/>
          <w:sz w:val="22"/>
          <w:szCs w:val="22"/>
        </w:rPr>
        <w:t>remain limited.</w:t>
      </w:r>
    </w:p>
    <w:p w14:paraId="22C19B17" w14:textId="11BEF19C" w:rsidR="0038556C" w:rsidRPr="004679BE" w:rsidRDefault="0038556C" w:rsidP="000B43E6">
      <w:pPr>
        <w:spacing w:line="360" w:lineRule="auto"/>
        <w:rPr>
          <w:rFonts w:ascii="Calibri" w:hAnsi="Calibri" w:cs="Calibri"/>
          <w:b/>
          <w:bCs/>
          <w:sz w:val="22"/>
          <w:szCs w:val="22"/>
        </w:rPr>
      </w:pPr>
      <w:r w:rsidRPr="004679BE">
        <w:rPr>
          <w:rFonts w:ascii="Calibri" w:hAnsi="Calibri" w:cs="Calibri"/>
          <w:b/>
          <w:bCs/>
          <w:sz w:val="22"/>
          <w:szCs w:val="22"/>
        </w:rPr>
        <w:t>Objectives</w:t>
      </w:r>
    </w:p>
    <w:p w14:paraId="5B2D0C46" w14:textId="72D12934" w:rsidR="00060B92" w:rsidRPr="004679BE" w:rsidRDefault="006E0649" w:rsidP="000B43E6">
      <w:pPr>
        <w:spacing w:line="360" w:lineRule="auto"/>
        <w:rPr>
          <w:rFonts w:ascii="Calibri" w:hAnsi="Calibri" w:cs="Calibri" w:hint="eastAsia"/>
          <w:sz w:val="22"/>
          <w:szCs w:val="22"/>
        </w:rPr>
      </w:pPr>
      <w:r w:rsidRPr="004679BE">
        <w:rPr>
          <w:rFonts w:ascii="Calibri" w:hAnsi="Calibri" w:cs="Calibri"/>
          <w:sz w:val="22"/>
          <w:szCs w:val="22"/>
        </w:rPr>
        <w:t xml:space="preserve">This project focuses on the experiences of working Korean women migrants, given the persistent gender inequality in Korea. </w:t>
      </w:r>
      <w:r w:rsidR="00CC2B15" w:rsidRPr="004679BE">
        <w:rPr>
          <w:rFonts w:ascii="Calibri" w:hAnsi="Calibri" w:cs="Calibri"/>
          <w:sz w:val="22"/>
          <w:szCs w:val="22"/>
        </w:rPr>
        <w:t>South Korea’s gender wage gap was 29.3%, substantially higher than Australia’s (around 11.3%) and the OECD average (11.5%) (OECD, 2023).</w:t>
      </w:r>
      <w:r w:rsidRPr="004679BE">
        <w:rPr>
          <w:rFonts w:ascii="Calibri" w:hAnsi="Calibri" w:cs="Calibri"/>
          <w:sz w:val="22"/>
          <w:szCs w:val="22"/>
        </w:rPr>
        <w:t xml:space="preserve"> Prior research also suggests that Korean immigrant women in Australia may perceive structural and environmental constraints more strongly than men (Sul Tcha &amp; Lobo, 2003). Building on this evidence, the project aims to examine how Korean women migrants navigate institutional and social barriers in Australia, and how they use work to strengthen their economic position and career pathways through the development and utilisation of work capital.</w:t>
      </w:r>
    </w:p>
    <w:p w14:paraId="0BB8558B" w14:textId="147366CD" w:rsidR="0038556C" w:rsidRPr="004679BE" w:rsidRDefault="0038556C" w:rsidP="000B43E6">
      <w:pPr>
        <w:spacing w:line="360" w:lineRule="auto"/>
        <w:rPr>
          <w:rFonts w:ascii="Calibri" w:hAnsi="Calibri" w:cs="Calibri"/>
          <w:b/>
          <w:bCs/>
          <w:sz w:val="22"/>
          <w:szCs w:val="22"/>
        </w:rPr>
      </w:pPr>
      <w:r w:rsidRPr="004679BE">
        <w:rPr>
          <w:rFonts w:ascii="Calibri" w:hAnsi="Calibri" w:cs="Calibri"/>
          <w:b/>
          <w:bCs/>
          <w:sz w:val="22"/>
          <w:szCs w:val="22"/>
        </w:rPr>
        <w:t>Theoretical Basis</w:t>
      </w:r>
    </w:p>
    <w:p w14:paraId="70C383DA" w14:textId="468FD591" w:rsidR="00E5673E" w:rsidRPr="004679BE" w:rsidRDefault="00AB6FE5" w:rsidP="000B43E6">
      <w:pPr>
        <w:spacing w:line="360" w:lineRule="auto"/>
        <w:rPr>
          <w:rFonts w:ascii="Calibri" w:hAnsi="Calibri" w:cs="Calibri" w:hint="eastAsia"/>
          <w:sz w:val="22"/>
          <w:szCs w:val="22"/>
        </w:rPr>
      </w:pPr>
      <w:r w:rsidRPr="004679BE">
        <w:rPr>
          <w:rFonts w:ascii="Calibri" w:hAnsi="Calibri" w:cs="Calibri" w:hint="eastAsia"/>
          <w:sz w:val="22"/>
          <w:szCs w:val="22"/>
        </w:rPr>
        <w:t>T</w:t>
      </w:r>
      <w:r w:rsidR="00E5673E" w:rsidRPr="004679BE">
        <w:rPr>
          <w:rFonts w:ascii="Calibri" w:hAnsi="Calibri" w:cs="Calibri"/>
          <w:sz w:val="22"/>
          <w:szCs w:val="22"/>
        </w:rPr>
        <w:t>his study adopts the Work Capital framework (Kim &amp; Allan, 2024</w:t>
      </w:r>
      <w:r w:rsidR="003577D2" w:rsidRPr="004679BE">
        <w:rPr>
          <w:rFonts w:ascii="Calibri" w:hAnsi="Calibri" w:cs="Calibri" w:hint="eastAsia"/>
          <w:sz w:val="22"/>
          <w:szCs w:val="22"/>
        </w:rPr>
        <w:t xml:space="preserve">; </w:t>
      </w:r>
      <w:r w:rsidR="003577D2" w:rsidRPr="004679BE">
        <w:rPr>
          <w:rFonts w:ascii="Calibri" w:hAnsi="Calibri" w:cs="Calibri" w:hint="eastAsia"/>
          <w:sz w:val="22"/>
          <w:szCs w:val="22"/>
        </w:rPr>
        <w:t>Kim et al., 2024</w:t>
      </w:r>
      <w:r w:rsidR="00E5673E" w:rsidRPr="004679BE">
        <w:rPr>
          <w:rFonts w:ascii="Calibri" w:hAnsi="Calibri" w:cs="Calibri"/>
          <w:sz w:val="22"/>
          <w:szCs w:val="22"/>
        </w:rPr>
        <w:t>), which conceptualises work as a form of capital and provides a culturally responsive way to examine how work experiences become resources for career development, economic stability, and socio-cultural integration.</w:t>
      </w:r>
      <w:r w:rsidR="00722F8A" w:rsidRPr="004679BE">
        <w:rPr>
          <w:rFonts w:ascii="Calibri" w:hAnsi="Calibri" w:cs="Calibri" w:hint="eastAsia"/>
          <w:sz w:val="22"/>
          <w:szCs w:val="22"/>
        </w:rPr>
        <w:t xml:space="preserve"> </w:t>
      </w:r>
      <w:r w:rsidR="00722F8A" w:rsidRPr="004679BE">
        <w:rPr>
          <w:rFonts w:ascii="Calibri" w:hAnsi="Calibri" w:cs="Calibri"/>
          <w:sz w:val="22"/>
          <w:szCs w:val="22"/>
        </w:rPr>
        <w:t>This study elucidates how the notion of work capital both diverges from and converges with established forms of capital, notably human capital (Becker, 1993; Schultz, 1961) and social capital (Coleman, 1988).</w:t>
      </w:r>
    </w:p>
    <w:p w14:paraId="4632776A" w14:textId="13D47A7C" w:rsidR="0038556C" w:rsidRPr="004679BE" w:rsidRDefault="0038556C" w:rsidP="000B43E6">
      <w:pPr>
        <w:spacing w:line="360" w:lineRule="auto"/>
        <w:rPr>
          <w:rFonts w:ascii="Calibri" w:hAnsi="Calibri" w:cs="Calibri"/>
          <w:b/>
          <w:bCs/>
          <w:sz w:val="22"/>
          <w:szCs w:val="22"/>
        </w:rPr>
      </w:pPr>
      <w:r w:rsidRPr="004679BE">
        <w:rPr>
          <w:rFonts w:ascii="Calibri" w:hAnsi="Calibri" w:cs="Calibri"/>
          <w:b/>
          <w:bCs/>
          <w:sz w:val="22"/>
          <w:szCs w:val="22"/>
        </w:rPr>
        <w:t xml:space="preserve">Methodology </w:t>
      </w:r>
    </w:p>
    <w:p w14:paraId="3EB2CCC9" w14:textId="148560FC" w:rsidR="00E5673E" w:rsidRPr="004679BE" w:rsidRDefault="0060100A" w:rsidP="000B43E6">
      <w:pPr>
        <w:spacing w:line="360" w:lineRule="auto"/>
        <w:rPr>
          <w:rFonts w:ascii="Calibri" w:hAnsi="Calibri" w:cs="Calibri"/>
          <w:sz w:val="22"/>
          <w:szCs w:val="22"/>
        </w:rPr>
      </w:pPr>
      <w:r w:rsidRPr="004679BE">
        <w:rPr>
          <w:rFonts w:ascii="Calibri" w:hAnsi="Calibri" w:cs="Calibri"/>
          <w:sz w:val="22"/>
          <w:szCs w:val="22"/>
        </w:rPr>
        <w:t>This study is conducting a survey of approximately 400 Korea-born residents in Australia using the Work Capital Scale</w:t>
      </w:r>
      <w:r w:rsidR="00E215FA" w:rsidRPr="004679BE">
        <w:rPr>
          <w:rFonts w:ascii="Calibri" w:hAnsi="Calibri" w:cs="Calibri" w:hint="eastAsia"/>
          <w:sz w:val="22"/>
          <w:szCs w:val="22"/>
        </w:rPr>
        <w:t xml:space="preserve"> (</w:t>
      </w:r>
      <w:r w:rsidR="00E215FA" w:rsidRPr="004679BE">
        <w:rPr>
          <w:rFonts w:ascii="Calibri" w:hAnsi="Calibri" w:cs="Calibri"/>
          <w:sz w:val="22"/>
          <w:szCs w:val="22"/>
        </w:rPr>
        <w:t>Kim</w:t>
      </w:r>
      <w:r w:rsidR="00E215FA" w:rsidRPr="004679BE">
        <w:rPr>
          <w:rFonts w:ascii="Calibri" w:hAnsi="Calibri" w:cs="Calibri" w:hint="eastAsia"/>
          <w:sz w:val="22"/>
          <w:szCs w:val="22"/>
        </w:rPr>
        <w:t xml:space="preserve"> et al., 2025) </w:t>
      </w:r>
      <w:r w:rsidRPr="004679BE">
        <w:rPr>
          <w:rFonts w:ascii="Calibri" w:hAnsi="Calibri" w:cs="Calibri"/>
          <w:sz w:val="22"/>
          <w:szCs w:val="22"/>
        </w:rPr>
        <w:t xml:space="preserve">to investigate how work capital is accumulated and utilised. It also examines how theoretically informed contextual factors (such as childhood and current social </w:t>
      </w:r>
      <w:r w:rsidRPr="004679BE">
        <w:rPr>
          <w:rFonts w:ascii="Calibri" w:hAnsi="Calibri" w:cs="Calibri"/>
          <w:sz w:val="22"/>
          <w:szCs w:val="22"/>
        </w:rPr>
        <w:lastRenderedPageBreak/>
        <w:t>class and downward classism) and vocational factors (including work volition, career adaptability, and decent work) function as antecedents and outcomes of work capital (Kim et al., 2024). In addition, the study is undertaking in-depth semi-structured interviews to explore the career experiences and barrier-overcoming strategies of Korean women migrants.</w:t>
      </w:r>
    </w:p>
    <w:p w14:paraId="12559E5C" w14:textId="530CBF88" w:rsidR="0038556C" w:rsidRPr="004679BE" w:rsidRDefault="006935FD" w:rsidP="000B43E6">
      <w:pPr>
        <w:spacing w:line="360" w:lineRule="auto"/>
        <w:rPr>
          <w:rFonts w:ascii="Calibri" w:hAnsi="Calibri" w:cs="Calibri"/>
          <w:sz w:val="22"/>
          <w:szCs w:val="22"/>
        </w:rPr>
      </w:pPr>
      <w:r w:rsidRPr="004679BE">
        <w:rPr>
          <w:rFonts w:ascii="Calibri" w:hAnsi="Calibri" w:cs="Calibri"/>
          <w:b/>
          <w:bCs/>
          <w:sz w:val="22"/>
          <w:szCs w:val="22"/>
        </w:rPr>
        <w:t>Results (preliminary</w:t>
      </w:r>
      <w:r w:rsidRPr="004679BE">
        <w:rPr>
          <w:rFonts w:ascii="Calibri" w:hAnsi="Calibri" w:cs="Calibri" w:hint="eastAsia"/>
          <w:b/>
          <w:bCs/>
          <w:sz w:val="22"/>
          <w:szCs w:val="22"/>
        </w:rPr>
        <w:t>)</w:t>
      </w:r>
    </w:p>
    <w:p w14:paraId="072003D5" w14:textId="50A4CE54" w:rsidR="006935FD" w:rsidRPr="004679BE" w:rsidRDefault="00750291" w:rsidP="000B43E6">
      <w:pPr>
        <w:spacing w:line="360" w:lineRule="auto"/>
        <w:rPr>
          <w:rFonts w:ascii="Calibri" w:hAnsi="Calibri" w:cs="Calibri" w:hint="eastAsia"/>
          <w:sz w:val="22"/>
          <w:szCs w:val="22"/>
        </w:rPr>
      </w:pPr>
      <w:r w:rsidRPr="004679BE">
        <w:rPr>
          <w:rFonts w:ascii="Calibri" w:hAnsi="Calibri" w:cs="Calibri"/>
          <w:sz w:val="22"/>
          <w:szCs w:val="22"/>
        </w:rPr>
        <w:t>Data collection is underway and is expected to be completed by August 2026. Preliminary analyses will report sample characteristics and internal consistency of the Work Capital Scale, followed by initial tests of relationships between work capital, contextual factors (childhood and current social class, downward classism), and vocational outcomes (work volition, career adaptability, and decent work). The presentation will also report early themes from interview data that illustrate how work capital is developed and mobilised in the face of institutional and social barriers.</w:t>
      </w:r>
    </w:p>
    <w:p w14:paraId="3FA320D1" w14:textId="300741A4" w:rsidR="0038556C" w:rsidRPr="004679BE" w:rsidRDefault="0038556C" w:rsidP="000B43E6">
      <w:pPr>
        <w:spacing w:line="360" w:lineRule="auto"/>
        <w:rPr>
          <w:rFonts w:ascii="Calibri" w:hAnsi="Calibri" w:cs="Calibri"/>
          <w:b/>
          <w:bCs/>
          <w:sz w:val="22"/>
          <w:szCs w:val="22"/>
        </w:rPr>
      </w:pPr>
      <w:r w:rsidRPr="004679BE">
        <w:rPr>
          <w:rFonts w:ascii="Calibri" w:hAnsi="Calibri" w:cs="Calibri"/>
          <w:b/>
          <w:bCs/>
          <w:sz w:val="22"/>
          <w:szCs w:val="22"/>
        </w:rPr>
        <w:t>Conclusions</w:t>
      </w:r>
    </w:p>
    <w:p w14:paraId="5AE4E4FF" w14:textId="63BB8E03" w:rsidR="00A67A5F" w:rsidRDefault="00970A53" w:rsidP="00F72A27">
      <w:pPr>
        <w:spacing w:line="360" w:lineRule="auto"/>
        <w:rPr>
          <w:rFonts w:ascii="Calibri" w:hAnsi="Calibri" w:cs="Calibri"/>
          <w:sz w:val="22"/>
          <w:szCs w:val="22"/>
        </w:rPr>
      </w:pPr>
      <w:r w:rsidRPr="00970A53">
        <w:rPr>
          <w:rFonts w:ascii="Calibri" w:hAnsi="Calibri" w:cs="Calibri"/>
          <w:sz w:val="22"/>
          <w:szCs w:val="22"/>
        </w:rPr>
        <w:t>Aligned with the conference theme Navigating the Future, this research investigates how Korean immigrants in Australia build and mobilise work capital to navigate career uncertainty and labour market transitions. The project aims to provide the first empirical examination of work capital in this population, generating policy- and practice-relevant insights to support the economic self-reliance and career development of women migrants. It is also designed to inform comparative migration and career research between Australia and Korea by clarifying how work capital is developed, transferred, and constrained across migration contexts.</w:t>
      </w:r>
    </w:p>
    <w:p w14:paraId="20AA9308" w14:textId="77777777" w:rsidR="00644432" w:rsidRPr="004679BE" w:rsidRDefault="00644432" w:rsidP="00F72A27">
      <w:pPr>
        <w:spacing w:line="360" w:lineRule="auto"/>
        <w:rPr>
          <w:rFonts w:ascii="Calibri" w:hAnsi="Calibri" w:cs="Calibri"/>
          <w:sz w:val="22"/>
          <w:szCs w:val="22"/>
        </w:rPr>
      </w:pPr>
    </w:p>
    <w:p w14:paraId="679525CF" w14:textId="24C91F27" w:rsidR="000A3B11" w:rsidRPr="004679BE" w:rsidRDefault="004C4BBB" w:rsidP="00F72A27">
      <w:pPr>
        <w:spacing w:line="360" w:lineRule="auto"/>
        <w:rPr>
          <w:rFonts w:ascii="Calibri" w:hAnsi="Calibri" w:cs="Calibri"/>
          <w:i/>
          <w:iCs/>
          <w:sz w:val="22"/>
          <w:szCs w:val="22"/>
        </w:rPr>
      </w:pPr>
      <w:r w:rsidRPr="004679BE">
        <w:rPr>
          <w:rFonts w:ascii="Calibri" w:hAnsi="Calibri" w:cs="Calibri"/>
          <w:i/>
          <w:iCs/>
          <w:sz w:val="22"/>
          <w:szCs w:val="22"/>
        </w:rPr>
        <w:t>Note</w:t>
      </w:r>
      <w:r w:rsidRPr="004679BE">
        <w:rPr>
          <w:rFonts w:ascii="Calibri" w:hAnsi="Calibri" w:cs="Calibri" w:hint="eastAsia"/>
          <w:i/>
          <w:iCs/>
          <w:sz w:val="22"/>
          <w:szCs w:val="22"/>
        </w:rPr>
        <w:t xml:space="preserve">. </w:t>
      </w:r>
      <w:r w:rsidR="000A3B11" w:rsidRPr="004679BE">
        <w:rPr>
          <w:rFonts w:ascii="Calibri" w:hAnsi="Calibri" w:cs="Calibri"/>
          <w:i/>
          <w:iCs/>
          <w:sz w:val="22"/>
          <w:szCs w:val="22"/>
        </w:rPr>
        <w:t>This project is financially supported by the Academy of Korean Studies (AKS).</w:t>
      </w:r>
    </w:p>
    <w:p w14:paraId="0E711D06" w14:textId="77777777" w:rsidR="000A3B11" w:rsidRPr="004679BE" w:rsidRDefault="000A3B11" w:rsidP="000B43E6">
      <w:pPr>
        <w:spacing w:line="360" w:lineRule="auto"/>
        <w:jc w:val="center"/>
        <w:rPr>
          <w:rFonts w:ascii="Calibri" w:hAnsi="Calibri" w:cs="Calibri"/>
          <w:sz w:val="22"/>
          <w:szCs w:val="22"/>
        </w:rPr>
      </w:pPr>
    </w:p>
    <w:p w14:paraId="2E3036C5" w14:textId="77777777" w:rsidR="00E3005F" w:rsidRPr="004679BE" w:rsidRDefault="00E3005F">
      <w:pPr>
        <w:rPr>
          <w:rFonts w:ascii="Calibri" w:hAnsi="Calibri" w:cs="Calibri"/>
          <w:sz w:val="22"/>
          <w:szCs w:val="22"/>
        </w:rPr>
      </w:pPr>
      <w:r w:rsidRPr="004679BE">
        <w:rPr>
          <w:rFonts w:ascii="Calibri" w:hAnsi="Calibri" w:cs="Calibri"/>
          <w:sz w:val="22"/>
          <w:szCs w:val="22"/>
        </w:rPr>
        <w:br w:type="page"/>
      </w:r>
    </w:p>
    <w:p w14:paraId="77FDBAF7" w14:textId="6606CE96" w:rsidR="008D3114" w:rsidRPr="004679BE" w:rsidRDefault="00CA6D01" w:rsidP="000B43E6">
      <w:pPr>
        <w:spacing w:line="360" w:lineRule="auto"/>
        <w:jc w:val="center"/>
        <w:rPr>
          <w:rFonts w:ascii="Calibri" w:hAnsi="Calibri" w:cs="Calibri"/>
          <w:b/>
          <w:bCs/>
          <w:sz w:val="22"/>
          <w:szCs w:val="22"/>
        </w:rPr>
      </w:pPr>
      <w:r w:rsidRPr="004679BE">
        <w:rPr>
          <w:rFonts w:ascii="Calibri" w:hAnsi="Calibri" w:cs="Calibri"/>
          <w:b/>
          <w:bCs/>
          <w:sz w:val="22"/>
          <w:szCs w:val="22"/>
        </w:rPr>
        <w:lastRenderedPageBreak/>
        <w:t>References</w:t>
      </w:r>
    </w:p>
    <w:p w14:paraId="41DA2F14" w14:textId="0F0393F2"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Australian Bureau of Statistics. (2022). </w:t>
      </w:r>
      <w:r w:rsidRPr="00BA2534">
        <w:rPr>
          <w:rFonts w:ascii="Calibri" w:hAnsi="Calibri" w:cs="Calibri"/>
          <w:i/>
          <w:iCs/>
          <w:sz w:val="22"/>
          <w:szCs w:val="22"/>
        </w:rPr>
        <w:t>Census of population and housing: 2021 census data</w:t>
      </w:r>
      <w:r w:rsidRPr="004679BE">
        <w:rPr>
          <w:rFonts w:ascii="Calibri" w:hAnsi="Calibri" w:cs="Calibri"/>
          <w:sz w:val="22"/>
          <w:szCs w:val="22"/>
        </w:rPr>
        <w:t xml:space="preserve">. </w:t>
      </w:r>
      <w:hyperlink r:id="rId5" w:history="1">
        <w:r w:rsidR="0004080F" w:rsidRPr="00297805">
          <w:rPr>
            <w:rStyle w:val="Hyperlink"/>
            <w:rFonts w:ascii="Calibri" w:hAnsi="Calibri" w:cs="Calibri"/>
            <w:sz w:val="22"/>
            <w:szCs w:val="22"/>
          </w:rPr>
          <w:t>https://www.abs.gov.au/census</w:t>
        </w:r>
      </w:hyperlink>
    </w:p>
    <w:p w14:paraId="6A4CDB3E" w14:textId="77777777" w:rsidR="00931889" w:rsidRPr="004679BE"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Becker, G. S. (1993). </w:t>
      </w:r>
      <w:r w:rsidRPr="00E27951">
        <w:rPr>
          <w:rFonts w:ascii="Calibri" w:hAnsi="Calibri" w:cs="Calibri"/>
          <w:i/>
          <w:iCs/>
          <w:sz w:val="22"/>
          <w:szCs w:val="22"/>
        </w:rPr>
        <w:t>Human capital: A theoretical and empirical analysis, with special reference to education</w:t>
      </w:r>
      <w:r w:rsidRPr="004679BE">
        <w:rPr>
          <w:rFonts w:ascii="Calibri" w:hAnsi="Calibri" w:cs="Calibri"/>
          <w:sz w:val="22"/>
          <w:szCs w:val="22"/>
        </w:rPr>
        <w:t xml:space="preserve"> (3rd ed.). University of Chicago Press.</w:t>
      </w:r>
    </w:p>
    <w:p w14:paraId="74C828A3" w14:textId="2397ABE8" w:rsidR="00F94DB4" w:rsidRDefault="00F94DB4" w:rsidP="00931889">
      <w:pPr>
        <w:spacing w:line="360" w:lineRule="auto"/>
        <w:ind w:left="720" w:hanging="720"/>
        <w:rPr>
          <w:rFonts w:ascii="Calibri" w:hAnsi="Calibri" w:cs="Calibri"/>
          <w:sz w:val="22"/>
          <w:szCs w:val="22"/>
        </w:rPr>
      </w:pPr>
      <w:r w:rsidRPr="00F94DB4">
        <w:rPr>
          <w:rFonts w:ascii="Calibri" w:hAnsi="Calibri" w:cs="Calibri"/>
          <w:sz w:val="22"/>
          <w:szCs w:val="22"/>
        </w:rPr>
        <w:t>Cho, J. (2024). Healthcare interpreting for Korean immigrants in Australia: linguistic and cultural perspectives. In R. Moratto, &amp; H.-O. Lim (Eds.), </w:t>
      </w:r>
      <w:r w:rsidRPr="00F94DB4">
        <w:rPr>
          <w:rFonts w:ascii="Calibri" w:hAnsi="Calibri" w:cs="Calibri"/>
          <w:i/>
          <w:iCs/>
          <w:sz w:val="22"/>
          <w:szCs w:val="22"/>
        </w:rPr>
        <w:t>The Routledge handbook of Korean interpreting </w:t>
      </w:r>
      <w:r w:rsidRPr="00F94DB4">
        <w:rPr>
          <w:rFonts w:ascii="Calibri" w:hAnsi="Calibri" w:cs="Calibri"/>
          <w:sz w:val="22"/>
          <w:szCs w:val="22"/>
        </w:rPr>
        <w:t>(pp. 245-257). (Routledge Handbooks in Translation and Interpreting Studies). Routledge. </w:t>
      </w:r>
      <w:hyperlink r:id="rId6" w:history="1">
        <w:r w:rsidRPr="00297805">
          <w:rPr>
            <w:rStyle w:val="Hyperlink"/>
            <w:rFonts w:ascii="Calibri" w:hAnsi="Calibri" w:cs="Calibri"/>
            <w:sz w:val="22"/>
            <w:szCs w:val="22"/>
          </w:rPr>
          <w:t>https://doi.org/10.4324/9781003349723-20</w:t>
        </w:r>
      </w:hyperlink>
    </w:p>
    <w:p w14:paraId="59CBCBAC" w14:textId="6549A1B9"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Choi, T. (2022). Ethnic enclaves in immigrant entrepreneurship: Korean immigrant entrepreneurship in Australia. </w:t>
      </w:r>
      <w:r w:rsidRPr="00584BEE">
        <w:rPr>
          <w:rFonts w:ascii="Calibri" w:hAnsi="Calibri" w:cs="Calibri"/>
          <w:i/>
          <w:iCs/>
          <w:sz w:val="22"/>
          <w:szCs w:val="22"/>
        </w:rPr>
        <w:t>Journal of the International Council for Small Business, 3</w:t>
      </w:r>
      <w:r w:rsidRPr="004679BE">
        <w:rPr>
          <w:rFonts w:ascii="Calibri" w:hAnsi="Calibri" w:cs="Calibri"/>
          <w:sz w:val="22"/>
          <w:szCs w:val="22"/>
        </w:rPr>
        <w:t xml:space="preserve">(3), 214–227. </w:t>
      </w:r>
      <w:hyperlink r:id="rId7" w:history="1">
        <w:r w:rsidR="00F35166" w:rsidRPr="00297805">
          <w:rPr>
            <w:rStyle w:val="Hyperlink"/>
            <w:rFonts w:ascii="Calibri" w:hAnsi="Calibri" w:cs="Calibri"/>
            <w:sz w:val="22"/>
            <w:szCs w:val="22"/>
          </w:rPr>
          <w:t>https://doi.org/10.1080/26437015.2021.1976081</w:t>
        </w:r>
      </w:hyperlink>
    </w:p>
    <w:p w14:paraId="7A517280" w14:textId="1D6C029E"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Coleman, J. S. (1988). Social capital in the creation of human capital. </w:t>
      </w:r>
      <w:r w:rsidRPr="003963FC">
        <w:rPr>
          <w:rFonts w:ascii="Calibri" w:hAnsi="Calibri" w:cs="Calibri"/>
          <w:i/>
          <w:iCs/>
          <w:sz w:val="22"/>
          <w:szCs w:val="22"/>
        </w:rPr>
        <w:t>American Journal of Sociology, 94</w:t>
      </w:r>
      <w:r w:rsidRPr="004679BE">
        <w:rPr>
          <w:rFonts w:ascii="Calibri" w:hAnsi="Calibri" w:cs="Calibri"/>
          <w:sz w:val="22"/>
          <w:szCs w:val="22"/>
        </w:rPr>
        <w:t xml:space="preserve">, S95–S120. </w:t>
      </w:r>
      <w:hyperlink r:id="rId8" w:history="1">
        <w:r w:rsidR="0062714D" w:rsidRPr="00297805">
          <w:rPr>
            <w:rStyle w:val="Hyperlink"/>
            <w:rFonts w:ascii="Calibri" w:hAnsi="Calibri" w:cs="Calibri"/>
            <w:sz w:val="22"/>
            <w:szCs w:val="22"/>
          </w:rPr>
          <w:t>https://doi.org/10.1086/228943</w:t>
        </w:r>
      </w:hyperlink>
    </w:p>
    <w:p w14:paraId="44404AA8" w14:textId="1B3BD61F" w:rsidR="00DA1C3B" w:rsidRPr="004679BE" w:rsidRDefault="00DA1C3B" w:rsidP="00CB681B">
      <w:pPr>
        <w:spacing w:line="360" w:lineRule="auto"/>
        <w:ind w:left="720" w:hanging="720"/>
        <w:rPr>
          <w:rFonts w:ascii="Calibri" w:hAnsi="Calibri" w:cs="Calibri"/>
          <w:sz w:val="22"/>
          <w:szCs w:val="22"/>
        </w:rPr>
      </w:pPr>
      <w:r w:rsidRPr="004679BE">
        <w:rPr>
          <w:rFonts w:ascii="Calibri" w:hAnsi="Calibri" w:cs="Calibri"/>
          <w:sz w:val="22"/>
          <w:szCs w:val="22"/>
        </w:rPr>
        <w:t xml:space="preserve">Fejes, A., Chamberland, M. &amp; Sultana, R.G. </w:t>
      </w:r>
      <w:r w:rsidR="001F665F" w:rsidRPr="004679BE">
        <w:rPr>
          <w:rFonts w:ascii="Calibri" w:hAnsi="Calibri" w:cs="Calibri" w:hint="eastAsia"/>
          <w:sz w:val="22"/>
          <w:szCs w:val="22"/>
        </w:rPr>
        <w:t xml:space="preserve">(2022). </w:t>
      </w:r>
      <w:r w:rsidRPr="004679BE">
        <w:rPr>
          <w:rFonts w:ascii="Calibri" w:hAnsi="Calibri" w:cs="Calibri"/>
          <w:sz w:val="22"/>
          <w:szCs w:val="22"/>
        </w:rPr>
        <w:t xml:space="preserve">Migration, educational and career guidance and social inclusion. </w:t>
      </w:r>
      <w:r w:rsidRPr="00CB1BF7">
        <w:rPr>
          <w:rFonts w:ascii="Calibri" w:hAnsi="Calibri" w:cs="Calibri"/>
          <w:i/>
          <w:iCs/>
          <w:sz w:val="22"/>
          <w:szCs w:val="22"/>
        </w:rPr>
        <w:t>Int J Educ Vocat Guidance</w:t>
      </w:r>
      <w:r w:rsidR="00CB1BF7">
        <w:rPr>
          <w:rFonts w:ascii="Calibri" w:hAnsi="Calibri" w:cs="Calibri" w:hint="eastAsia"/>
          <w:i/>
          <w:iCs/>
          <w:sz w:val="22"/>
          <w:szCs w:val="22"/>
        </w:rPr>
        <w:t>,</w:t>
      </w:r>
      <w:r w:rsidRPr="00CB1BF7">
        <w:rPr>
          <w:rFonts w:ascii="Calibri" w:hAnsi="Calibri" w:cs="Calibri"/>
          <w:i/>
          <w:iCs/>
          <w:sz w:val="22"/>
          <w:szCs w:val="22"/>
        </w:rPr>
        <w:t xml:space="preserve"> 22</w:t>
      </w:r>
      <w:r w:rsidRPr="004679BE">
        <w:rPr>
          <w:rFonts w:ascii="Calibri" w:hAnsi="Calibri" w:cs="Calibri"/>
          <w:sz w:val="22"/>
          <w:szCs w:val="22"/>
        </w:rPr>
        <w:t xml:space="preserve">, 347–361. </w:t>
      </w:r>
      <w:hyperlink r:id="rId9" w:history="1">
        <w:r w:rsidR="001F665F" w:rsidRPr="004679BE">
          <w:rPr>
            <w:rStyle w:val="Hyperlink"/>
            <w:rFonts w:ascii="Calibri" w:hAnsi="Calibri" w:cs="Calibri"/>
            <w:sz w:val="22"/>
            <w:szCs w:val="22"/>
          </w:rPr>
          <w:t>https://doi.org/10.1007/s10775-021-09493-0</w:t>
        </w:r>
      </w:hyperlink>
    </w:p>
    <w:p w14:paraId="21A2A3B8" w14:textId="075E35BD" w:rsidR="00931889" w:rsidRPr="004679BE"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Gamlen, A., &amp; Sherrell, H. (2022). Australia and New Zealand: Classical migration states? In J. F. Hollifield, P. L. Martin, P. M. Orrenius, &amp; F. Héran (Eds.), </w:t>
      </w:r>
      <w:r w:rsidRPr="00CD4900">
        <w:rPr>
          <w:rFonts w:ascii="Calibri" w:hAnsi="Calibri" w:cs="Calibri"/>
          <w:i/>
          <w:iCs/>
          <w:sz w:val="22"/>
          <w:szCs w:val="22"/>
        </w:rPr>
        <w:t>Controlling Immigration: Immigration policy in an era of globalization and crisis</w:t>
      </w:r>
      <w:r w:rsidRPr="004679BE">
        <w:rPr>
          <w:rFonts w:ascii="Calibri" w:hAnsi="Calibri" w:cs="Calibri"/>
          <w:sz w:val="22"/>
          <w:szCs w:val="22"/>
        </w:rPr>
        <w:t xml:space="preserve"> (4th ed., Vol. 1, pp. 175–216). Stanford University Press. </w:t>
      </w:r>
    </w:p>
    <w:p w14:paraId="0DFBE3E0" w14:textId="669777BE" w:rsidR="00931889" w:rsidRDefault="00931889" w:rsidP="00637660">
      <w:pPr>
        <w:spacing w:line="360" w:lineRule="auto"/>
        <w:ind w:left="720" w:hanging="720"/>
        <w:rPr>
          <w:rFonts w:ascii="Calibri" w:hAnsi="Calibri" w:cs="Calibri"/>
          <w:sz w:val="22"/>
          <w:szCs w:val="22"/>
        </w:rPr>
      </w:pPr>
      <w:r w:rsidRPr="004679BE">
        <w:rPr>
          <w:rFonts w:ascii="Calibri" w:hAnsi="Calibri" w:cs="Calibri"/>
          <w:sz w:val="22"/>
          <w:szCs w:val="22"/>
        </w:rPr>
        <w:t>Hundt, D. (2019). Residency without citizenship: Korean immigration and settlement in Australia.</w:t>
      </w:r>
      <w:r w:rsidR="00637660" w:rsidRPr="004679BE">
        <w:rPr>
          <w:rFonts w:ascii="Calibri" w:hAnsi="Calibri" w:cs="Calibri" w:hint="eastAsia"/>
          <w:sz w:val="22"/>
          <w:szCs w:val="22"/>
        </w:rPr>
        <w:t xml:space="preserve"> </w:t>
      </w:r>
      <w:r w:rsidRPr="0004080F">
        <w:rPr>
          <w:rFonts w:ascii="Calibri" w:hAnsi="Calibri" w:cs="Calibri"/>
          <w:i/>
          <w:iCs/>
          <w:sz w:val="22"/>
          <w:szCs w:val="22"/>
        </w:rPr>
        <w:t>Asian and Pacific Migration Journal, 28</w:t>
      </w:r>
      <w:r w:rsidRPr="004679BE">
        <w:rPr>
          <w:rFonts w:ascii="Calibri" w:hAnsi="Calibri" w:cs="Calibri"/>
          <w:sz w:val="22"/>
          <w:szCs w:val="22"/>
        </w:rPr>
        <w:t xml:space="preserve">(1), 28–52. </w:t>
      </w:r>
      <w:hyperlink r:id="rId10" w:history="1">
        <w:r w:rsidR="0004080F" w:rsidRPr="00297805">
          <w:rPr>
            <w:rStyle w:val="Hyperlink"/>
            <w:rFonts w:ascii="Calibri" w:hAnsi="Calibri" w:cs="Calibri"/>
            <w:sz w:val="22"/>
            <w:szCs w:val="22"/>
          </w:rPr>
          <w:t>https://doi.org/10.1177/0117196819832772</w:t>
        </w:r>
      </w:hyperlink>
    </w:p>
    <w:p w14:paraId="26FD710B" w14:textId="2A9B9F9A"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Kang, W.-M., Lim, J., &amp; Park, H.-J. (2022). Reflecting on a second-migration experience: Issues and implications for social work practice. </w:t>
      </w:r>
      <w:r w:rsidRPr="0004080F">
        <w:rPr>
          <w:rFonts w:ascii="Calibri" w:hAnsi="Calibri" w:cs="Calibri"/>
          <w:i/>
          <w:iCs/>
          <w:sz w:val="22"/>
          <w:szCs w:val="22"/>
        </w:rPr>
        <w:t>International Social Work, 65</w:t>
      </w:r>
      <w:r w:rsidRPr="004679BE">
        <w:rPr>
          <w:rFonts w:ascii="Calibri" w:hAnsi="Calibri" w:cs="Calibri"/>
          <w:sz w:val="22"/>
          <w:szCs w:val="22"/>
        </w:rPr>
        <w:t xml:space="preserve">(5), 842–855. </w:t>
      </w:r>
      <w:hyperlink r:id="rId11" w:history="1">
        <w:r w:rsidR="0004080F" w:rsidRPr="00297805">
          <w:rPr>
            <w:rStyle w:val="Hyperlink"/>
            <w:rFonts w:ascii="Calibri" w:hAnsi="Calibri" w:cs="Calibri"/>
            <w:sz w:val="22"/>
            <w:szCs w:val="22"/>
          </w:rPr>
          <w:t>https://doi.org/10.1177/0020872820962180</w:t>
        </w:r>
      </w:hyperlink>
    </w:p>
    <w:p w14:paraId="63E67169" w14:textId="6BAD1512"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Kim, T., &amp; Allan, B. A. (2024). Development and validation of the Work Capital Scale. </w:t>
      </w:r>
      <w:r w:rsidRPr="0004080F">
        <w:rPr>
          <w:rFonts w:ascii="Calibri" w:hAnsi="Calibri" w:cs="Calibri"/>
          <w:i/>
          <w:iCs/>
          <w:sz w:val="22"/>
          <w:szCs w:val="22"/>
        </w:rPr>
        <w:t>Journal of Counseling Psychology, 71</w:t>
      </w:r>
      <w:r w:rsidRPr="004679BE">
        <w:rPr>
          <w:rFonts w:ascii="Calibri" w:hAnsi="Calibri" w:cs="Calibri"/>
          <w:sz w:val="22"/>
          <w:szCs w:val="22"/>
        </w:rPr>
        <w:t xml:space="preserve">(4), 278–290. </w:t>
      </w:r>
      <w:hyperlink r:id="rId12" w:history="1">
        <w:r w:rsidR="0004080F" w:rsidRPr="00297805">
          <w:rPr>
            <w:rStyle w:val="Hyperlink"/>
            <w:rFonts w:ascii="Calibri" w:hAnsi="Calibri" w:cs="Calibri"/>
            <w:sz w:val="22"/>
            <w:szCs w:val="22"/>
          </w:rPr>
          <w:t>https://doi.org/10.1037/cou0000730</w:t>
        </w:r>
      </w:hyperlink>
    </w:p>
    <w:p w14:paraId="1A99AEC0" w14:textId="6BACFE06"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lastRenderedPageBreak/>
        <w:t xml:space="preserve">Kim, T., Duffy, R. D., &amp; Choi, Y. (2024). Examining the dimensions, predictors, and outcomes of Work Capital. </w:t>
      </w:r>
      <w:r w:rsidRPr="0004080F">
        <w:rPr>
          <w:rFonts w:ascii="Calibri" w:hAnsi="Calibri" w:cs="Calibri"/>
          <w:i/>
          <w:iCs/>
          <w:sz w:val="22"/>
          <w:szCs w:val="22"/>
        </w:rPr>
        <w:t>Journal of Career Assessment</w:t>
      </w:r>
      <w:r w:rsidRPr="004679BE">
        <w:rPr>
          <w:rFonts w:ascii="Calibri" w:hAnsi="Calibri" w:cs="Calibri"/>
          <w:sz w:val="22"/>
          <w:szCs w:val="22"/>
        </w:rPr>
        <w:t xml:space="preserve">. </w:t>
      </w:r>
      <w:hyperlink r:id="rId13" w:history="1">
        <w:r w:rsidR="0004080F" w:rsidRPr="00297805">
          <w:rPr>
            <w:rStyle w:val="Hyperlink"/>
            <w:rFonts w:ascii="Calibri" w:hAnsi="Calibri" w:cs="Calibri"/>
            <w:sz w:val="22"/>
            <w:szCs w:val="22"/>
          </w:rPr>
          <w:t>https://doi.org/10.1177/10690727241308118</w:t>
        </w:r>
      </w:hyperlink>
    </w:p>
    <w:p w14:paraId="2C181F06" w14:textId="17024012" w:rsidR="00427AC0" w:rsidRPr="004679BE" w:rsidRDefault="00427AC0" w:rsidP="00931889">
      <w:pPr>
        <w:spacing w:line="360" w:lineRule="auto"/>
        <w:ind w:left="720" w:hanging="720"/>
        <w:rPr>
          <w:rFonts w:ascii="Calibri" w:hAnsi="Calibri" w:cs="Calibri"/>
          <w:sz w:val="22"/>
          <w:szCs w:val="22"/>
        </w:rPr>
      </w:pPr>
      <w:r w:rsidRPr="004679BE">
        <w:rPr>
          <w:rFonts w:ascii="Calibri" w:hAnsi="Calibri" w:cs="Calibri" w:hint="eastAsia"/>
          <w:sz w:val="22"/>
          <w:szCs w:val="22"/>
        </w:rPr>
        <w:t>Kim, T., Lee, J. H., Lee, S., &amp; Buyukgoze-Kavas, A. (2025). Context and Validation of the Korean Work Capital Scale</w:t>
      </w:r>
      <w:r w:rsidR="00126A65" w:rsidRPr="004679BE">
        <w:rPr>
          <w:rFonts w:ascii="Calibri" w:hAnsi="Calibri" w:cs="Calibri" w:hint="eastAsia"/>
          <w:sz w:val="22"/>
          <w:szCs w:val="22"/>
        </w:rPr>
        <w:t xml:space="preserve">. </w:t>
      </w:r>
      <w:r w:rsidRPr="004679BE">
        <w:rPr>
          <w:rFonts w:ascii="Calibri" w:hAnsi="Calibri" w:cs="Calibri" w:hint="eastAsia"/>
          <w:i/>
          <w:iCs/>
          <w:sz w:val="22"/>
          <w:szCs w:val="22"/>
        </w:rPr>
        <w:t>Journal of Career Assessment</w:t>
      </w:r>
      <w:r w:rsidR="00126A65" w:rsidRPr="004679BE">
        <w:rPr>
          <w:rFonts w:ascii="Calibri" w:hAnsi="Calibri" w:cs="Calibri" w:hint="eastAsia"/>
          <w:sz w:val="22"/>
          <w:szCs w:val="22"/>
        </w:rPr>
        <w:t xml:space="preserve">. </w:t>
      </w:r>
      <w:hyperlink r:id="rId14" w:history="1">
        <w:r w:rsidR="00C96F51" w:rsidRPr="004679BE">
          <w:rPr>
            <w:rStyle w:val="Hyperlink"/>
            <w:rFonts w:ascii="Calibri" w:hAnsi="Calibri" w:cs="Calibri"/>
            <w:sz w:val="22"/>
            <w:szCs w:val="22"/>
          </w:rPr>
          <w:t>https://doi.org/10.1177/106907272513770</w:t>
        </w:r>
      </w:hyperlink>
    </w:p>
    <w:p w14:paraId="0E037A5C" w14:textId="51B473E4"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Organisation for Economic Co-operation and Development (OECD). (2023). </w:t>
      </w:r>
      <w:r w:rsidRPr="00B6329D">
        <w:rPr>
          <w:rFonts w:ascii="Calibri" w:hAnsi="Calibri" w:cs="Calibri"/>
          <w:i/>
          <w:iCs/>
          <w:sz w:val="22"/>
          <w:szCs w:val="22"/>
        </w:rPr>
        <w:t>Gender wage gap (indicator)</w:t>
      </w:r>
      <w:r w:rsidRPr="004679BE">
        <w:rPr>
          <w:rFonts w:ascii="Calibri" w:hAnsi="Calibri" w:cs="Calibri"/>
          <w:sz w:val="22"/>
          <w:szCs w:val="22"/>
        </w:rPr>
        <w:t xml:space="preserve">. OECD Data. </w:t>
      </w:r>
      <w:hyperlink r:id="rId15" w:history="1">
        <w:r w:rsidR="0004080F" w:rsidRPr="00297805">
          <w:rPr>
            <w:rStyle w:val="Hyperlink"/>
            <w:rFonts w:ascii="Calibri" w:hAnsi="Calibri" w:cs="Calibri"/>
            <w:sz w:val="22"/>
            <w:szCs w:val="22"/>
          </w:rPr>
          <w:t>https://doi.org/10.1787/7cee77aa-en</w:t>
        </w:r>
      </w:hyperlink>
    </w:p>
    <w:p w14:paraId="3679D75E" w14:textId="77777777" w:rsidR="00931889" w:rsidRPr="004679BE"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Schultz, T. W. (1961). Investment in human capital. </w:t>
      </w:r>
      <w:r w:rsidRPr="00CA7FDC">
        <w:rPr>
          <w:rFonts w:ascii="Calibri" w:hAnsi="Calibri" w:cs="Calibri"/>
          <w:i/>
          <w:iCs/>
          <w:sz w:val="22"/>
          <w:szCs w:val="22"/>
        </w:rPr>
        <w:t>The American Economic Review, 51</w:t>
      </w:r>
      <w:r w:rsidRPr="004679BE">
        <w:rPr>
          <w:rFonts w:ascii="Calibri" w:hAnsi="Calibri" w:cs="Calibri"/>
          <w:sz w:val="22"/>
          <w:szCs w:val="22"/>
        </w:rPr>
        <w:t>(1), 1–17.</w:t>
      </w:r>
    </w:p>
    <w:p w14:paraId="7B47F09C" w14:textId="26F94908" w:rsidR="00931889" w:rsidRDefault="00931889" w:rsidP="00931889">
      <w:pPr>
        <w:spacing w:line="360" w:lineRule="auto"/>
        <w:ind w:left="720" w:hanging="720"/>
        <w:rPr>
          <w:rFonts w:ascii="Calibri" w:hAnsi="Calibri" w:cs="Calibri"/>
          <w:sz w:val="22"/>
          <w:szCs w:val="22"/>
        </w:rPr>
      </w:pPr>
      <w:r w:rsidRPr="004679BE">
        <w:rPr>
          <w:rFonts w:ascii="Calibri" w:hAnsi="Calibri" w:cs="Calibri"/>
          <w:sz w:val="22"/>
          <w:szCs w:val="22"/>
        </w:rPr>
        <w:t xml:space="preserve">Sul Tcha, S., &amp; Lobo, F. (2003). Analysis of constraints to sport and leisure participation—the case of Korean immigrants in Western Australia. </w:t>
      </w:r>
      <w:r w:rsidRPr="00CA7FDC">
        <w:rPr>
          <w:rFonts w:ascii="Calibri" w:hAnsi="Calibri" w:cs="Calibri"/>
          <w:i/>
          <w:iCs/>
          <w:sz w:val="22"/>
          <w:szCs w:val="22"/>
        </w:rPr>
        <w:t>World Leisure Journal, 45</w:t>
      </w:r>
      <w:r w:rsidRPr="004679BE">
        <w:rPr>
          <w:rFonts w:ascii="Calibri" w:hAnsi="Calibri" w:cs="Calibri"/>
          <w:sz w:val="22"/>
          <w:szCs w:val="22"/>
        </w:rPr>
        <w:t xml:space="preserve">(3), 13–23. </w:t>
      </w:r>
      <w:hyperlink r:id="rId16" w:history="1">
        <w:r w:rsidR="0004080F" w:rsidRPr="00297805">
          <w:rPr>
            <w:rStyle w:val="Hyperlink"/>
            <w:rFonts w:ascii="Calibri" w:hAnsi="Calibri" w:cs="Calibri"/>
            <w:sz w:val="22"/>
            <w:szCs w:val="22"/>
          </w:rPr>
          <w:t>https://doi.org/10.1080/04419057.2003.9674321</w:t>
        </w:r>
      </w:hyperlink>
    </w:p>
    <w:p w14:paraId="5420FB56" w14:textId="77777777" w:rsidR="0004080F" w:rsidRPr="00931889" w:rsidRDefault="0004080F" w:rsidP="00931889">
      <w:pPr>
        <w:spacing w:line="360" w:lineRule="auto"/>
        <w:ind w:left="720" w:hanging="720"/>
        <w:rPr>
          <w:rFonts w:ascii="Calibri" w:hAnsi="Calibri" w:cs="Calibri"/>
          <w:sz w:val="22"/>
          <w:szCs w:val="22"/>
        </w:rPr>
      </w:pPr>
    </w:p>
    <w:p w14:paraId="5EC2C109" w14:textId="319D8E72" w:rsidR="00CD10F2" w:rsidRDefault="00462D63" w:rsidP="00931889">
      <w:pPr>
        <w:spacing w:line="360" w:lineRule="auto"/>
        <w:ind w:left="720" w:hanging="720"/>
        <w:rPr>
          <w:rFonts w:ascii="Calibri" w:hAnsi="Calibri" w:cs="Calibri" w:hint="eastAsia"/>
          <w:sz w:val="22"/>
          <w:szCs w:val="22"/>
        </w:rPr>
      </w:pPr>
      <w:r>
        <w:rPr>
          <w:rFonts w:ascii="Calibri" w:hAnsi="Calibri" w:cs="Calibri" w:hint="eastAsia"/>
          <w:sz w:val="22"/>
          <w:szCs w:val="22"/>
        </w:rPr>
        <w:t xml:space="preserve"> </w:t>
      </w:r>
    </w:p>
    <w:sectPr w:rsidR="00CD10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22341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123837"/>
    <w:multiLevelType w:val="hybridMultilevel"/>
    <w:tmpl w:val="84A661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78227496">
    <w:abstractNumId w:val="0"/>
  </w:num>
  <w:num w:numId="2" w16cid:durableId="2092316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460"/>
    <w:rsid w:val="000238A0"/>
    <w:rsid w:val="00033893"/>
    <w:rsid w:val="0004080F"/>
    <w:rsid w:val="0004342C"/>
    <w:rsid w:val="0004557E"/>
    <w:rsid w:val="0005123D"/>
    <w:rsid w:val="00060B92"/>
    <w:rsid w:val="00062465"/>
    <w:rsid w:val="00070568"/>
    <w:rsid w:val="000778DD"/>
    <w:rsid w:val="000A3B11"/>
    <w:rsid w:val="000B43E6"/>
    <w:rsid w:val="00105E0E"/>
    <w:rsid w:val="00126A65"/>
    <w:rsid w:val="00166243"/>
    <w:rsid w:val="001763E9"/>
    <w:rsid w:val="001D0078"/>
    <w:rsid w:val="001F1377"/>
    <w:rsid w:val="001F665F"/>
    <w:rsid w:val="00213E70"/>
    <w:rsid w:val="00264DBA"/>
    <w:rsid w:val="00281643"/>
    <w:rsid w:val="0029091C"/>
    <w:rsid w:val="002E0BFF"/>
    <w:rsid w:val="00313C31"/>
    <w:rsid w:val="00323ED5"/>
    <w:rsid w:val="003577D2"/>
    <w:rsid w:val="0038556C"/>
    <w:rsid w:val="003963FC"/>
    <w:rsid w:val="003B4406"/>
    <w:rsid w:val="003C6CF6"/>
    <w:rsid w:val="00405186"/>
    <w:rsid w:val="00426984"/>
    <w:rsid w:val="00427AC0"/>
    <w:rsid w:val="00440696"/>
    <w:rsid w:val="00451A63"/>
    <w:rsid w:val="00462D63"/>
    <w:rsid w:val="004679BE"/>
    <w:rsid w:val="0047209B"/>
    <w:rsid w:val="004A4BF6"/>
    <w:rsid w:val="004A715B"/>
    <w:rsid w:val="004B3CEF"/>
    <w:rsid w:val="004B49D1"/>
    <w:rsid w:val="004C4BBB"/>
    <w:rsid w:val="004C53F6"/>
    <w:rsid w:val="004D6E83"/>
    <w:rsid w:val="004E1FF8"/>
    <w:rsid w:val="004E7D35"/>
    <w:rsid w:val="005026EE"/>
    <w:rsid w:val="00503460"/>
    <w:rsid w:val="00505230"/>
    <w:rsid w:val="005355C8"/>
    <w:rsid w:val="00543F11"/>
    <w:rsid w:val="00584BEE"/>
    <w:rsid w:val="005D27DD"/>
    <w:rsid w:val="005F494A"/>
    <w:rsid w:val="0060100A"/>
    <w:rsid w:val="0062714D"/>
    <w:rsid w:val="00637660"/>
    <w:rsid w:val="00644432"/>
    <w:rsid w:val="0067521E"/>
    <w:rsid w:val="006935FD"/>
    <w:rsid w:val="006D2CCA"/>
    <w:rsid w:val="006E0649"/>
    <w:rsid w:val="0072133D"/>
    <w:rsid w:val="00722F8A"/>
    <w:rsid w:val="007356CD"/>
    <w:rsid w:val="007359F2"/>
    <w:rsid w:val="00750291"/>
    <w:rsid w:val="007511C4"/>
    <w:rsid w:val="007B4820"/>
    <w:rsid w:val="007C4CEF"/>
    <w:rsid w:val="007D2157"/>
    <w:rsid w:val="007E48F0"/>
    <w:rsid w:val="007F7946"/>
    <w:rsid w:val="0081756C"/>
    <w:rsid w:val="00840E38"/>
    <w:rsid w:val="0084185B"/>
    <w:rsid w:val="00865F3E"/>
    <w:rsid w:val="00876B96"/>
    <w:rsid w:val="008C0E8D"/>
    <w:rsid w:val="008D3114"/>
    <w:rsid w:val="008F6362"/>
    <w:rsid w:val="009218AE"/>
    <w:rsid w:val="00925150"/>
    <w:rsid w:val="00931889"/>
    <w:rsid w:val="00970A53"/>
    <w:rsid w:val="009715AA"/>
    <w:rsid w:val="009937C4"/>
    <w:rsid w:val="009A119A"/>
    <w:rsid w:val="009B5BE3"/>
    <w:rsid w:val="009D4329"/>
    <w:rsid w:val="009D7F38"/>
    <w:rsid w:val="00A24373"/>
    <w:rsid w:val="00A55F02"/>
    <w:rsid w:val="00A62E26"/>
    <w:rsid w:val="00A67A5F"/>
    <w:rsid w:val="00A85947"/>
    <w:rsid w:val="00AB6FE5"/>
    <w:rsid w:val="00AC252F"/>
    <w:rsid w:val="00AC66E4"/>
    <w:rsid w:val="00AC7DBC"/>
    <w:rsid w:val="00AF4DFE"/>
    <w:rsid w:val="00B11B88"/>
    <w:rsid w:val="00B1670E"/>
    <w:rsid w:val="00B25759"/>
    <w:rsid w:val="00B45E65"/>
    <w:rsid w:val="00B52764"/>
    <w:rsid w:val="00B56084"/>
    <w:rsid w:val="00B6329D"/>
    <w:rsid w:val="00B81583"/>
    <w:rsid w:val="00B8302C"/>
    <w:rsid w:val="00BA1CA7"/>
    <w:rsid w:val="00BA2534"/>
    <w:rsid w:val="00BD37E5"/>
    <w:rsid w:val="00BF52AC"/>
    <w:rsid w:val="00C568EB"/>
    <w:rsid w:val="00C60594"/>
    <w:rsid w:val="00C719B2"/>
    <w:rsid w:val="00C96F51"/>
    <w:rsid w:val="00CA231B"/>
    <w:rsid w:val="00CA3827"/>
    <w:rsid w:val="00CA6D01"/>
    <w:rsid w:val="00CA7FDC"/>
    <w:rsid w:val="00CB1BF7"/>
    <w:rsid w:val="00CB681B"/>
    <w:rsid w:val="00CC11E4"/>
    <w:rsid w:val="00CC2B15"/>
    <w:rsid w:val="00CC36E2"/>
    <w:rsid w:val="00CC6458"/>
    <w:rsid w:val="00CD10F2"/>
    <w:rsid w:val="00CD4900"/>
    <w:rsid w:val="00CE1735"/>
    <w:rsid w:val="00D17053"/>
    <w:rsid w:val="00DA06B4"/>
    <w:rsid w:val="00DA1C3B"/>
    <w:rsid w:val="00DC0A47"/>
    <w:rsid w:val="00DF5580"/>
    <w:rsid w:val="00E0238A"/>
    <w:rsid w:val="00E215FA"/>
    <w:rsid w:val="00E27951"/>
    <w:rsid w:val="00E3005F"/>
    <w:rsid w:val="00E44EDE"/>
    <w:rsid w:val="00E5673E"/>
    <w:rsid w:val="00E71ADF"/>
    <w:rsid w:val="00ED7B76"/>
    <w:rsid w:val="00F05F11"/>
    <w:rsid w:val="00F14B07"/>
    <w:rsid w:val="00F35166"/>
    <w:rsid w:val="00F72A27"/>
    <w:rsid w:val="00F94DB4"/>
    <w:rsid w:val="00FB5E80"/>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51A4"/>
  <w15:chartTrackingRefBased/>
  <w15:docId w15:val="{6E1ADB58-26C5-4DD2-853B-37121150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4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4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4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4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4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4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4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4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4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4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4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4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4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4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4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460"/>
    <w:rPr>
      <w:rFonts w:eastAsiaTheme="majorEastAsia" w:cstheme="majorBidi"/>
      <w:color w:val="272727" w:themeColor="text1" w:themeTint="D8"/>
    </w:rPr>
  </w:style>
  <w:style w:type="paragraph" w:styleId="Title">
    <w:name w:val="Title"/>
    <w:basedOn w:val="Normal"/>
    <w:next w:val="Normal"/>
    <w:link w:val="TitleChar"/>
    <w:uiPriority w:val="10"/>
    <w:qFormat/>
    <w:rsid w:val="005034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4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4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4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460"/>
    <w:pPr>
      <w:spacing w:before="160"/>
      <w:jc w:val="center"/>
    </w:pPr>
    <w:rPr>
      <w:i/>
      <w:iCs/>
      <w:color w:val="404040" w:themeColor="text1" w:themeTint="BF"/>
    </w:rPr>
  </w:style>
  <w:style w:type="character" w:customStyle="1" w:styleId="QuoteChar">
    <w:name w:val="Quote Char"/>
    <w:basedOn w:val="DefaultParagraphFont"/>
    <w:link w:val="Quote"/>
    <w:uiPriority w:val="29"/>
    <w:rsid w:val="00503460"/>
    <w:rPr>
      <w:i/>
      <w:iCs/>
      <w:color w:val="404040" w:themeColor="text1" w:themeTint="BF"/>
    </w:rPr>
  </w:style>
  <w:style w:type="paragraph" w:styleId="ListParagraph">
    <w:name w:val="List Paragraph"/>
    <w:basedOn w:val="Normal"/>
    <w:uiPriority w:val="34"/>
    <w:qFormat/>
    <w:rsid w:val="00503460"/>
    <w:pPr>
      <w:ind w:left="720"/>
      <w:contextualSpacing/>
    </w:pPr>
  </w:style>
  <w:style w:type="character" w:styleId="IntenseEmphasis">
    <w:name w:val="Intense Emphasis"/>
    <w:basedOn w:val="DefaultParagraphFont"/>
    <w:uiPriority w:val="21"/>
    <w:qFormat/>
    <w:rsid w:val="00503460"/>
    <w:rPr>
      <w:i/>
      <w:iCs/>
      <w:color w:val="0F4761" w:themeColor="accent1" w:themeShade="BF"/>
    </w:rPr>
  </w:style>
  <w:style w:type="paragraph" w:styleId="IntenseQuote">
    <w:name w:val="Intense Quote"/>
    <w:basedOn w:val="Normal"/>
    <w:next w:val="Normal"/>
    <w:link w:val="IntenseQuoteChar"/>
    <w:uiPriority w:val="30"/>
    <w:qFormat/>
    <w:rsid w:val="00503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460"/>
    <w:rPr>
      <w:i/>
      <w:iCs/>
      <w:color w:val="0F4761" w:themeColor="accent1" w:themeShade="BF"/>
    </w:rPr>
  </w:style>
  <w:style w:type="character" w:styleId="IntenseReference">
    <w:name w:val="Intense Reference"/>
    <w:basedOn w:val="DefaultParagraphFont"/>
    <w:uiPriority w:val="32"/>
    <w:qFormat/>
    <w:rsid w:val="00503460"/>
    <w:rPr>
      <w:b/>
      <w:bCs/>
      <w:smallCaps/>
      <w:color w:val="0F4761" w:themeColor="accent1" w:themeShade="BF"/>
      <w:spacing w:val="5"/>
    </w:rPr>
  </w:style>
  <w:style w:type="character" w:styleId="Hyperlink">
    <w:name w:val="Hyperlink"/>
    <w:basedOn w:val="DefaultParagraphFont"/>
    <w:uiPriority w:val="99"/>
    <w:unhideWhenUsed/>
    <w:rsid w:val="00B81583"/>
    <w:rPr>
      <w:color w:val="467886" w:themeColor="hyperlink"/>
      <w:u w:val="single"/>
    </w:rPr>
  </w:style>
  <w:style w:type="character" w:styleId="UnresolvedMention">
    <w:name w:val="Unresolved Mention"/>
    <w:basedOn w:val="DefaultParagraphFont"/>
    <w:uiPriority w:val="99"/>
    <w:semiHidden/>
    <w:unhideWhenUsed/>
    <w:rsid w:val="00B81583"/>
    <w:rPr>
      <w:color w:val="605E5C"/>
      <w:shd w:val="clear" w:color="auto" w:fill="E1DFDD"/>
    </w:rPr>
  </w:style>
  <w:style w:type="paragraph" w:styleId="NormalWeb">
    <w:name w:val="Normal (Web)"/>
    <w:basedOn w:val="Normal"/>
    <w:uiPriority w:val="99"/>
    <w:semiHidden/>
    <w:unhideWhenUsed/>
    <w:rsid w:val="004E7D3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6/228943" TargetMode="External"/><Relationship Id="rId13" Type="http://schemas.openxmlformats.org/officeDocument/2006/relationships/hyperlink" Target="https://doi.org/10.1177/1069072724130811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80/26437015.2021.1976081" TargetMode="External"/><Relationship Id="rId12" Type="http://schemas.openxmlformats.org/officeDocument/2006/relationships/hyperlink" Target="https://doi.org/10.1037/cou000073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80/04419057.2003.9674321" TargetMode="External"/><Relationship Id="rId1" Type="http://schemas.openxmlformats.org/officeDocument/2006/relationships/numbering" Target="numbering.xml"/><Relationship Id="rId6" Type="http://schemas.openxmlformats.org/officeDocument/2006/relationships/hyperlink" Target="https://doi.org/10.4324/9781003349723-20" TargetMode="External"/><Relationship Id="rId11" Type="http://schemas.openxmlformats.org/officeDocument/2006/relationships/hyperlink" Target="https://doi.org/10.1177/0020872820962180" TargetMode="External"/><Relationship Id="rId5" Type="http://schemas.openxmlformats.org/officeDocument/2006/relationships/hyperlink" Target="https://www.abs.gov.au/census" TargetMode="External"/><Relationship Id="rId15" Type="http://schemas.openxmlformats.org/officeDocument/2006/relationships/hyperlink" Target="https://doi.org/10.1787/7cee77aa-en" TargetMode="External"/><Relationship Id="rId10" Type="http://schemas.openxmlformats.org/officeDocument/2006/relationships/hyperlink" Target="https://doi.org/10.1177/0117196819832772" TargetMode="External"/><Relationship Id="rId4" Type="http://schemas.openxmlformats.org/officeDocument/2006/relationships/webSettings" Target="webSettings.xml"/><Relationship Id="rId9" Type="http://schemas.openxmlformats.org/officeDocument/2006/relationships/hyperlink" Target="https://doi.org/10.1007/s10775-021-09493-0" TargetMode="External"/><Relationship Id="rId14" Type="http://schemas.openxmlformats.org/officeDocument/2006/relationships/hyperlink" Target="https://doi.org/10.1177/1069072725137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4</Pages>
  <Words>1320</Words>
  <Characters>6324</Characters>
  <Application>Microsoft Office Word</Application>
  <DocSecurity>0</DocSecurity>
  <Lines>274</Lines>
  <Paragraphs>146</Paragraphs>
  <ScaleCrop>false</ScaleCrop>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Sujin Kim</dc:creator>
  <cp:keywords/>
  <dc:description/>
  <cp:lastModifiedBy>Sujin Kim</cp:lastModifiedBy>
  <cp:revision>239</cp:revision>
  <cp:lastPrinted>2026-03-05T03:08:00Z</cp:lastPrinted>
  <dcterms:created xsi:type="dcterms:W3CDTF">2026-03-05T01:02:00Z</dcterms:created>
  <dcterms:modified xsi:type="dcterms:W3CDTF">2026-03-05T03:57:00Z</dcterms:modified>
</cp:coreProperties>
</file>