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4EA49" w14:textId="15704D80" w:rsidR="00AC133A" w:rsidRDefault="00AC133A" w:rsidP="00A960B9">
      <w:pPr>
        <w:rPr>
          <w:b/>
          <w:bCs/>
          <w:sz w:val="32"/>
          <w:szCs w:val="32"/>
          <w:lang w:val="en-NZ"/>
        </w:rPr>
      </w:pPr>
      <w:r>
        <w:rPr>
          <w:b/>
          <w:bCs/>
          <w:noProof/>
          <w:sz w:val="32"/>
          <w:szCs w:val="32"/>
          <w:lang w:val="en-NZ"/>
        </w:rPr>
        <w:drawing>
          <wp:anchor distT="0" distB="0" distL="114300" distR="114300" simplePos="0" relativeHeight="251658240" behindDoc="1" locked="0" layoutInCell="1" allowOverlap="1" wp14:anchorId="6F2278BF" wp14:editId="401750C3">
            <wp:simplePos x="2204085" y="914400"/>
            <wp:positionH relativeFrom="margin">
              <wp:align>center</wp:align>
            </wp:positionH>
            <wp:positionV relativeFrom="margin">
              <wp:align>top</wp:align>
            </wp:positionV>
            <wp:extent cx="2459990" cy="1431290"/>
            <wp:effectExtent l="0" t="0" r="0" b="0"/>
            <wp:wrapSquare wrapText="bothSides"/>
            <wp:docPr id="1886364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64523" name="Picture 1886364523"/>
                    <pic:cNvPicPr/>
                  </pic:nvPicPr>
                  <pic:blipFill>
                    <a:blip r:embed="rId8">
                      <a:extLst>
                        <a:ext uri="{28A0092B-C50C-407E-A947-70E740481C1C}">
                          <a14:useLocalDpi xmlns:a14="http://schemas.microsoft.com/office/drawing/2010/main" val="0"/>
                        </a:ext>
                      </a:extLst>
                    </a:blip>
                    <a:stretch>
                      <a:fillRect/>
                    </a:stretch>
                  </pic:blipFill>
                  <pic:spPr>
                    <a:xfrm>
                      <a:off x="0" y="0"/>
                      <a:ext cx="2459990" cy="1431290"/>
                    </a:xfrm>
                    <a:prstGeom prst="rect">
                      <a:avLst/>
                    </a:prstGeom>
                  </pic:spPr>
                </pic:pic>
              </a:graphicData>
            </a:graphic>
            <wp14:sizeRelH relativeFrom="margin">
              <wp14:pctWidth>0</wp14:pctWidth>
            </wp14:sizeRelH>
            <wp14:sizeRelV relativeFrom="margin">
              <wp14:pctHeight>0</wp14:pctHeight>
            </wp14:sizeRelV>
          </wp:anchor>
        </w:drawing>
      </w:r>
    </w:p>
    <w:p w14:paraId="1C344722" w14:textId="77777777" w:rsidR="00AC133A" w:rsidRDefault="00AC133A" w:rsidP="00A960B9">
      <w:pPr>
        <w:rPr>
          <w:b/>
          <w:bCs/>
          <w:sz w:val="32"/>
          <w:szCs w:val="32"/>
          <w:lang w:val="en-NZ"/>
        </w:rPr>
      </w:pPr>
    </w:p>
    <w:p w14:paraId="62497975" w14:textId="77777777" w:rsidR="00AC133A" w:rsidRDefault="00AC133A" w:rsidP="00AC133A">
      <w:pPr>
        <w:jc w:val="center"/>
        <w:rPr>
          <w:b/>
          <w:bCs/>
          <w:sz w:val="32"/>
          <w:szCs w:val="32"/>
          <w:lang w:val="en-NZ"/>
        </w:rPr>
      </w:pPr>
    </w:p>
    <w:p w14:paraId="2972541B" w14:textId="77777777" w:rsidR="00AC133A" w:rsidRDefault="00AC133A" w:rsidP="00A960B9">
      <w:pPr>
        <w:rPr>
          <w:b/>
          <w:bCs/>
          <w:sz w:val="32"/>
          <w:szCs w:val="32"/>
          <w:lang w:val="en-NZ"/>
        </w:rPr>
      </w:pPr>
    </w:p>
    <w:p w14:paraId="20CF5477" w14:textId="44B42862" w:rsidR="006476C5" w:rsidRPr="006476C5" w:rsidRDefault="006476C5" w:rsidP="00AC133A">
      <w:pPr>
        <w:jc w:val="center"/>
        <w:rPr>
          <w:b/>
          <w:bCs/>
          <w:color w:val="00B0F0"/>
          <w:sz w:val="40"/>
          <w:szCs w:val="40"/>
          <w:lang w:val="en-NZ"/>
        </w:rPr>
      </w:pPr>
      <w:r w:rsidRPr="006476C5">
        <w:rPr>
          <w:b/>
          <w:bCs/>
          <w:color w:val="00B0F0"/>
          <w:sz w:val="40"/>
          <w:szCs w:val="40"/>
          <w:lang w:val="en-NZ"/>
        </w:rPr>
        <w:t>Level Up</w:t>
      </w:r>
      <w:r w:rsidR="00AC133A" w:rsidRPr="00AC133A">
        <w:rPr>
          <w:b/>
          <w:bCs/>
          <w:color w:val="00B0F0"/>
          <w:sz w:val="40"/>
          <w:szCs w:val="40"/>
          <w:lang w:val="en-NZ"/>
        </w:rPr>
        <w:t xml:space="preserve"> – </w:t>
      </w:r>
      <w:r w:rsidR="00CB487C" w:rsidRPr="00AC133A">
        <w:rPr>
          <w:b/>
          <w:bCs/>
          <w:color w:val="00B0F0"/>
          <w:sz w:val="40"/>
          <w:szCs w:val="40"/>
          <w:lang w:val="en-NZ"/>
        </w:rPr>
        <w:t>Mana Motuhake in Action</w:t>
      </w:r>
    </w:p>
    <w:p w14:paraId="4CE82309" w14:textId="51B7B0D1" w:rsidR="00CB487C" w:rsidRDefault="00CB487C" w:rsidP="00CB487C">
      <w:pPr>
        <w:rPr>
          <w:lang w:val="en-NZ"/>
        </w:rPr>
      </w:pPr>
    </w:p>
    <w:p w14:paraId="1B454210" w14:textId="1301564D" w:rsidR="002A76E2" w:rsidRDefault="004627FC" w:rsidP="00AC133A">
      <w:r w:rsidRPr="00AC133A">
        <w:rPr>
          <w:b/>
          <w:bCs/>
          <w:color w:val="00B0F0"/>
        </w:rPr>
        <w:t>Keywords:</w:t>
      </w:r>
      <w:r w:rsidRPr="004627FC">
        <w:t xml:space="preserve"> </w:t>
      </w:r>
      <w:r w:rsidRPr="006476C5">
        <w:t xml:space="preserve">Future of Work; </w:t>
      </w:r>
      <w:r w:rsidRPr="004627FC">
        <w:t>Te Ao Mahi</w:t>
      </w:r>
      <w:r w:rsidRPr="006476C5">
        <w:t xml:space="preserve">; Skills; </w:t>
      </w:r>
      <w:r w:rsidRPr="004627FC">
        <w:t>Mana Motuhake</w:t>
      </w:r>
      <w:r w:rsidRPr="006476C5">
        <w:t xml:space="preserve">; </w:t>
      </w:r>
      <w:r w:rsidRPr="004627FC">
        <w:t>Sense Making</w:t>
      </w:r>
    </w:p>
    <w:p w14:paraId="3588C683" w14:textId="77777777" w:rsidR="00AC133A" w:rsidRDefault="00AC133A" w:rsidP="00AC133A"/>
    <w:p w14:paraId="6F4EBDE0" w14:textId="77777777" w:rsidR="002A76E2" w:rsidRPr="002A76E2" w:rsidRDefault="002A76E2" w:rsidP="002A76E2">
      <w:pPr>
        <w:rPr>
          <w:color w:val="000000" w:themeColor="text1"/>
        </w:rPr>
      </w:pPr>
      <w:r w:rsidRPr="002A76E2">
        <w:rPr>
          <w:color w:val="000000" w:themeColor="text1"/>
        </w:rPr>
        <w:t xml:space="preserve">Level Up aligns with the theme of </w:t>
      </w:r>
      <w:r w:rsidRPr="002A76E2">
        <w:rPr>
          <w:i/>
          <w:iCs/>
          <w:color w:val="000000" w:themeColor="text1"/>
        </w:rPr>
        <w:t>Matariki</w:t>
      </w:r>
      <w:r w:rsidRPr="002A76E2">
        <w:rPr>
          <w:color w:val="000000" w:themeColor="text1"/>
        </w:rPr>
        <w:t xml:space="preserve"> through its grounding in </w:t>
      </w:r>
      <w:r w:rsidRPr="002A76E2">
        <w:rPr>
          <w:b/>
          <w:bCs/>
          <w:color w:val="00B0F0"/>
        </w:rPr>
        <w:t>mana motuhake</w:t>
      </w:r>
      <w:r w:rsidRPr="002A76E2">
        <w:rPr>
          <w:color w:val="00B0F0"/>
        </w:rPr>
        <w:t>—</w:t>
      </w:r>
      <w:r w:rsidRPr="002A76E2">
        <w:rPr>
          <w:color w:val="000000" w:themeColor="text1"/>
        </w:rPr>
        <w:t>supporting ākonga to develop the confidence, capability, and self-determination to navigate their own pathways. In the current landscape, the future of work is often described in ways that create noise and uncertainty. For many rangatahi, this can feel like clouds obscuring the stars, making it difficult to see clearly or know which direction to take. Level Up was developed in response to this challenge. Rather than trying to predict the future for students, it focuses on helping them make sense of it for themselves, building the capability to navigate change with intention—paddling their own waka with clarity and confidence.</w:t>
      </w:r>
    </w:p>
    <w:p w14:paraId="3AD732A3" w14:textId="77777777" w:rsidR="002A76E2" w:rsidRPr="002A76E2" w:rsidRDefault="002A76E2" w:rsidP="002A76E2">
      <w:pPr>
        <w:rPr>
          <w:color w:val="000000" w:themeColor="text1"/>
        </w:rPr>
      </w:pPr>
      <w:r w:rsidRPr="002A76E2">
        <w:rPr>
          <w:color w:val="000000" w:themeColor="text1"/>
        </w:rPr>
        <w:t>Level Up is a whole-school approach to career development that embeds this intent into everyday learning. In a rapidly changing world of mahi, students are often asked to make pathway decisions without a clear understanding of their own skills, or how learning connects to future possibilities. At the same time, schools are working to integrate career development meaningfully within existing curriculum structures and competing priorities. Level Up supports this work by shifting the focus from choosing pathways to building the capability to navigate them.</w:t>
      </w:r>
    </w:p>
    <w:p w14:paraId="6CBE5F38" w14:textId="77777777" w:rsidR="002A76E2" w:rsidRPr="002A76E2" w:rsidRDefault="002A76E2" w:rsidP="002A76E2">
      <w:pPr>
        <w:rPr>
          <w:color w:val="000000" w:themeColor="text1"/>
        </w:rPr>
      </w:pPr>
      <w:r w:rsidRPr="002A76E2">
        <w:rPr>
          <w:color w:val="000000" w:themeColor="text1"/>
        </w:rPr>
        <w:t xml:space="preserve">The approach is structured around four interconnected elements: </w:t>
      </w:r>
      <w:r w:rsidRPr="002A76E2">
        <w:rPr>
          <w:b/>
          <w:bCs/>
          <w:color w:val="00B0F0"/>
        </w:rPr>
        <w:t>Future Forces &amp; Hacks, Te Ao Mahi — World of Work,</w:t>
      </w:r>
      <w:r w:rsidRPr="002A76E2">
        <w:rPr>
          <w:color w:val="000000" w:themeColor="text1"/>
        </w:rPr>
        <w:t xml:space="preserve"> the </w:t>
      </w:r>
      <w:r w:rsidRPr="002A76E2">
        <w:rPr>
          <w:b/>
          <w:bCs/>
          <w:color w:val="00B0F0"/>
        </w:rPr>
        <w:t>Skills Framework,</w:t>
      </w:r>
      <w:r w:rsidRPr="002A76E2">
        <w:rPr>
          <w:color w:val="000000" w:themeColor="text1"/>
        </w:rPr>
        <w:t xml:space="preserve"> and the </w:t>
      </w:r>
      <w:r w:rsidRPr="002A76E2">
        <w:rPr>
          <w:b/>
          <w:bCs/>
          <w:color w:val="00B0F0"/>
        </w:rPr>
        <w:t>Energy Framework</w:t>
      </w:r>
      <w:r w:rsidRPr="002A76E2">
        <w:rPr>
          <w:color w:val="00B0F0"/>
        </w:rPr>
        <w:t xml:space="preserve">. </w:t>
      </w:r>
      <w:r w:rsidRPr="002A76E2">
        <w:rPr>
          <w:color w:val="000000" w:themeColor="text1"/>
        </w:rPr>
        <w:t>Together, these provide a simple but coherent way for students to understand change, recognise the value they bring, and consider how work connects to identity, community, and wellbeing. These ideas are translated into practical, classroom-ready tools and experiences, including interactive activities and a game-based metaphor where students are positioned as players navigating their own journey. Through building “player profiles,” identifying strengths, and developing strategies to progress, ākonga strengthen both engagement and self-understanding.</w:t>
      </w:r>
    </w:p>
    <w:p w14:paraId="5E57D689" w14:textId="77777777" w:rsidR="002A76E2" w:rsidRPr="002A76E2" w:rsidRDefault="002A76E2" w:rsidP="002A76E2">
      <w:pPr>
        <w:rPr>
          <w:color w:val="000000" w:themeColor="text1"/>
        </w:rPr>
      </w:pPr>
      <w:r w:rsidRPr="002A76E2">
        <w:rPr>
          <w:color w:val="000000" w:themeColor="text1"/>
        </w:rPr>
        <w:t xml:space="preserve">Level Up is supported by professional learning and quality resources for kaiako, enabling career development to be embedded across everyday teaching practice rather than delivered as a standalone programme. The design draws on both </w:t>
      </w:r>
      <w:r w:rsidRPr="002A76E2">
        <w:rPr>
          <w:b/>
          <w:bCs/>
          <w:color w:val="00B0F0"/>
        </w:rPr>
        <w:t>mātauranga Pākehā</w:t>
      </w:r>
      <w:r w:rsidRPr="002A76E2">
        <w:rPr>
          <w:color w:val="000000" w:themeColor="text1"/>
        </w:rPr>
        <w:t xml:space="preserve">—through the synthesis of international future-of-work research and career development theory—and </w:t>
      </w:r>
      <w:r w:rsidRPr="002A76E2">
        <w:rPr>
          <w:b/>
          <w:bCs/>
          <w:color w:val="00B0F0"/>
        </w:rPr>
        <w:t>mātauranga Māori</w:t>
      </w:r>
      <w:r w:rsidRPr="002A76E2">
        <w:rPr>
          <w:color w:val="000000" w:themeColor="text1"/>
        </w:rPr>
        <w:t>, particularly concepts of mana motuhake, identity, whānau, and connection. Established theories, including career construction theory and social cognitive career theory, are intentionally translated into simple, usable frameworks for real classroom contexts.</w:t>
      </w:r>
    </w:p>
    <w:p w14:paraId="6ACE34E3" w14:textId="77777777" w:rsidR="002A76E2" w:rsidRPr="002A76E2" w:rsidRDefault="002A76E2" w:rsidP="002A76E2">
      <w:pPr>
        <w:rPr>
          <w:color w:val="000000" w:themeColor="text1"/>
        </w:rPr>
      </w:pPr>
      <w:r w:rsidRPr="002A76E2">
        <w:rPr>
          <w:color w:val="000000" w:themeColor="text1"/>
        </w:rPr>
        <w:t>The programme has been piloted in school settings and refined through student and teacher feedback. Early findings indicate that a strong majority of students report increased confidence in recognising and communicating their skills, a clearer understanding of how school learning connects to future pathways, and greater awareness of different work possibilities. Teachers report improved clarity and consistency in how career development is integrated into their practice, alongside high levels of student engagement.</w:t>
      </w:r>
    </w:p>
    <w:p w14:paraId="03CFD09F" w14:textId="77777777" w:rsidR="002A76E2" w:rsidRPr="002A76E2" w:rsidRDefault="002A76E2" w:rsidP="002A76E2">
      <w:pPr>
        <w:rPr>
          <w:color w:val="000000" w:themeColor="text1"/>
        </w:rPr>
      </w:pPr>
      <w:r w:rsidRPr="002A76E2">
        <w:rPr>
          <w:color w:val="000000" w:themeColor="text1"/>
        </w:rPr>
        <w:t>Level Up supports ākonga to recognise and apply their transferable skills, strengthen their sense of identity and purpose, and build confidence to navigate and adapt in a changing world of mahi. It helps connect school learning to evolving opportunities, grows kaiako capability to facilitate meaningful career conversations, and contributes to building more future-ready school environments.</w:t>
      </w:r>
    </w:p>
    <w:p w14:paraId="56830375" w14:textId="77777777" w:rsidR="002A76E2" w:rsidRPr="002A76E2" w:rsidRDefault="002A76E2" w:rsidP="002A76E2">
      <w:pPr>
        <w:rPr>
          <w:color w:val="000000" w:themeColor="text1"/>
        </w:rPr>
      </w:pPr>
      <w:r w:rsidRPr="002A76E2">
        <w:rPr>
          <w:color w:val="000000" w:themeColor="text1"/>
        </w:rPr>
        <w:t>In this way, career development becomes a process of navigation rather than selection. By building understanding of skills, identity, and what matters, Level Up enables young people to respond to change with confidence and intent—reflecting mana motuhake in action. Rather than preparing students for a single pathway, it equips them with the capability to navigate many possible futures.</w:t>
      </w:r>
    </w:p>
    <w:p w14:paraId="35587C33" w14:textId="1EA17B29" w:rsidR="002A76E2" w:rsidRDefault="002A76E2">
      <w:pPr>
        <w:rPr>
          <w:color w:val="000000" w:themeColor="text1"/>
        </w:rPr>
      </w:pPr>
      <w:r>
        <w:rPr>
          <w:color w:val="000000" w:themeColor="text1"/>
        </w:rPr>
        <w:br w:type="page"/>
      </w:r>
    </w:p>
    <w:p w14:paraId="2BB95517" w14:textId="095DDD4D" w:rsidR="006476C5" w:rsidRPr="002A76E2" w:rsidRDefault="006476C5" w:rsidP="002A76E2">
      <w:pPr>
        <w:rPr>
          <w:b/>
          <w:bCs/>
          <w:lang w:val="en-NZ"/>
        </w:rPr>
      </w:pPr>
      <w:r w:rsidRPr="002A76E2">
        <w:rPr>
          <w:b/>
          <w:bCs/>
          <w:lang w:val="en-NZ"/>
        </w:rPr>
        <w:t>Bibliographical References</w:t>
      </w:r>
    </w:p>
    <w:p w14:paraId="5BE24F85" w14:textId="77777777" w:rsidR="00B34E8D" w:rsidRPr="00B34E8D" w:rsidRDefault="00B34E8D" w:rsidP="00B34E8D">
      <w:r w:rsidRPr="00B34E8D">
        <w:t xml:space="preserve">Burning Glass Institute. (n.d.). </w:t>
      </w:r>
      <w:r w:rsidRPr="00B34E8D">
        <w:rPr>
          <w:i/>
          <w:iCs/>
        </w:rPr>
        <w:t>Research on skills-based hiring trends</w:t>
      </w:r>
      <w:r w:rsidRPr="00B34E8D">
        <w:t>.</w:t>
      </w:r>
    </w:p>
    <w:p w14:paraId="14118845" w14:textId="77777777" w:rsidR="00B34E8D" w:rsidRPr="00B34E8D" w:rsidRDefault="00B34E8D" w:rsidP="00B34E8D">
      <w:r w:rsidRPr="00B34E8D">
        <w:t xml:space="preserve">Deloitte. (n.d.). </w:t>
      </w:r>
      <w:r w:rsidRPr="00B34E8D">
        <w:rPr>
          <w:i/>
          <w:iCs/>
        </w:rPr>
        <w:t>Global Gen Z and Millennial Survey</w:t>
      </w:r>
      <w:r w:rsidRPr="00B34E8D">
        <w:t>.</w:t>
      </w:r>
    </w:p>
    <w:p w14:paraId="7FA58891" w14:textId="77777777" w:rsidR="00B34E8D" w:rsidRPr="00B34E8D" w:rsidRDefault="00B34E8D" w:rsidP="00B34E8D">
      <w:r w:rsidRPr="00B34E8D">
        <w:t xml:space="preserve">Durie, M. (2001). </w:t>
      </w:r>
      <w:r w:rsidRPr="00B34E8D">
        <w:rPr>
          <w:i/>
          <w:iCs/>
        </w:rPr>
        <w:t>Mauri ora: The dynamics of Māori health</w:t>
      </w:r>
      <w:r w:rsidRPr="00B34E8D">
        <w:t>. Oxford University Press.</w:t>
      </w:r>
    </w:p>
    <w:p w14:paraId="0C752A26" w14:textId="77777777" w:rsidR="00B34E8D" w:rsidRPr="00B34E8D" w:rsidRDefault="00B34E8D" w:rsidP="00B34E8D">
      <w:r w:rsidRPr="00B34E8D">
        <w:t xml:space="preserve">Gallup. (n.d.). </w:t>
      </w:r>
      <w:r w:rsidRPr="00B34E8D">
        <w:rPr>
          <w:i/>
          <w:iCs/>
        </w:rPr>
        <w:t>State of the global workplace report</w:t>
      </w:r>
      <w:r w:rsidRPr="00B34E8D">
        <w:t>.</w:t>
      </w:r>
    </w:p>
    <w:p w14:paraId="05DEB6DF" w14:textId="77777777" w:rsidR="00B34E8D" w:rsidRPr="00B34E8D" w:rsidRDefault="00B34E8D" w:rsidP="00B34E8D">
      <w:r w:rsidRPr="00B34E8D">
        <w:t xml:space="preserve">Harvard Business Review. (n.d.). </w:t>
      </w:r>
      <w:r w:rsidRPr="00B34E8D">
        <w:rPr>
          <w:i/>
          <w:iCs/>
        </w:rPr>
        <w:t>The business case for curiosity</w:t>
      </w:r>
      <w:r w:rsidRPr="00B34E8D">
        <w:t>.</w:t>
      </w:r>
    </w:p>
    <w:p w14:paraId="231415AA" w14:textId="77777777" w:rsidR="00B34E8D" w:rsidRPr="00B34E8D" w:rsidRDefault="00B34E8D" w:rsidP="00B34E8D">
      <w:r w:rsidRPr="00B34E8D">
        <w:t xml:space="preserve">LinkedIn. (n.d.). </w:t>
      </w:r>
      <w:r w:rsidRPr="00B34E8D">
        <w:rPr>
          <w:i/>
          <w:iCs/>
        </w:rPr>
        <w:t>Global talent trends report</w:t>
      </w:r>
      <w:r w:rsidRPr="00B34E8D">
        <w:t>.</w:t>
      </w:r>
    </w:p>
    <w:p w14:paraId="548FEA2E" w14:textId="77777777" w:rsidR="00B34E8D" w:rsidRPr="00B34E8D" w:rsidRDefault="00B34E8D" w:rsidP="00B34E8D">
      <w:r w:rsidRPr="00B34E8D">
        <w:t xml:space="preserve">Microsoft &amp; LinkedIn. (2024). </w:t>
      </w:r>
      <w:r w:rsidRPr="00B34E8D">
        <w:rPr>
          <w:i/>
          <w:iCs/>
        </w:rPr>
        <w:t>Work trend index annual report</w:t>
      </w:r>
      <w:r w:rsidRPr="00B34E8D">
        <w:t>.</w:t>
      </w:r>
    </w:p>
    <w:p w14:paraId="3017D53B" w14:textId="77777777" w:rsidR="00B34E8D" w:rsidRPr="00B34E8D" w:rsidRDefault="00B34E8D" w:rsidP="00B34E8D">
      <w:r w:rsidRPr="00B34E8D">
        <w:t xml:space="preserve">Ministry of Business, Innovation and Employment. (n.d.). </w:t>
      </w:r>
      <w:r w:rsidRPr="00B34E8D">
        <w:rPr>
          <w:i/>
          <w:iCs/>
        </w:rPr>
        <w:t>Labour market statistics and workforce projections</w:t>
      </w:r>
      <w:r w:rsidRPr="00B34E8D">
        <w:t>.</w:t>
      </w:r>
    </w:p>
    <w:p w14:paraId="1D5C0F34" w14:textId="77777777" w:rsidR="00B34E8D" w:rsidRPr="00B34E8D" w:rsidRDefault="00B34E8D" w:rsidP="00B34E8D">
      <w:r w:rsidRPr="00B34E8D">
        <w:t xml:space="preserve">Ministry of Education. (2007). </w:t>
      </w:r>
      <w:r w:rsidRPr="00B34E8D">
        <w:rPr>
          <w:i/>
          <w:iCs/>
        </w:rPr>
        <w:t>The New Zealand Curriculum</w:t>
      </w:r>
      <w:r w:rsidRPr="00B34E8D">
        <w:t>. Wellington, New Zealand.</w:t>
      </w:r>
    </w:p>
    <w:p w14:paraId="6FBFFE67" w14:textId="77777777" w:rsidR="00B34E8D" w:rsidRPr="00B34E8D" w:rsidRDefault="00B34E8D" w:rsidP="00B34E8D">
      <w:r w:rsidRPr="00B34E8D">
        <w:t xml:space="preserve">NZQA. (n.d.). </w:t>
      </w:r>
      <w:r w:rsidRPr="00B34E8D">
        <w:rPr>
          <w:i/>
          <w:iCs/>
        </w:rPr>
        <w:t>Micro-credentials and alternative qualifications</w:t>
      </w:r>
      <w:r w:rsidRPr="00B34E8D">
        <w:t>.</w:t>
      </w:r>
    </w:p>
    <w:p w14:paraId="338F9E52" w14:textId="77777777" w:rsidR="00B34E8D" w:rsidRPr="00B34E8D" w:rsidRDefault="00B34E8D" w:rsidP="00B34E8D">
      <w:r w:rsidRPr="00B34E8D">
        <w:t xml:space="preserve">Organisation for Economic Co-operation and Development. (2023). </w:t>
      </w:r>
      <w:r w:rsidRPr="00B34E8D">
        <w:rPr>
          <w:i/>
          <w:iCs/>
        </w:rPr>
        <w:t>OECD employment outlook 2023: Artificial intelligence and the labour market</w:t>
      </w:r>
      <w:r w:rsidRPr="00B34E8D">
        <w:t>. OECD Publishing.</w:t>
      </w:r>
    </w:p>
    <w:p w14:paraId="27B96EA8" w14:textId="77777777" w:rsidR="00B34E8D" w:rsidRPr="00B34E8D" w:rsidRDefault="00B34E8D" w:rsidP="00B34E8D">
      <w:r w:rsidRPr="00B34E8D">
        <w:t xml:space="preserve">Organisation for Economic Co-operation and Development. (n.d.). </w:t>
      </w:r>
      <w:r w:rsidRPr="00B34E8D">
        <w:rPr>
          <w:i/>
          <w:iCs/>
        </w:rPr>
        <w:t>Youth employment and labour market trends</w:t>
      </w:r>
      <w:r w:rsidRPr="00B34E8D">
        <w:t>.</w:t>
      </w:r>
    </w:p>
    <w:p w14:paraId="423790A5" w14:textId="77777777" w:rsidR="00B34E8D" w:rsidRPr="00B34E8D" w:rsidRDefault="00B34E8D" w:rsidP="00B34E8D">
      <w:r w:rsidRPr="00B34E8D">
        <w:t xml:space="preserve">Stats NZ. (n.d.). </w:t>
      </w:r>
      <w:r w:rsidRPr="00B34E8D">
        <w:rPr>
          <w:i/>
          <w:iCs/>
        </w:rPr>
        <w:t>National population projections</w:t>
      </w:r>
      <w:r w:rsidRPr="00B34E8D">
        <w:t>.</w:t>
      </w:r>
    </w:p>
    <w:p w14:paraId="68B4EABF" w14:textId="77777777" w:rsidR="00B34E8D" w:rsidRPr="00B34E8D" w:rsidRDefault="00B34E8D" w:rsidP="00B34E8D">
      <w:r w:rsidRPr="00B34E8D">
        <w:t xml:space="preserve">World Economic Forum. (2025). </w:t>
      </w:r>
      <w:r w:rsidRPr="00B34E8D">
        <w:rPr>
          <w:i/>
          <w:iCs/>
        </w:rPr>
        <w:t>The future of jobs report 2025</w:t>
      </w:r>
      <w:r w:rsidRPr="00B34E8D">
        <w:t>. Geneva: World Economic Forum.</w:t>
      </w:r>
    </w:p>
    <w:p w14:paraId="7D94669B" w14:textId="25DF6FDA" w:rsidR="006476C5" w:rsidRPr="007F71A1" w:rsidRDefault="00B34E8D">
      <w:r w:rsidRPr="00B34E8D">
        <w:t xml:space="preserve">World Health Organization. (2024). </w:t>
      </w:r>
      <w:r w:rsidRPr="00B34E8D">
        <w:rPr>
          <w:i/>
          <w:iCs/>
        </w:rPr>
        <w:t>Commission on social connection report</w:t>
      </w:r>
      <w:r w:rsidRPr="00B34E8D">
        <w:t>.</w:t>
      </w:r>
    </w:p>
    <w:sectPr w:rsidR="006476C5" w:rsidRPr="007F7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3BB8"/>
    <w:multiLevelType w:val="multilevel"/>
    <w:tmpl w:val="8A6E4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7349"/>
    <w:multiLevelType w:val="multilevel"/>
    <w:tmpl w:val="0E2CE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C70BF"/>
    <w:multiLevelType w:val="multilevel"/>
    <w:tmpl w:val="57027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C911EA"/>
    <w:multiLevelType w:val="multilevel"/>
    <w:tmpl w:val="CE841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3B25DA"/>
    <w:multiLevelType w:val="multilevel"/>
    <w:tmpl w:val="B5065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A554CA"/>
    <w:multiLevelType w:val="multilevel"/>
    <w:tmpl w:val="0064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41144A"/>
    <w:multiLevelType w:val="multilevel"/>
    <w:tmpl w:val="12C8C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BD1D4E"/>
    <w:multiLevelType w:val="hybridMultilevel"/>
    <w:tmpl w:val="F9D88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07273212">
    <w:abstractNumId w:val="4"/>
    <w:lvlOverride w:ilvl="0"/>
    <w:lvlOverride w:ilvl="1"/>
    <w:lvlOverride w:ilvl="2"/>
    <w:lvlOverride w:ilvl="3"/>
    <w:lvlOverride w:ilvl="4"/>
    <w:lvlOverride w:ilvl="5"/>
    <w:lvlOverride w:ilvl="6"/>
    <w:lvlOverride w:ilvl="7"/>
    <w:lvlOverride w:ilvl="8"/>
  </w:num>
  <w:num w:numId="2" w16cid:durableId="859199660">
    <w:abstractNumId w:val="3"/>
    <w:lvlOverride w:ilvl="0"/>
    <w:lvlOverride w:ilvl="1"/>
    <w:lvlOverride w:ilvl="2"/>
    <w:lvlOverride w:ilvl="3"/>
    <w:lvlOverride w:ilvl="4"/>
    <w:lvlOverride w:ilvl="5"/>
    <w:lvlOverride w:ilvl="6"/>
    <w:lvlOverride w:ilvl="7"/>
    <w:lvlOverride w:ilvl="8"/>
  </w:num>
  <w:num w:numId="3" w16cid:durableId="972248024">
    <w:abstractNumId w:val="0"/>
    <w:lvlOverride w:ilvl="0"/>
    <w:lvlOverride w:ilvl="1"/>
    <w:lvlOverride w:ilvl="2"/>
    <w:lvlOverride w:ilvl="3"/>
    <w:lvlOverride w:ilvl="4"/>
    <w:lvlOverride w:ilvl="5"/>
    <w:lvlOverride w:ilvl="6"/>
    <w:lvlOverride w:ilvl="7"/>
    <w:lvlOverride w:ilvl="8"/>
  </w:num>
  <w:num w:numId="4" w16cid:durableId="1741052172">
    <w:abstractNumId w:val="2"/>
    <w:lvlOverride w:ilvl="0"/>
    <w:lvlOverride w:ilvl="1"/>
    <w:lvlOverride w:ilvl="2"/>
    <w:lvlOverride w:ilvl="3"/>
    <w:lvlOverride w:ilvl="4"/>
    <w:lvlOverride w:ilvl="5"/>
    <w:lvlOverride w:ilvl="6"/>
    <w:lvlOverride w:ilvl="7"/>
    <w:lvlOverride w:ilvl="8"/>
  </w:num>
  <w:num w:numId="5" w16cid:durableId="346757413">
    <w:abstractNumId w:val="6"/>
    <w:lvlOverride w:ilvl="0"/>
    <w:lvlOverride w:ilvl="1"/>
    <w:lvlOverride w:ilvl="2"/>
    <w:lvlOverride w:ilvl="3"/>
    <w:lvlOverride w:ilvl="4"/>
    <w:lvlOverride w:ilvl="5"/>
    <w:lvlOverride w:ilvl="6"/>
    <w:lvlOverride w:ilvl="7"/>
    <w:lvlOverride w:ilvl="8"/>
  </w:num>
  <w:num w:numId="6" w16cid:durableId="16659245">
    <w:abstractNumId w:val="1"/>
    <w:lvlOverride w:ilvl="0"/>
    <w:lvlOverride w:ilvl="1"/>
    <w:lvlOverride w:ilvl="2"/>
    <w:lvlOverride w:ilvl="3"/>
    <w:lvlOverride w:ilvl="4"/>
    <w:lvlOverride w:ilvl="5"/>
    <w:lvlOverride w:ilvl="6"/>
    <w:lvlOverride w:ilvl="7"/>
    <w:lvlOverride w:ilvl="8"/>
  </w:num>
  <w:num w:numId="7" w16cid:durableId="1004090318">
    <w:abstractNumId w:val="5"/>
  </w:num>
  <w:num w:numId="8" w16cid:durableId="8175031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98B"/>
    <w:rsid w:val="000338C4"/>
    <w:rsid w:val="00034741"/>
    <w:rsid w:val="0009298A"/>
    <w:rsid w:val="000A7D94"/>
    <w:rsid w:val="000B52E9"/>
    <w:rsid w:val="001767E8"/>
    <w:rsid w:val="001E4EB3"/>
    <w:rsid w:val="00214E51"/>
    <w:rsid w:val="00260AFF"/>
    <w:rsid w:val="00275570"/>
    <w:rsid w:val="00276583"/>
    <w:rsid w:val="0028720E"/>
    <w:rsid w:val="002A76E2"/>
    <w:rsid w:val="002C2563"/>
    <w:rsid w:val="00336759"/>
    <w:rsid w:val="00343681"/>
    <w:rsid w:val="003733A0"/>
    <w:rsid w:val="00430C9F"/>
    <w:rsid w:val="004627FC"/>
    <w:rsid w:val="00475E50"/>
    <w:rsid w:val="004A0823"/>
    <w:rsid w:val="004B337C"/>
    <w:rsid w:val="004C5D1D"/>
    <w:rsid w:val="004F12E6"/>
    <w:rsid w:val="005C46A3"/>
    <w:rsid w:val="005D55F1"/>
    <w:rsid w:val="005E0AB1"/>
    <w:rsid w:val="005E0F15"/>
    <w:rsid w:val="006476C5"/>
    <w:rsid w:val="006628A7"/>
    <w:rsid w:val="006E39B0"/>
    <w:rsid w:val="00732872"/>
    <w:rsid w:val="00780929"/>
    <w:rsid w:val="007F00C6"/>
    <w:rsid w:val="007F6E80"/>
    <w:rsid w:val="007F71A1"/>
    <w:rsid w:val="00820814"/>
    <w:rsid w:val="00832FB4"/>
    <w:rsid w:val="00837D66"/>
    <w:rsid w:val="00853CFA"/>
    <w:rsid w:val="008A7EAB"/>
    <w:rsid w:val="008C7379"/>
    <w:rsid w:val="009668A6"/>
    <w:rsid w:val="00967A94"/>
    <w:rsid w:val="00A01DCC"/>
    <w:rsid w:val="00A64D33"/>
    <w:rsid w:val="00A82E66"/>
    <w:rsid w:val="00A960B9"/>
    <w:rsid w:val="00AC133A"/>
    <w:rsid w:val="00B34E8D"/>
    <w:rsid w:val="00B405BB"/>
    <w:rsid w:val="00B55068"/>
    <w:rsid w:val="00B76629"/>
    <w:rsid w:val="00B95387"/>
    <w:rsid w:val="00BA63B8"/>
    <w:rsid w:val="00C04899"/>
    <w:rsid w:val="00C2698A"/>
    <w:rsid w:val="00CB487C"/>
    <w:rsid w:val="00CC6413"/>
    <w:rsid w:val="00CF730B"/>
    <w:rsid w:val="00D01807"/>
    <w:rsid w:val="00D07FF9"/>
    <w:rsid w:val="00D6098B"/>
    <w:rsid w:val="00D823C8"/>
    <w:rsid w:val="00DB5D98"/>
    <w:rsid w:val="00E35FDB"/>
    <w:rsid w:val="00E44177"/>
    <w:rsid w:val="00EC361F"/>
    <w:rsid w:val="00EE41E6"/>
    <w:rsid w:val="00EF427F"/>
    <w:rsid w:val="00F26F02"/>
    <w:rsid w:val="00F56494"/>
    <w:rsid w:val="00F934F3"/>
    <w:rsid w:val="00FD24E5"/>
    <w:rsid w:val="00FF36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915E"/>
  <w15:chartTrackingRefBased/>
  <w15:docId w15:val="{30CE0EF3-EF4A-44D9-A7B7-E8E8E8778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60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9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9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9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9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9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9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9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9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609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9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9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9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9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9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9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98B"/>
    <w:rPr>
      <w:rFonts w:eastAsiaTheme="majorEastAsia" w:cstheme="majorBidi"/>
      <w:color w:val="272727" w:themeColor="text1" w:themeTint="D8"/>
    </w:rPr>
  </w:style>
  <w:style w:type="paragraph" w:styleId="Title">
    <w:name w:val="Title"/>
    <w:basedOn w:val="Normal"/>
    <w:next w:val="Normal"/>
    <w:link w:val="TitleChar"/>
    <w:uiPriority w:val="10"/>
    <w:qFormat/>
    <w:rsid w:val="00D60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9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9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9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98B"/>
    <w:pPr>
      <w:spacing w:before="160"/>
      <w:jc w:val="center"/>
    </w:pPr>
    <w:rPr>
      <w:i/>
      <w:iCs/>
      <w:color w:val="404040" w:themeColor="text1" w:themeTint="BF"/>
    </w:rPr>
  </w:style>
  <w:style w:type="character" w:customStyle="1" w:styleId="QuoteChar">
    <w:name w:val="Quote Char"/>
    <w:basedOn w:val="DefaultParagraphFont"/>
    <w:link w:val="Quote"/>
    <w:uiPriority w:val="29"/>
    <w:rsid w:val="00D6098B"/>
    <w:rPr>
      <w:i/>
      <w:iCs/>
      <w:color w:val="404040" w:themeColor="text1" w:themeTint="BF"/>
    </w:rPr>
  </w:style>
  <w:style w:type="paragraph" w:styleId="ListParagraph">
    <w:name w:val="List Paragraph"/>
    <w:basedOn w:val="Normal"/>
    <w:uiPriority w:val="34"/>
    <w:qFormat/>
    <w:rsid w:val="00D6098B"/>
    <w:pPr>
      <w:ind w:left="720"/>
      <w:contextualSpacing/>
    </w:pPr>
  </w:style>
  <w:style w:type="character" w:styleId="IntenseEmphasis">
    <w:name w:val="Intense Emphasis"/>
    <w:basedOn w:val="DefaultParagraphFont"/>
    <w:uiPriority w:val="21"/>
    <w:qFormat/>
    <w:rsid w:val="00D6098B"/>
    <w:rPr>
      <w:i/>
      <w:iCs/>
      <w:color w:val="0F4761" w:themeColor="accent1" w:themeShade="BF"/>
    </w:rPr>
  </w:style>
  <w:style w:type="paragraph" w:styleId="IntenseQuote">
    <w:name w:val="Intense Quote"/>
    <w:basedOn w:val="Normal"/>
    <w:next w:val="Normal"/>
    <w:link w:val="IntenseQuoteChar"/>
    <w:uiPriority w:val="30"/>
    <w:qFormat/>
    <w:rsid w:val="00D60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98B"/>
    <w:rPr>
      <w:i/>
      <w:iCs/>
      <w:color w:val="0F4761" w:themeColor="accent1" w:themeShade="BF"/>
    </w:rPr>
  </w:style>
  <w:style w:type="character" w:styleId="IntenseReference">
    <w:name w:val="Intense Reference"/>
    <w:basedOn w:val="DefaultParagraphFont"/>
    <w:uiPriority w:val="32"/>
    <w:qFormat/>
    <w:rsid w:val="00D609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742145-bb89-4e2e-94b4-0a3b0b1490e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DFFFF13E274A4C84559CE1BF6FFCA8" ma:contentTypeVersion="10" ma:contentTypeDescription="Create a new document." ma:contentTypeScope="" ma:versionID="8242d9d217ef59c9a79715b7458e4b8b">
  <xsd:schema xmlns:xsd="http://www.w3.org/2001/XMLSchema" xmlns:xs="http://www.w3.org/2001/XMLSchema" xmlns:p="http://schemas.microsoft.com/office/2006/metadata/properties" xmlns:ns2="81742145-bb89-4e2e-94b4-0a3b0b1490eb" targetNamespace="http://schemas.microsoft.com/office/2006/metadata/properties" ma:root="true" ma:fieldsID="5eb55d67fe108b368d957e51e6051f77" ns2:_="">
    <xsd:import namespace="81742145-bb89-4e2e-94b4-0a3b0b1490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742145-bb89-4e2e-94b4-0a3b0b1490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8b5f65-ff20-4872-be88-f58f84fa107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91460C-F557-40C8-8191-5D1DA0BB0CA9}">
  <ds:schemaRefs>
    <ds:schemaRef ds:uri="http://schemas.microsoft.com/office/2006/metadata/properties"/>
    <ds:schemaRef ds:uri="http://schemas.microsoft.com/office/infopath/2007/PartnerControls"/>
    <ds:schemaRef ds:uri="81742145-bb89-4e2e-94b4-0a3b0b1490eb"/>
  </ds:schemaRefs>
</ds:datastoreItem>
</file>

<file path=customXml/itemProps2.xml><?xml version="1.0" encoding="utf-8"?>
<ds:datastoreItem xmlns:ds="http://schemas.openxmlformats.org/officeDocument/2006/customXml" ds:itemID="{6DEF00D3-55E1-4808-999D-FCEB38BE3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742145-bb89-4e2e-94b4-0a3b0b149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0889EA-8715-428A-94B8-D5DB59E9FA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782</Words>
  <Characters>4462</Characters>
  <Application>Microsoft Office Word</Application>
  <DocSecurity>4</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Prins</dc:creator>
  <cp:keywords/>
  <dc:description/>
  <cp:lastModifiedBy>Alison Prins</cp:lastModifiedBy>
  <cp:revision>78</cp:revision>
  <dcterms:created xsi:type="dcterms:W3CDTF">2026-04-15T19:59:00Z</dcterms:created>
  <dcterms:modified xsi:type="dcterms:W3CDTF">2026-04-15T22:00:00Z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0x0101004ADFFFF13E274A4C84559CE1BF6FFCA8</vt:lpwstr>
  </property>
  <property fmtid="{D5CDD505-2E9C-101B-9397-08002B2CF9AE}" pid="3" name="MediaServiceImageTags">
    <vt:lpwstr/>
  </property>
</Properties>
</file>