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8FE35" w14:textId="615BC6C5" w:rsidR="009B4CEB" w:rsidRPr="009B4CEB" w:rsidRDefault="00000000" w:rsidP="009B4CEB">
      <w:pPr>
        <w:rPr>
          <w:rFonts w:asciiTheme="majorBidi" w:hAnsiTheme="majorBidi" w:cstheme="majorBidi"/>
          <w:b/>
          <w:bCs/>
          <w:sz w:val="24"/>
          <w:szCs w:val="24"/>
        </w:rPr>
      </w:pPr>
      <w:r w:rsidRPr="009B4CEB">
        <w:rPr>
          <w:rFonts w:asciiTheme="majorBidi" w:hAnsiTheme="majorBidi" w:cstheme="majorBidi"/>
          <w:b/>
          <w:bCs/>
          <w:sz w:val="24"/>
          <w:szCs w:val="24"/>
        </w:rPr>
        <w:t>Okabe, Atsushi</w:t>
      </w:r>
      <w:r w:rsidR="009B4CEB">
        <w:rPr>
          <w:rFonts w:asciiTheme="majorBidi" w:hAnsiTheme="majorBidi" w:cstheme="majorBidi"/>
          <w:b/>
          <w:bCs/>
          <w:sz w:val="24"/>
          <w:szCs w:val="24"/>
        </w:rPr>
        <w:t xml:space="preserve"> </w:t>
      </w:r>
      <w:r w:rsidR="009B4CEB">
        <w:rPr>
          <w:rFonts w:asciiTheme="majorBidi" w:hAnsiTheme="majorBidi" w:cstheme="majorBidi"/>
          <w:b/>
          <w:bCs/>
          <w:sz w:val="24"/>
          <w:szCs w:val="24"/>
          <w:lang w:val="en-CA"/>
        </w:rPr>
        <w:t xml:space="preserve"> (PhD.)</w:t>
      </w:r>
    </w:p>
    <w:p w14:paraId="425FD09B" w14:textId="11529263" w:rsidR="00FE13B9" w:rsidRPr="009B4CEB" w:rsidRDefault="00000000" w:rsidP="009B4CEB">
      <w:pPr>
        <w:rPr>
          <w:rFonts w:asciiTheme="majorBidi" w:hAnsiTheme="majorBidi" w:cstheme="majorBidi"/>
          <w:sz w:val="24"/>
          <w:szCs w:val="24"/>
        </w:rPr>
      </w:pPr>
      <w:r w:rsidRPr="009B4CEB">
        <w:rPr>
          <w:rFonts w:asciiTheme="majorBidi" w:hAnsiTheme="majorBidi" w:cstheme="majorBidi"/>
          <w:sz w:val="24"/>
          <w:szCs w:val="24"/>
        </w:rPr>
        <w:t xml:space="preserve">Associate Professor, </w:t>
      </w:r>
      <w:r w:rsidR="009B4CEB" w:rsidRPr="009B4CEB">
        <w:rPr>
          <w:rFonts w:asciiTheme="majorBidi" w:hAnsiTheme="majorBidi" w:cstheme="majorBidi"/>
          <w:sz w:val="24"/>
          <w:szCs w:val="24"/>
        </w:rPr>
        <w:t>Faculty of Human Studies, Seisen University, Nagano, Japan</w:t>
      </w:r>
    </w:p>
    <w:p w14:paraId="70D2B48E" w14:textId="06DCB5B2" w:rsidR="00FE13B9" w:rsidRDefault="00000000" w:rsidP="009B4CEB">
      <w:pPr>
        <w:rPr>
          <w:rFonts w:asciiTheme="majorBidi" w:hAnsiTheme="majorBidi" w:cstheme="majorBidi"/>
          <w:sz w:val="24"/>
          <w:szCs w:val="24"/>
        </w:rPr>
      </w:pPr>
      <w:r w:rsidRPr="009B4CEB">
        <w:rPr>
          <w:rFonts w:asciiTheme="majorBidi" w:hAnsiTheme="majorBidi" w:cstheme="majorBidi"/>
          <w:sz w:val="24"/>
          <w:szCs w:val="24"/>
        </w:rPr>
        <w:t xml:space="preserve">E-mail: </w:t>
      </w:r>
      <w:r w:rsidR="009B4CEB" w:rsidRPr="009B4CEB">
        <w:rPr>
          <w:rFonts w:asciiTheme="majorBidi" w:hAnsiTheme="majorBidi" w:cstheme="majorBidi"/>
          <w:sz w:val="24"/>
          <w:szCs w:val="24"/>
        </w:rPr>
        <w:t>a.okabe@u-seisen.ac.jp</w:t>
      </w:r>
    </w:p>
    <w:p w14:paraId="51376A02" w14:textId="475E8CF6" w:rsidR="009B4CEB" w:rsidRDefault="009B4CEB" w:rsidP="009B4CEB">
      <w:pPr>
        <w:rPr>
          <w:rFonts w:asciiTheme="majorBidi" w:hAnsiTheme="majorBidi" w:cstheme="majorBidi"/>
          <w:sz w:val="24"/>
          <w:szCs w:val="24"/>
          <w:lang w:val="en-CA"/>
        </w:rPr>
      </w:pPr>
    </w:p>
    <w:p w14:paraId="27A420EC" w14:textId="1EEF5384" w:rsidR="009B4CEB" w:rsidRPr="009B4CEB" w:rsidRDefault="009B4CEB" w:rsidP="009B4CEB">
      <w:pPr>
        <w:rPr>
          <w:rFonts w:asciiTheme="majorBidi" w:hAnsiTheme="majorBidi" w:cstheme="majorBidi"/>
          <w:b/>
          <w:bCs/>
          <w:sz w:val="24"/>
          <w:szCs w:val="24"/>
          <w:lang w:val="en-CA"/>
        </w:rPr>
      </w:pPr>
      <w:r w:rsidRPr="009B4CEB">
        <w:rPr>
          <w:rFonts w:asciiTheme="majorBidi" w:hAnsiTheme="majorBidi" w:cstheme="majorBidi"/>
          <w:b/>
          <w:bCs/>
          <w:sz w:val="24"/>
          <w:szCs w:val="24"/>
          <w:lang w:val="en-CA"/>
        </w:rPr>
        <w:t>Title of the paper:</w:t>
      </w:r>
    </w:p>
    <w:p w14:paraId="306CDB2E" w14:textId="4B324E84" w:rsidR="009B4CEB" w:rsidRPr="009B4CEB" w:rsidRDefault="009B4CEB" w:rsidP="009B4CEB">
      <w:pPr>
        <w:rPr>
          <w:rFonts w:asciiTheme="majorBidi" w:hAnsiTheme="majorBidi" w:cstheme="majorBidi"/>
          <w:b/>
          <w:bCs/>
          <w:sz w:val="24"/>
          <w:szCs w:val="24"/>
          <w:lang w:val="en-CA"/>
        </w:rPr>
      </w:pPr>
      <w:r w:rsidRPr="009B4CEB">
        <w:rPr>
          <w:rFonts w:asciiTheme="majorBidi" w:hAnsiTheme="majorBidi" w:cstheme="majorBidi"/>
          <w:b/>
          <w:bCs/>
          <w:sz w:val="24"/>
          <w:szCs w:val="24"/>
        </w:rPr>
        <w:t>Learning After Dark: Flexible Schooling and Youth Transitions in Japan</w:t>
      </w:r>
      <w:r w:rsidR="00D86CCD">
        <w:rPr>
          <w:rFonts w:asciiTheme="majorBidi" w:hAnsiTheme="majorBidi" w:cstheme="majorBidi"/>
          <w:b/>
          <w:bCs/>
          <w:sz w:val="24"/>
          <w:szCs w:val="24"/>
          <w:lang w:val="en-CA"/>
        </w:rPr>
        <w:t xml:space="preserve"> </w:t>
      </w:r>
      <w:r w:rsidR="00645C98" w:rsidRPr="009B4CEB">
        <w:rPr>
          <w:rFonts w:asciiTheme="majorBidi" w:hAnsiTheme="majorBidi" w:cstheme="majorBidi"/>
          <w:sz w:val="24"/>
          <w:szCs w:val="24"/>
        </w:rPr>
        <w:t xml:space="preserve"> –</w:t>
      </w:r>
      <w:r w:rsidRPr="009B4CEB">
        <w:rPr>
          <w:rFonts w:asciiTheme="majorBidi" w:hAnsiTheme="majorBidi" w:cstheme="majorBidi"/>
          <w:b/>
          <w:bCs/>
          <w:sz w:val="24"/>
          <w:szCs w:val="24"/>
        </w:rPr>
        <w:t>An International Comparative Study</w:t>
      </w:r>
    </w:p>
    <w:p w14:paraId="4D07204F" w14:textId="77777777" w:rsidR="009B4CEB" w:rsidRPr="009B4CEB" w:rsidRDefault="009B4CEB" w:rsidP="009B4CEB">
      <w:pPr>
        <w:rPr>
          <w:rFonts w:asciiTheme="majorBidi" w:hAnsiTheme="majorBidi" w:cstheme="majorBidi"/>
          <w:sz w:val="24"/>
          <w:szCs w:val="24"/>
          <w:lang w:val="en-CA"/>
        </w:rPr>
      </w:pPr>
    </w:p>
    <w:p w14:paraId="5E659B27" w14:textId="77777777" w:rsidR="00FE13B9" w:rsidRPr="009B4CEB" w:rsidRDefault="00000000" w:rsidP="009B4CEB">
      <w:pPr>
        <w:rPr>
          <w:rFonts w:asciiTheme="majorBidi" w:hAnsiTheme="majorBidi" w:cstheme="majorBidi"/>
          <w:sz w:val="24"/>
          <w:szCs w:val="24"/>
        </w:rPr>
      </w:pPr>
      <w:r w:rsidRPr="009B4CEB">
        <w:rPr>
          <w:rFonts w:asciiTheme="majorBidi" w:hAnsiTheme="majorBidi" w:cstheme="majorBidi"/>
          <w:b/>
          <w:bCs/>
          <w:sz w:val="24"/>
          <w:szCs w:val="24"/>
        </w:rPr>
        <w:t>Conference Sub-theme</w:t>
      </w:r>
      <w:r w:rsidRPr="009B4CEB">
        <w:rPr>
          <w:rFonts w:asciiTheme="majorBidi" w:hAnsiTheme="majorBidi" w:cstheme="majorBidi"/>
          <w:sz w:val="24"/>
          <w:szCs w:val="24"/>
        </w:rPr>
        <w:t>: Well-being – Matariki</w:t>
      </w:r>
    </w:p>
    <w:p w14:paraId="7AFE12D6" w14:textId="77777777" w:rsidR="00FE13B9" w:rsidRPr="009B4CEB" w:rsidRDefault="00000000" w:rsidP="009B4CEB">
      <w:pPr>
        <w:rPr>
          <w:rFonts w:asciiTheme="majorBidi" w:hAnsiTheme="majorBidi" w:cstheme="majorBidi"/>
          <w:sz w:val="24"/>
          <w:szCs w:val="24"/>
        </w:rPr>
      </w:pPr>
      <w:r w:rsidRPr="009B4CEB">
        <w:rPr>
          <w:rFonts w:asciiTheme="majorBidi" w:hAnsiTheme="majorBidi" w:cstheme="majorBidi"/>
          <w:b/>
          <w:bCs/>
          <w:sz w:val="24"/>
          <w:szCs w:val="24"/>
        </w:rPr>
        <w:t xml:space="preserve">Presentation language: </w:t>
      </w:r>
      <w:r w:rsidRPr="009B4CEB">
        <w:rPr>
          <w:rFonts w:asciiTheme="majorBidi" w:hAnsiTheme="majorBidi" w:cstheme="majorBidi"/>
          <w:sz w:val="24"/>
          <w:szCs w:val="24"/>
        </w:rPr>
        <w:t>English</w:t>
      </w:r>
    </w:p>
    <w:p w14:paraId="00259CA0" w14:textId="11BDEF86" w:rsidR="00FE13B9" w:rsidRPr="009B4CEB" w:rsidRDefault="00FE13B9" w:rsidP="009B4CEB">
      <w:pPr>
        <w:rPr>
          <w:rFonts w:asciiTheme="majorBidi" w:hAnsiTheme="majorBidi" w:cstheme="majorBidi"/>
          <w:sz w:val="24"/>
          <w:szCs w:val="24"/>
        </w:rPr>
      </w:pPr>
    </w:p>
    <w:p w14:paraId="3DF6436C" w14:textId="77777777" w:rsidR="00FE13B9" w:rsidRPr="009B4CEB" w:rsidRDefault="00000000" w:rsidP="009B4CEB">
      <w:pPr>
        <w:rPr>
          <w:rFonts w:asciiTheme="majorBidi" w:hAnsiTheme="majorBidi" w:cstheme="majorBidi"/>
          <w:b/>
          <w:bCs/>
          <w:sz w:val="24"/>
          <w:szCs w:val="24"/>
        </w:rPr>
      </w:pPr>
      <w:r w:rsidRPr="009B4CEB">
        <w:rPr>
          <w:rFonts w:asciiTheme="majorBidi" w:hAnsiTheme="majorBidi" w:cstheme="majorBidi"/>
          <w:b/>
          <w:bCs/>
          <w:sz w:val="24"/>
          <w:szCs w:val="24"/>
        </w:rPr>
        <w:t>Abstract</w:t>
      </w:r>
    </w:p>
    <w:p w14:paraId="2B8560E7" w14:textId="77777777" w:rsidR="00FE13B9"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The proportion of young people who struggle to complete upper secondary education, or to engage meaningfully within it, remains significant across industrialised societies. According to the OECD’s Education at a Glance 2025, an average of 13% of 25–34 year-olds across OECD countries still lack an upper secondary qualification (OECD, 2025). While this figure has been gradually declining, it varies considerably across and within countries, and high enrolment and completion rates do not in themselves guarantee meaningful participation. A substantial proportion of students remain enrolled while carrying complex and overlapping difficulties — including school refusal, mental health challenges, developmental disorders, poverty, and unstable family environments — that existing schooling structures are ill-equipped to address.</w:t>
      </w:r>
    </w:p>
    <w:p w14:paraId="36E3378A" w14:textId="77777777" w:rsidR="00FE13B9"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Japan presents a particularly instructive case. While the high school advancement rate stands at approximately 99% and the completion rate reaches around 95%, the rate of school refusal among compulsory education students in Nagano Prefecture — the focus of the present study — reached 3.7% in 2024, the third highest in Japan. Part-time high schools (teiji-sei koukou), originally established to serve working youth, now primarily enrol students who have experienced school refusal, developmental disorders, mental health difficulties, or socioeconomic disadvantage; in Nagano Prefecture, between 60% and 70% of part-time high school students have a prior history of school refusal. Despite their critical social inclusion role, these schools face closure and restructuring under ongoing reorganisation plans driven by demographic decline.</w:t>
      </w:r>
    </w:p>
    <w:p w14:paraId="45D676C2"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This paper presents preliminary findings from an ongoing international comparative study examining how Japan, Canada, and Finland have developed distinct institutional responses to support young people at risk of educational disengagement. The empirical core of the paper is a near-comprehensive set of semi-structured interviews conducted at Ueda-Chikuma High School in Nagano Prefecture (January–February 2026), involving ten teachers, twelve students across all year groups, and two workplace supervisors from a partner manufacturing company. The Canadian and Finnish cases are examined through institutional and documentary analysis informed by the author’s prior research and selective site visits, and will form the basis for full-scale comparative fieldwork planned from 2026 onwards. The analysis is guided by the Capability Approach (Sen, 1992), focusing on the resources schools and programmes make available, the factors that enable or hinder their conversion into meaningful participation, and the forms of agency students are able to exercise over time.</w:t>
      </w:r>
    </w:p>
    <w:p w14:paraId="4F96D135" w14:textId="77777777" w:rsidR="00FE13B9" w:rsidRPr="009B4CEB" w:rsidRDefault="00000000" w:rsidP="009B4CEB">
      <w:pPr>
        <w:rPr>
          <w:rFonts w:asciiTheme="majorBidi" w:hAnsiTheme="majorBidi" w:cstheme="majorBidi"/>
          <w:sz w:val="24"/>
          <w:szCs w:val="24"/>
        </w:rPr>
      </w:pPr>
      <w:r w:rsidRPr="009B4CEB">
        <w:rPr>
          <w:rFonts w:asciiTheme="majorBidi" w:hAnsiTheme="majorBidi" w:cstheme="majorBidi"/>
          <w:sz w:val="24"/>
          <w:szCs w:val="24"/>
        </w:rPr>
        <w:t xml:space="preserve">Preliminary findings from the Japanese case point to the central role of small-scale relational learning environments, non-punitive school cultures, flexible curriculum structures, and work-based learning partnerships with local employers. A preliminary comparison with the Canadian and Finnish cases reveals both common features and differences: while all three systems prioritise relational support and structural flexibility, they differ markedly in the </w:t>
      </w:r>
      <w:r w:rsidRPr="009B4CEB">
        <w:rPr>
          <w:rFonts w:asciiTheme="majorBidi" w:hAnsiTheme="majorBidi" w:cstheme="majorBidi"/>
          <w:sz w:val="24"/>
          <w:szCs w:val="24"/>
        </w:rPr>
        <w:lastRenderedPageBreak/>
        <w:t>degree to which these features are institutionally embedded and professionally supported. A cross-cutting theme that emerges is that institutional flexibility is a necessary but not sufficient condition for supporting vulnerable youth. What matters most is the quality and continuity of relational support between staff and students — a relational infrastructure through which young people can experience being known, being expected, and belonging. In Canada, a significant gap has been documented between the policy aspiration of work-based learning under HSR and its resourcing in practice (Alberta Teachers’ Association, 2017); in Finland, the proportion of young people who view their own future optimistically fell from 80% in 2021 to 61% in 2024 (Appelqvist-Schmidlechner et al., 2026), underscoring the urgency of effective transition support even in well-resourced welfare states.</w:t>
      </w:r>
    </w:p>
    <w:p w14:paraId="742F07AE" w14:textId="77777777" w:rsidR="009B4CEB" w:rsidRDefault="009B4CEB" w:rsidP="009B4CEB">
      <w:pPr>
        <w:rPr>
          <w:rFonts w:asciiTheme="majorBidi" w:hAnsiTheme="majorBidi" w:cstheme="majorBidi"/>
          <w:sz w:val="24"/>
          <w:szCs w:val="24"/>
        </w:rPr>
      </w:pPr>
    </w:p>
    <w:p w14:paraId="67E4CB33" w14:textId="1DB2ECB1" w:rsidR="00FE13B9" w:rsidRPr="009B4CEB" w:rsidRDefault="00000000" w:rsidP="009B4CEB">
      <w:pPr>
        <w:rPr>
          <w:rFonts w:asciiTheme="majorBidi" w:hAnsiTheme="majorBidi" w:cstheme="majorBidi"/>
          <w:sz w:val="24"/>
          <w:szCs w:val="24"/>
        </w:rPr>
      </w:pPr>
      <w:r w:rsidRPr="009B4CEB">
        <w:rPr>
          <w:rFonts w:asciiTheme="majorBidi" w:hAnsiTheme="majorBidi" w:cstheme="majorBidi"/>
          <w:b/>
          <w:bCs/>
          <w:sz w:val="24"/>
          <w:szCs w:val="24"/>
        </w:rPr>
        <w:t xml:space="preserve">Keywords: </w:t>
      </w:r>
      <w:r w:rsidRPr="009B4CEB">
        <w:rPr>
          <w:rFonts w:asciiTheme="majorBidi" w:hAnsiTheme="majorBidi" w:cstheme="majorBidi"/>
          <w:sz w:val="24"/>
          <w:szCs w:val="24"/>
        </w:rPr>
        <w:t>youth transitions; part-time high school; alternative schooling; career guidance; comparative education</w:t>
      </w:r>
    </w:p>
    <w:p w14:paraId="4F544169" w14:textId="77777777" w:rsidR="00FE13B9" w:rsidRPr="009B4CEB" w:rsidRDefault="00000000" w:rsidP="009B4CEB">
      <w:pPr>
        <w:rPr>
          <w:rFonts w:asciiTheme="majorBidi" w:hAnsiTheme="majorBidi" w:cstheme="majorBidi"/>
          <w:sz w:val="24"/>
          <w:szCs w:val="24"/>
        </w:rPr>
      </w:pPr>
      <w:r w:rsidRPr="009B4CEB">
        <w:rPr>
          <w:rFonts w:asciiTheme="majorBidi" w:hAnsiTheme="majorBidi" w:cstheme="majorBidi"/>
          <w:sz w:val="24"/>
          <w:szCs w:val="24"/>
        </w:rPr>
        <w:br w:type="page"/>
      </w:r>
    </w:p>
    <w:p w14:paraId="324377C7" w14:textId="77777777" w:rsidR="00FE13B9" w:rsidRPr="009B4CEB" w:rsidRDefault="00000000" w:rsidP="009B4CEB">
      <w:pPr>
        <w:rPr>
          <w:rFonts w:asciiTheme="majorBidi" w:hAnsiTheme="majorBidi" w:cstheme="majorBidi"/>
          <w:b/>
          <w:bCs/>
          <w:sz w:val="24"/>
          <w:szCs w:val="24"/>
        </w:rPr>
      </w:pPr>
      <w:r w:rsidRPr="009B4CEB">
        <w:rPr>
          <w:rFonts w:asciiTheme="majorBidi" w:hAnsiTheme="majorBidi" w:cstheme="majorBidi"/>
          <w:b/>
          <w:bCs/>
          <w:sz w:val="24"/>
          <w:szCs w:val="24"/>
        </w:rPr>
        <w:lastRenderedPageBreak/>
        <w:t>1. Introduction</w:t>
      </w:r>
    </w:p>
    <w:p w14:paraId="6156C975"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The proportion of young people who struggle to complete upper secondary education, or to engage meaningfully within it, remains significant across industrialised societies. According to the OECD’s Education at a Glance 2025, an average of 13% of 25–34 year-olds across OECD countries still lack an upper secondary qualification (OECD, 2025). While this figure has been gradually declining, it varies considerably across and within countries, and high enrolment and completion rates do not in themselves guarantee meaningful participation. A substantial proportion of students remain enrolled while carrying complex and overlapping difficulties — including school refusal, mental health challenges, developmental disorders, poverty, and unstable family environments — that existing schooling structures are ill-equipped to address. How educational systems can respond institutionally to these challenges, and what kinds of school arrangements most effectively support vulnerable young people in their transitions to working life, remains an underexplored area in comparative research on career guidance and vocational education.</w:t>
      </w:r>
    </w:p>
    <w:p w14:paraId="597B883C" w14:textId="77777777" w:rsidR="00FE13B9" w:rsidRPr="009B4CEB" w:rsidRDefault="00000000" w:rsidP="009B4CEB">
      <w:pPr>
        <w:rPr>
          <w:rFonts w:asciiTheme="majorBidi" w:hAnsiTheme="majorBidi" w:cstheme="majorBidi"/>
          <w:sz w:val="24"/>
          <w:szCs w:val="24"/>
        </w:rPr>
      </w:pPr>
      <w:r w:rsidRPr="009B4CEB">
        <w:rPr>
          <w:rFonts w:asciiTheme="majorBidi" w:hAnsiTheme="majorBidi" w:cstheme="majorBidi"/>
          <w:sz w:val="24"/>
          <w:szCs w:val="24"/>
        </w:rPr>
        <w:t>Turning to Japan, the high school advancement rate stands at approximately 99% and the completion rate reaches around 95%; yet a significant proportion of students enter upper secondary education with substantial unmet needs. In Nagano Prefecture — the focus of the present study — the rate of school refusal among compulsory education students reached 3.7% in 2024, the third highest in Japan, with 7.6% of middle school students classified as school refusers (Nagano Prefecture Board of Education, 2024). Part-time high schools (teiji-sei koukou), originally established in the post-war period to provide working youth with access to secondary education, have gradually become the primary institutional setting for students who are unable to continue in mainstream full-time schooling. In Nagano Prefecture, between 60% and 70% of students enrolled in part-time high schools have a prior history of school refusal, with many also presenting developmental disorders, mental health conditions, or socioeconomic disadvantage (Okabe, 2025).</w:t>
      </w:r>
    </w:p>
    <w:p w14:paraId="732653DD"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Yet precisely at the moment when the educational and social welfare functions of part-time high schools have become more important than ever, these schools face restructuring and closure under Nagano Prefecture’s ongoing high school reorganisation plan. In a society of persistent demographic decline, sharply falling enrolment numbers have prompted authorities to consolidate many part-time schools into larger multi-session, credit-based institutions, while private online correspondence schools have expanded rapidly to fill the resulting gap. Whether the distinctive features of small-scale part-time schooling can survive this reorganisation — and whether correspondence schools can replicate its social inclusion functions — remains an open and urgent question (Okabe, 2025).</w:t>
      </w:r>
    </w:p>
    <w:p w14:paraId="206C3EF9" w14:textId="77777777" w:rsidR="00FE13B9"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 xml:space="preserve">International comparison offers a productive lens for examining these questions. Canada and Finland have each developed distinct but instructive institutional responses to the challenge of supporting young people at risk of educational disengagement. In Alberta, Canada, the High School Redesign (HSR) initiative has sought to guarantee meaningful educational transitions for youth facing complex social and economic disadvantage by moving away from the Carnegie unit-based credit system — which defined learning in terms of instructional time — towards a competency-based model focused on what students have actually learned. This shift has made learning pathways more flexible (Brown et al., 2022). However, a survey of off-campus education coordinators (OCCs) across Alberta found that around 60% felt unable to fulfil their roles adequately under current working conditions, pointing to a significant gap between the policy aspiration of work-based learning and its resourcing in practice (Alberta Teachers’ Association, 2017). In Finland, despite a well-developed welfare system, young people’s confidence in the future has declined sharply in recent years: the proportion of 15–29 year-olds who view their own future optimistically fell from 80% in 2021 to 61% in 2024 (Appelqvist-Schmidlechner et al., 2026). A government </w:t>
      </w:r>
      <w:r w:rsidRPr="009B4CEB">
        <w:rPr>
          <w:rFonts w:asciiTheme="majorBidi" w:hAnsiTheme="majorBidi" w:cstheme="majorBidi"/>
          <w:sz w:val="24"/>
          <w:szCs w:val="24"/>
        </w:rPr>
        <w:lastRenderedPageBreak/>
        <w:t>expert report submitted to the Ministry of Education and Culture in March 2026 identifies deteriorating mental health, increasing pressures related to education and employment, cuts to student benefits, and a sense of individual responsibility without adequate structural support as key drivers of this decline. The transition from compulsory basic education to upper secondary level — typically at age sixteen — has long been identified as a critical risk point for youth marginalisation, with early school leaving and discontinuation of upper secondary programmes remaining persistent concerns, particularly among young men, young people from migrant backgrounds, and those in rural areas (Toiviainen et al., 2020). In response, Finland has developed an integrated network of transition support programmes — including TUVA (preparatory education for vocational training), TELMA (labour market training), and Ohjaamo (one-stop guidance centres) — designed to re-engage young people at risk of exclusion from education and employment. Taken together, these three national cases provide a basis for examining the institutional conditions that enable or constrain youth wellbeing and transitions.</w:t>
      </w:r>
    </w:p>
    <w:p w14:paraId="454FCCC0" w14:textId="77777777" w:rsidR="009B4CEB" w:rsidRPr="009B4CEB" w:rsidRDefault="009B4CEB" w:rsidP="009B4CEB">
      <w:pPr>
        <w:rPr>
          <w:rFonts w:asciiTheme="majorBidi" w:hAnsiTheme="majorBidi" w:cstheme="majorBidi"/>
          <w:sz w:val="24"/>
          <w:szCs w:val="24"/>
        </w:rPr>
      </w:pPr>
    </w:p>
    <w:p w14:paraId="73B88955" w14:textId="77777777" w:rsidR="00FE13B9" w:rsidRPr="009B4CEB" w:rsidRDefault="00000000" w:rsidP="009B4CEB">
      <w:pPr>
        <w:rPr>
          <w:rFonts w:asciiTheme="majorBidi" w:hAnsiTheme="majorBidi" w:cstheme="majorBidi"/>
          <w:b/>
          <w:bCs/>
          <w:sz w:val="24"/>
          <w:szCs w:val="24"/>
        </w:rPr>
      </w:pPr>
      <w:r w:rsidRPr="009B4CEB">
        <w:rPr>
          <w:rFonts w:asciiTheme="majorBidi" w:hAnsiTheme="majorBidi" w:cstheme="majorBidi"/>
          <w:b/>
          <w:bCs/>
          <w:sz w:val="24"/>
          <w:szCs w:val="24"/>
        </w:rPr>
        <w:t>2. Objectives</w:t>
      </w:r>
    </w:p>
    <w:p w14:paraId="09796889"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This paper has three principal aims. First, it presents preliminary findings from a comprehensive fieldwork-based study conducted at Ueda-Chikuma High School (Nagano Prefecture), a part-time high school with a vocational engineering department. Second, it describes the institutional characteristics of transition support programmes in Canada (HSR charter schools) and Finland (TUVA, TELMA, Ohjaamo), drawing on the author’s prior research and site visits. Third, it identifies common features and differences across the three national cases as a foundation for the full-scale international comparative fieldwork planned from 2026 onwards under the author’s current JSPS-funded research project.</w:t>
      </w:r>
    </w:p>
    <w:p w14:paraId="315B934D" w14:textId="77777777" w:rsidR="009B4CEB" w:rsidRDefault="009B4CEB" w:rsidP="009B4CEB">
      <w:pPr>
        <w:rPr>
          <w:rFonts w:asciiTheme="majorBidi" w:hAnsiTheme="majorBidi" w:cstheme="majorBidi"/>
          <w:sz w:val="24"/>
          <w:szCs w:val="24"/>
        </w:rPr>
      </w:pPr>
    </w:p>
    <w:p w14:paraId="11ABFD67" w14:textId="216EC3D5" w:rsidR="00FE13B9" w:rsidRPr="009B4CEB" w:rsidRDefault="00000000" w:rsidP="009B4CEB">
      <w:pPr>
        <w:rPr>
          <w:rFonts w:asciiTheme="majorBidi" w:hAnsiTheme="majorBidi" w:cstheme="majorBidi"/>
          <w:b/>
          <w:bCs/>
          <w:sz w:val="24"/>
          <w:szCs w:val="24"/>
        </w:rPr>
      </w:pPr>
      <w:r w:rsidRPr="009B4CEB">
        <w:rPr>
          <w:rFonts w:asciiTheme="majorBidi" w:hAnsiTheme="majorBidi" w:cstheme="majorBidi"/>
          <w:b/>
          <w:bCs/>
          <w:sz w:val="24"/>
          <w:szCs w:val="24"/>
        </w:rPr>
        <w:t>3. Theoretical Basis and Analytical Framework</w:t>
      </w:r>
    </w:p>
    <w:p w14:paraId="0E2523A6"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The study draws on the Capability Approach (Sen, 1992) as a broad analytical orientation. Rather than evaluating institutions solely in terms of formal provision or measurable outputs, this framework examines what resources schools and programmes make available to young people, what personal and institutional factors enable or hinder the conversion of those resources into meaningful learning and social participation, and what forms of agency students are able to exercise over time. This orientation is well suited to comparative analysis across structurally different educational systems, as it focuses on the processes through which lived possibilities are generated — or foreclosed — rather than on system-level policy metrics alone.</w:t>
      </w:r>
    </w:p>
    <w:p w14:paraId="41D558DE"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In practical terms, the analysis attends to four dimensions across all three cases: (1) the resources made available by institutions (small-scale environments, flexible curricula, human support, work-based opportunities); (2) the conversion factors that determine whether those resources are genuinely accessible to individual students (relational trust, non-punitive norms, temporal flexibility, care-oriented professional judgement); (3) the expanded capabilities that emerge for students as a result (capability to attend and remain, to learn meaningfully, to envision a future, to relate to others); and (4) the forms of agency that students are able to exercise (expressing preferences, making tentative choices, reflecting on self-change). This codebook-based analytical framework, developed collaboratively with the research team, is designed to enable systematic comparison across the three national cases despite their differing institutional structures.</w:t>
      </w:r>
    </w:p>
    <w:p w14:paraId="30BF1404"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 xml:space="preserve">The study also draws on research on school-community partnership models of wraparound support (Haight et al., 2024), which emphasises the importance of relational trust, shared professional values, and flexible communication channels in enabling intersectoral collaboration for vulnerable students. This literature provides a useful </w:t>
      </w:r>
      <w:r w:rsidRPr="009B4CEB">
        <w:rPr>
          <w:rFonts w:asciiTheme="majorBidi" w:hAnsiTheme="majorBidi" w:cstheme="majorBidi"/>
          <w:sz w:val="24"/>
          <w:szCs w:val="24"/>
        </w:rPr>
        <w:lastRenderedPageBreak/>
        <w:t>comparative perspective for examining the employer and community partnerships that characterise the vocational department of Ueda-Chikuma High School.</w:t>
      </w:r>
    </w:p>
    <w:p w14:paraId="1C2453DB" w14:textId="77777777" w:rsidR="009B4CEB" w:rsidRDefault="009B4CEB" w:rsidP="009B4CEB">
      <w:pPr>
        <w:rPr>
          <w:rFonts w:asciiTheme="majorBidi" w:hAnsiTheme="majorBidi" w:cstheme="majorBidi"/>
          <w:sz w:val="24"/>
          <w:szCs w:val="24"/>
        </w:rPr>
      </w:pPr>
    </w:p>
    <w:p w14:paraId="2D6FAF5A" w14:textId="212ED168" w:rsidR="00FE13B9" w:rsidRPr="009B4CEB" w:rsidRDefault="00000000" w:rsidP="009B4CEB">
      <w:pPr>
        <w:rPr>
          <w:rFonts w:asciiTheme="majorBidi" w:hAnsiTheme="majorBidi" w:cstheme="majorBidi"/>
          <w:b/>
          <w:bCs/>
          <w:sz w:val="24"/>
          <w:szCs w:val="24"/>
        </w:rPr>
      </w:pPr>
      <w:r w:rsidRPr="009B4CEB">
        <w:rPr>
          <w:rFonts w:asciiTheme="majorBidi" w:hAnsiTheme="majorBidi" w:cstheme="majorBidi"/>
          <w:b/>
          <w:bCs/>
          <w:sz w:val="24"/>
          <w:szCs w:val="24"/>
        </w:rPr>
        <w:t>4. Methodology</w:t>
      </w:r>
    </w:p>
    <w:p w14:paraId="30A6D7A1"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The Japanese case centres on fieldwork conducted at Ueda-Chikuma High School (Nagano Prefecture) in January and February 2026. The school operates an evening engineering programme (kikai-ka) alongside a general studies programme, and serves students who have withdrawn from, or been unable to continue in, standard full-time secondary education. Near-comprehensive semi-structured interviews were conducted with teachers across all subject areas and year levels, students from all four year groups, and workplace supervisors from a partner manufacturing company in the Ueda area. Specifically, interviews were conducted with ten teachers, twelve students (in both group and individual formats), and two company staff members — a direct line supervisor and a personnel officer. Interviews addressed students’ school experiences and future aspirations, teachers’ guidance practices and professional challenges, and the perspectives of workplace supervisors on the students they support. Thematic analysis of the interview data is ongoing, guided by the CA-based codebook described above.</w:t>
      </w:r>
    </w:p>
    <w:p w14:paraId="0BAAFD5B"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For the Canadian cases, the paper draws on institutional and documentary analysis of two charter schools in Alberta operating under the HSR initiative: Holden Rural Academy (HRA) and Fusion Collegiate (FC). Both schools aim to guarantee meaningful educational transitions for youth facing social, economic, and geographic disadvantage through flexible curriculum design, work-based learning, and sustained relational support (Brown et al., 2022). This analysis is informed by the author’s prior research on vocational education and off-campus education in Alberta high schools, which spans some twenty years. Full-scale fieldwork at these schools is planned as part of the author’s JSPS-funded comparative research project from 2026 onwards.</w:t>
      </w:r>
    </w:p>
    <w:p w14:paraId="39C63293"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For the Finnish cases, the paper draws on institutional and documentary analysis of three programmes: TUVA (preparatory education for vocational training), TELMA (labour market training for young adults with significant learning support needs), and Ohjaamo (one-stop guidance centres for young people not in employment, education, or training). This analysis is informed by prior desk-based research and selective site visits conducted by the author, including visits to Gradia (a TUVA/Vivo provider in Jyväskylä) and Nuorten talo (an Ohjaamo centre), as well as ongoing contact with Professor Jaana Kettunen of the University of Jyväskylä through the IAEVG research community. As with the Canadian cases, full-scale fieldwork in Finland is planned as part of the comparative study from 2026 onwards.</w:t>
      </w:r>
    </w:p>
    <w:p w14:paraId="038EF2D2" w14:textId="77777777" w:rsidR="00FE13B9" w:rsidRPr="009B4CEB" w:rsidRDefault="00000000" w:rsidP="009B4CEB">
      <w:pPr>
        <w:rPr>
          <w:rFonts w:asciiTheme="majorBidi" w:hAnsiTheme="majorBidi" w:cstheme="majorBidi"/>
          <w:sz w:val="24"/>
          <w:szCs w:val="24"/>
        </w:rPr>
      </w:pPr>
      <w:r w:rsidRPr="009B4CEB">
        <w:rPr>
          <w:rFonts w:asciiTheme="majorBidi" w:hAnsiTheme="majorBidi" w:cstheme="majorBidi"/>
          <w:sz w:val="24"/>
          <w:szCs w:val="24"/>
        </w:rPr>
        <w:t>The Ueda-Chikuma fieldwork was conducted in accordance with the research ethics framework of Seisen University. Full-scale international fieldwork in Canada and Finland, planned from 2026, will be conducted in compliance with the relevant national and institutional ethics requirements.</w:t>
      </w:r>
    </w:p>
    <w:p w14:paraId="16354382" w14:textId="77777777" w:rsidR="009B4CEB" w:rsidRDefault="009B4CEB" w:rsidP="009B4CEB">
      <w:pPr>
        <w:rPr>
          <w:rFonts w:asciiTheme="majorBidi" w:hAnsiTheme="majorBidi" w:cstheme="majorBidi"/>
          <w:sz w:val="24"/>
          <w:szCs w:val="24"/>
        </w:rPr>
      </w:pPr>
    </w:p>
    <w:p w14:paraId="1E06055C" w14:textId="38B1C091" w:rsidR="00FE13B9" w:rsidRPr="009B4CEB" w:rsidRDefault="00000000" w:rsidP="009B4CEB">
      <w:pPr>
        <w:rPr>
          <w:rFonts w:asciiTheme="majorBidi" w:hAnsiTheme="majorBidi" w:cstheme="majorBidi"/>
          <w:b/>
          <w:bCs/>
          <w:sz w:val="24"/>
          <w:szCs w:val="24"/>
        </w:rPr>
      </w:pPr>
      <w:r w:rsidRPr="009B4CEB">
        <w:rPr>
          <w:rFonts w:asciiTheme="majorBidi" w:hAnsiTheme="majorBidi" w:cstheme="majorBidi"/>
          <w:b/>
          <w:bCs/>
          <w:sz w:val="24"/>
          <w:szCs w:val="24"/>
        </w:rPr>
        <w:t>5. Preliminary Findings</w:t>
      </w:r>
    </w:p>
    <w:p w14:paraId="68084E32" w14:textId="7F257755"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 xml:space="preserve">Preliminary analysis of the Ueda-Chikuma interview data points to several key institutional features that appear to support student re-engagement and wellbeing. First, the very small-scale learning environment — with a total enrolment of around twenty students across all year groups — enables teachers to maintain close individual relationships with each student and to respond flexibly and proactively when students are absent. Teachers across the school described making regular telephone contact with absent students and their families as a routine part of their professional practice, and several students spoke of this sustained relational attention as a decisive factor in their decision to continue attending. Second, the non-punitive school culture — </w:t>
      </w:r>
      <w:r w:rsidR="009B4CEB" w:rsidRPr="009B4CEB">
        <w:rPr>
          <w:rFonts w:asciiTheme="majorBidi" w:hAnsiTheme="majorBidi" w:cstheme="majorBidi"/>
          <w:sz w:val="24"/>
          <w:szCs w:val="24"/>
        </w:rPr>
        <w:t>characterized</w:t>
      </w:r>
      <w:r w:rsidRPr="009B4CEB">
        <w:rPr>
          <w:rFonts w:asciiTheme="majorBidi" w:hAnsiTheme="majorBidi" w:cstheme="majorBidi"/>
          <w:sz w:val="24"/>
          <w:szCs w:val="24"/>
        </w:rPr>
        <w:t xml:space="preserve"> by relaxed rules regarding appearance and dress, </w:t>
      </w:r>
      <w:r w:rsidRPr="009B4CEB">
        <w:rPr>
          <w:rFonts w:asciiTheme="majorBidi" w:hAnsiTheme="majorBidi" w:cstheme="majorBidi"/>
          <w:sz w:val="24"/>
          <w:szCs w:val="24"/>
        </w:rPr>
        <w:lastRenderedPageBreak/>
        <w:t>an absence of the strict behavioural expectations common in mainstream full-time schools, and an explicit acceptance of diverse life circumstances — appears to enable students who had previously felt marginalised or excluded to develop a sense of belonging and to experience the school as a safe space. Third, the engineering curriculum and associated work-based learning partnerships with local manufacturers provide students with vocational knowledge and workplace experience that appear to strengthen their sense of future direction and occupational identity, and to build constructive relationships with company staff who recognise and value their developing skills.</w:t>
      </w:r>
    </w:p>
    <w:p w14:paraId="21ACC1B6"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A preliminary comparison of the Canadian and Finnish cases with the Japanese data — drawing on documentary analysis and existing literature rather than completed fieldwork — suggests both common features and differences. Across all three systems, sustained relational support between staff and students, structural flexibility in curriculum and attendance, and meaningful connections to workplace or community contexts appear central to supporting vulnerable youth. However, the three cases differ markedly in the degree to which these features are institutionally embedded and professionally supported. In the Finnish system, guidance provision is formally structured into the TUVA and Ohjaamo frameworks, with dedicated multi-professional teams providing integrated academic, career, and welfare support. In the Canadian HSR schools, the redesign of the Carnegie unit-based credit system allows for highly individualised and project-based learning, with employers and community partners playing a formally recognised role in programme design. In the Japanese part-time high school context, by contrast, the relational and flexible features of the school depend largely on the commitment of individual teachers working within standard staffing ratios, and are at risk of being lost as schools are consolidated into larger multi-session institutions. These observations remain provisional and will be tested through the full-scale comparative fieldwork planned from 2026.</w:t>
      </w:r>
    </w:p>
    <w:p w14:paraId="08C071C8" w14:textId="77777777" w:rsidR="009B4CEB" w:rsidRDefault="009B4CEB" w:rsidP="009B4CEB">
      <w:pPr>
        <w:rPr>
          <w:rFonts w:asciiTheme="majorBidi" w:hAnsiTheme="majorBidi" w:cstheme="majorBidi"/>
          <w:sz w:val="24"/>
          <w:szCs w:val="24"/>
        </w:rPr>
      </w:pPr>
    </w:p>
    <w:p w14:paraId="7B902C05" w14:textId="5B5FE426" w:rsidR="00FE13B9" w:rsidRPr="009B4CEB" w:rsidRDefault="00000000" w:rsidP="009B4CEB">
      <w:pPr>
        <w:rPr>
          <w:rFonts w:asciiTheme="majorBidi" w:hAnsiTheme="majorBidi" w:cstheme="majorBidi"/>
          <w:b/>
          <w:bCs/>
          <w:sz w:val="24"/>
          <w:szCs w:val="24"/>
        </w:rPr>
      </w:pPr>
      <w:r w:rsidRPr="009B4CEB">
        <w:rPr>
          <w:rFonts w:asciiTheme="majorBidi" w:hAnsiTheme="majorBidi" w:cstheme="majorBidi"/>
          <w:b/>
          <w:bCs/>
          <w:sz w:val="24"/>
          <w:szCs w:val="24"/>
        </w:rPr>
        <w:t>6. Conclusions</w:t>
      </w:r>
    </w:p>
    <w:p w14:paraId="64F5B1E7"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This paper argues that supporting the wellbeing and transitions of vulnerable youth requires not only individual-level career guidance interventions but also institutional arrangements that make flexible, relational, and community-connected forms of schooling available as a recognised and adequately resourced part of the education system — not as something marginal or exceptional. The three cases examined here represent distinct but instructive institutional responses to this challenge, and their common features and differences provide meaningful material for deepening international dialogue on career guidance policy and practice focused on youth transitions.</w:t>
      </w:r>
    </w:p>
    <w:p w14:paraId="40B6CEF3" w14:textId="77777777" w:rsidR="00FE13B9" w:rsidRPr="009B4CEB" w:rsidRDefault="00000000" w:rsidP="009B4CEB">
      <w:pPr>
        <w:rPr>
          <w:rFonts w:asciiTheme="majorBidi" w:hAnsiTheme="majorBidi" w:cstheme="majorBidi"/>
          <w:sz w:val="24"/>
          <w:szCs w:val="24"/>
        </w:rPr>
      </w:pPr>
      <w:r w:rsidRPr="009B4CEB">
        <w:rPr>
          <w:rFonts w:asciiTheme="majorBidi" w:hAnsiTheme="majorBidi" w:cstheme="majorBidi"/>
          <w:sz w:val="24"/>
          <w:szCs w:val="24"/>
        </w:rPr>
        <w:t>Whether the social inclusion functions currently performed by Japan’s part-time high schools can be preserved within larger, consolidated institutions is an urgent question. A preliminary reading of the Canadian and Finnish cases suggests this may be possible, but requires deliberate institutional design: adequate staffing, formally recognised guidance roles, flexible curriculum frameworks, and sustained partnerships with employers and community organisations.</w:t>
      </w:r>
    </w:p>
    <w:p w14:paraId="402E068F"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 xml:space="preserve">A theme that runs across all three cases is that institutional flexibility — whether through the abolition of the Carnegie unit in Canada, competency-based vocational reform in Finland, or the small-scale evening structure of Japanese part-time high schools — is a necessary but not sufficient condition for supporting vulnerable youth. What matters most is not the flexibility of the system itself, but the quality and continuity of relational support between staff and students: a relational infrastructure through which young people can experience being known, being expected, and belonging. The evidence from Ueda-Chikuma High School — where teachers maintain regular individual contact with absent students, and where students who had previously disengaged from schooling experience the school as a </w:t>
      </w:r>
      <w:r w:rsidRPr="009B4CEB">
        <w:rPr>
          <w:rFonts w:asciiTheme="majorBidi" w:hAnsiTheme="majorBidi" w:cstheme="majorBidi"/>
          <w:sz w:val="24"/>
          <w:szCs w:val="24"/>
        </w:rPr>
        <w:lastRenderedPageBreak/>
        <w:t>place where they genuinely belong — suggests that this relational dimension is the mechanism through which institutional provision is converted into real capability and agency for young people. Whether similar relational dynamics exist in the Canadian charter schools and Finnish transition programmes — and under what institutional conditions they can be sustained — are among the central questions that the full-scale comparative fieldwork will seek to answer.</w:t>
      </w:r>
    </w:p>
    <w:p w14:paraId="40BE8453" w14:textId="77777777"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These observations remain to be tested through the full-scale international comparative fieldwork that constitutes the next phase of this research project. By presenting these findings at this stage, the paper seeks critical engagement from international colleagues with expertise in youth transitions, alternative schooling, and career guidance, and aims to establish a collaborative basis for the comparative work ahead.</w:t>
      </w:r>
    </w:p>
    <w:p w14:paraId="2F095EB4" w14:textId="77777777" w:rsidR="009B4CEB" w:rsidRDefault="009B4CEB" w:rsidP="009B4CEB">
      <w:pPr>
        <w:rPr>
          <w:rFonts w:asciiTheme="majorBidi" w:hAnsiTheme="majorBidi" w:cstheme="majorBidi"/>
          <w:sz w:val="24"/>
          <w:szCs w:val="24"/>
        </w:rPr>
      </w:pPr>
    </w:p>
    <w:p w14:paraId="67E73EF7" w14:textId="0C48BFD3" w:rsidR="00FE13B9" w:rsidRPr="009B4CEB" w:rsidRDefault="009B4CEB" w:rsidP="009B4CEB">
      <w:pPr>
        <w:rPr>
          <w:rFonts w:asciiTheme="majorBidi" w:hAnsiTheme="majorBidi" w:cstheme="majorBidi"/>
          <w:b/>
          <w:bCs/>
          <w:sz w:val="24"/>
          <w:szCs w:val="24"/>
        </w:rPr>
      </w:pPr>
      <w:r w:rsidRPr="009B4CEB">
        <w:rPr>
          <w:rFonts w:asciiTheme="majorBidi" w:hAnsiTheme="majorBidi" w:cstheme="majorBidi"/>
          <w:b/>
          <w:bCs/>
          <w:sz w:val="24"/>
          <w:szCs w:val="24"/>
        </w:rPr>
        <w:t>Bibliographical References</w:t>
      </w:r>
    </w:p>
    <w:p w14:paraId="3407C0BC" w14:textId="77777777" w:rsidR="009B4CEB" w:rsidRDefault="00000000" w:rsidP="009B4CEB">
      <w:pPr>
        <w:rPr>
          <w:rFonts w:asciiTheme="majorBidi" w:hAnsiTheme="majorBidi" w:cstheme="majorBidi"/>
          <w:sz w:val="24"/>
          <w:szCs w:val="24"/>
        </w:rPr>
      </w:pPr>
      <w:r w:rsidRPr="009B4CEB">
        <w:rPr>
          <w:rFonts w:asciiTheme="majorBidi" w:hAnsiTheme="majorBidi" w:cstheme="majorBidi"/>
          <w:sz w:val="24"/>
          <w:szCs w:val="24"/>
        </w:rPr>
        <w:t xml:space="preserve">Alberta Teachers’ Association. (2017). Off-campus education in Alberta: Current realities </w:t>
      </w:r>
    </w:p>
    <w:p w14:paraId="2D676944" w14:textId="546B50CE"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and future prospects. ATA Research.</w:t>
      </w:r>
    </w:p>
    <w:p w14:paraId="4279C0D1" w14:textId="77777777" w:rsidR="009B4CEB" w:rsidRDefault="00000000" w:rsidP="009B4CEB">
      <w:pPr>
        <w:rPr>
          <w:rFonts w:asciiTheme="majorBidi" w:hAnsiTheme="majorBidi" w:cstheme="majorBidi"/>
          <w:sz w:val="24"/>
          <w:szCs w:val="24"/>
        </w:rPr>
      </w:pPr>
      <w:r w:rsidRPr="009B4CEB">
        <w:rPr>
          <w:rFonts w:asciiTheme="majorBidi" w:hAnsiTheme="majorBidi" w:cstheme="majorBidi"/>
          <w:sz w:val="24"/>
          <w:szCs w:val="24"/>
        </w:rPr>
        <w:t xml:space="preserve">Appelqvist-Schmidlechner, K., Axelin, H., Helenius, J., Jahnukainen, M., Kallio, J., </w:t>
      </w:r>
    </w:p>
    <w:p w14:paraId="733E1FE1" w14:textId="45936440" w:rsidR="00FE13B9" w:rsidRPr="009B4CEB" w:rsidRDefault="00000000" w:rsidP="009B4CEB">
      <w:pPr>
        <w:ind w:left="840"/>
        <w:rPr>
          <w:rFonts w:asciiTheme="majorBidi" w:hAnsiTheme="majorBidi" w:cstheme="majorBidi"/>
          <w:sz w:val="24"/>
          <w:szCs w:val="24"/>
          <w:lang w:val="fi-FI"/>
        </w:rPr>
      </w:pPr>
      <w:r w:rsidRPr="009B4CEB">
        <w:rPr>
          <w:rFonts w:asciiTheme="majorBidi" w:hAnsiTheme="majorBidi" w:cstheme="majorBidi"/>
          <w:sz w:val="24"/>
          <w:szCs w:val="24"/>
          <w:lang w:val="fi-FI"/>
        </w:rPr>
        <w:t xml:space="preserve">Kiilakoski, T., Kiiski, A., Kivinen, R., Kurki, M., Palömaki, J., Pihkala, P., Puura, S., &amp; Tähkäpää, O. (2026). </w:t>
      </w:r>
      <w:r w:rsidRPr="009B4CEB">
        <w:rPr>
          <w:rFonts w:asciiTheme="majorBidi" w:hAnsiTheme="majorBidi" w:cstheme="majorBidi"/>
          <w:sz w:val="24"/>
          <w:szCs w:val="24"/>
        </w:rPr>
        <w:t xml:space="preserve">Nuorten tulevaisuususko horjuu — millaisia toimia nyt tarvitaan? [Young people are losing confidence in the future — what action is needed now? Final report of the expert group of the Ministry of Education and Culture]. </w:t>
      </w:r>
      <w:r w:rsidRPr="009B4CEB">
        <w:rPr>
          <w:rFonts w:asciiTheme="majorBidi" w:hAnsiTheme="majorBidi" w:cstheme="majorBidi"/>
          <w:sz w:val="24"/>
          <w:szCs w:val="24"/>
          <w:lang w:val="fi-FI"/>
        </w:rPr>
        <w:t>Opetus- ja kulttuuriministeriö. https://urn.fi/URN:ISBN:978-952-415-084-2</w:t>
      </w:r>
    </w:p>
    <w:p w14:paraId="6CF5CC39" w14:textId="77777777" w:rsidR="009B4CEB" w:rsidRDefault="00000000" w:rsidP="009B4CEB">
      <w:pPr>
        <w:rPr>
          <w:rFonts w:asciiTheme="majorBidi" w:hAnsiTheme="majorBidi" w:cstheme="majorBidi"/>
          <w:sz w:val="24"/>
          <w:szCs w:val="24"/>
        </w:rPr>
      </w:pPr>
      <w:r w:rsidRPr="009B4CEB">
        <w:rPr>
          <w:rFonts w:asciiTheme="majorBidi" w:hAnsiTheme="majorBidi" w:cstheme="majorBidi"/>
          <w:sz w:val="24"/>
          <w:szCs w:val="24"/>
          <w:lang w:val="fi-FI"/>
        </w:rPr>
        <w:t xml:space="preserve">Brown, B., Alonso-Yanez, G., Friesen, S., &amp; Jacobsen, M. (2022). </w:t>
      </w:r>
      <w:r w:rsidRPr="009B4CEB">
        <w:rPr>
          <w:rFonts w:asciiTheme="majorBidi" w:hAnsiTheme="majorBidi" w:cstheme="majorBidi"/>
          <w:sz w:val="24"/>
          <w:szCs w:val="24"/>
        </w:rPr>
        <w:t xml:space="preserve">High school redesign: </w:t>
      </w:r>
    </w:p>
    <w:p w14:paraId="3159F433" w14:textId="6C9360CF" w:rsidR="00FE13B9" w:rsidRPr="009B4CEB" w:rsidRDefault="00000000" w:rsidP="009B4CEB">
      <w:pPr>
        <w:ind w:left="840"/>
        <w:rPr>
          <w:rFonts w:asciiTheme="majorBidi" w:hAnsiTheme="majorBidi" w:cstheme="majorBidi"/>
          <w:sz w:val="24"/>
          <w:szCs w:val="24"/>
        </w:rPr>
      </w:pPr>
      <w:r w:rsidRPr="009B4CEB">
        <w:rPr>
          <w:rFonts w:asciiTheme="majorBidi" w:hAnsiTheme="majorBidi" w:cstheme="majorBidi"/>
          <w:sz w:val="24"/>
          <w:szCs w:val="24"/>
        </w:rPr>
        <w:t>Carnegie unit as a catalyst for change. Canadian Journal of Educational Administration and Policy, 193, 97–114.</w:t>
      </w:r>
    </w:p>
    <w:p w14:paraId="0D01B2F5" w14:textId="77777777" w:rsidR="009B4CEB" w:rsidRDefault="00000000" w:rsidP="009B4CEB">
      <w:pPr>
        <w:rPr>
          <w:rFonts w:asciiTheme="majorBidi" w:hAnsiTheme="majorBidi" w:cstheme="majorBidi"/>
          <w:sz w:val="24"/>
          <w:szCs w:val="24"/>
        </w:rPr>
      </w:pPr>
      <w:r w:rsidRPr="009B4CEB">
        <w:rPr>
          <w:rFonts w:asciiTheme="majorBidi" w:hAnsiTheme="majorBidi" w:cstheme="majorBidi"/>
          <w:sz w:val="24"/>
          <w:szCs w:val="24"/>
        </w:rPr>
        <w:t xml:space="preserve">Haight, J., Daniels, J., Gokiert, R., Quintanilha, M., Edwards, K., Mellon, P., Skoye, M., &amp; </w:t>
      </w:r>
    </w:p>
    <w:p w14:paraId="62FA0CEF" w14:textId="7444C335" w:rsidR="00FE13B9" w:rsidRPr="009B4CEB" w:rsidRDefault="00000000" w:rsidP="009B4CEB">
      <w:pPr>
        <w:ind w:left="840"/>
        <w:rPr>
          <w:rFonts w:asciiTheme="majorBidi" w:hAnsiTheme="majorBidi" w:cstheme="majorBidi"/>
          <w:sz w:val="24"/>
          <w:szCs w:val="24"/>
        </w:rPr>
      </w:pPr>
      <w:r w:rsidRPr="009B4CEB">
        <w:rPr>
          <w:rFonts w:asciiTheme="majorBidi" w:hAnsiTheme="majorBidi" w:cstheme="majorBidi"/>
          <w:sz w:val="24"/>
          <w:szCs w:val="24"/>
        </w:rPr>
        <w:t>Malin, A. (2024). Essential conditions for partnership collaboration within a school-community model of wraparound support. Journal of Child and Family Studies, 33, 2962–2977. https://doi.org/10.1007/s10826-024-02903-1</w:t>
      </w:r>
    </w:p>
    <w:p w14:paraId="14939B1F" w14:textId="77777777" w:rsidR="009B4CEB" w:rsidRDefault="00000000" w:rsidP="009B4CEB">
      <w:pPr>
        <w:rPr>
          <w:rFonts w:asciiTheme="majorBidi" w:hAnsiTheme="majorBidi" w:cstheme="majorBidi"/>
          <w:sz w:val="24"/>
          <w:szCs w:val="24"/>
        </w:rPr>
      </w:pPr>
      <w:r w:rsidRPr="009B4CEB">
        <w:rPr>
          <w:rFonts w:asciiTheme="majorBidi" w:hAnsiTheme="majorBidi" w:cstheme="majorBidi"/>
          <w:sz w:val="24"/>
          <w:szCs w:val="24"/>
        </w:rPr>
        <w:t xml:space="preserve">Nagano Prefecture Board of Education. (2024). Reiwa 5-nendo jidō seito no mondai kōdō • </w:t>
      </w:r>
    </w:p>
    <w:p w14:paraId="2DCF26CF" w14:textId="153B074C" w:rsidR="00FE13B9" w:rsidRPr="009B4CEB" w:rsidRDefault="00000000" w:rsidP="009B4CEB">
      <w:pPr>
        <w:ind w:left="840"/>
        <w:rPr>
          <w:rFonts w:asciiTheme="majorBidi" w:hAnsiTheme="majorBidi" w:cstheme="majorBidi"/>
          <w:sz w:val="24"/>
          <w:szCs w:val="24"/>
        </w:rPr>
      </w:pPr>
      <w:r w:rsidRPr="009B4CEB">
        <w:rPr>
          <w:rFonts w:asciiTheme="majorBidi" w:hAnsiTheme="majorBidi" w:cstheme="majorBidi"/>
          <w:sz w:val="24"/>
          <w:szCs w:val="24"/>
        </w:rPr>
        <w:t>futōko nado seito shidō jō no sho kadai ni kansuru chōsa [Survey on problem behaviour and school refusal among children and students, FY2023]. Nagano Prefecture.</w:t>
      </w:r>
    </w:p>
    <w:p w14:paraId="493E9651" w14:textId="77777777" w:rsidR="009B4CEB" w:rsidRDefault="00000000" w:rsidP="009B4CEB">
      <w:pPr>
        <w:rPr>
          <w:rFonts w:asciiTheme="majorBidi" w:hAnsiTheme="majorBidi" w:cstheme="majorBidi"/>
          <w:sz w:val="24"/>
          <w:szCs w:val="24"/>
        </w:rPr>
      </w:pPr>
      <w:r w:rsidRPr="009B4CEB">
        <w:rPr>
          <w:rFonts w:asciiTheme="majorBidi" w:hAnsiTheme="majorBidi" w:cstheme="majorBidi"/>
          <w:sz w:val="24"/>
          <w:szCs w:val="24"/>
        </w:rPr>
        <w:t xml:space="preserve">OECD. (2025). Education at a glance 2025: OECD indicators. OECD Publishing. </w:t>
      </w:r>
    </w:p>
    <w:p w14:paraId="7F10A1F2" w14:textId="7DB2A3B0" w:rsidR="00FE13B9" w:rsidRPr="009B4CEB" w:rsidRDefault="00000000" w:rsidP="009B4CEB">
      <w:pPr>
        <w:ind w:firstLine="840"/>
        <w:rPr>
          <w:rFonts w:asciiTheme="majorBidi" w:hAnsiTheme="majorBidi" w:cstheme="majorBidi"/>
          <w:sz w:val="24"/>
          <w:szCs w:val="24"/>
        </w:rPr>
      </w:pPr>
      <w:r w:rsidRPr="009B4CEB">
        <w:rPr>
          <w:rFonts w:asciiTheme="majorBidi" w:hAnsiTheme="majorBidi" w:cstheme="majorBidi"/>
          <w:sz w:val="24"/>
          <w:szCs w:val="24"/>
        </w:rPr>
        <w:t>https://doi.org/10.1787/1c0d9c79-en</w:t>
      </w:r>
    </w:p>
    <w:p w14:paraId="48643F58" w14:textId="77777777" w:rsidR="009B4CEB" w:rsidRDefault="00000000" w:rsidP="009B4CEB">
      <w:pPr>
        <w:rPr>
          <w:rFonts w:asciiTheme="majorBidi" w:hAnsiTheme="majorBidi" w:cstheme="majorBidi"/>
          <w:sz w:val="24"/>
          <w:szCs w:val="24"/>
        </w:rPr>
      </w:pPr>
      <w:r w:rsidRPr="009B4CEB">
        <w:rPr>
          <w:rFonts w:asciiTheme="majorBidi" w:hAnsiTheme="majorBidi" w:cstheme="majorBidi"/>
          <w:sz w:val="24"/>
          <w:szCs w:val="24"/>
        </w:rPr>
        <w:t xml:space="preserve">Okabe, A. (2025). Japan’s disappearing part-time high schools: A report from Nagano. </w:t>
      </w:r>
    </w:p>
    <w:p w14:paraId="3C21BD72" w14:textId="0119732D" w:rsidR="00FE13B9" w:rsidRPr="00D86CCD" w:rsidRDefault="00000000" w:rsidP="009B4CEB">
      <w:pPr>
        <w:ind w:firstLine="840"/>
        <w:rPr>
          <w:rFonts w:asciiTheme="majorBidi" w:hAnsiTheme="majorBidi" w:cstheme="majorBidi"/>
          <w:sz w:val="24"/>
          <w:szCs w:val="24"/>
          <w:lang w:val="da-DK"/>
        </w:rPr>
      </w:pPr>
      <w:r w:rsidRPr="00D86CCD">
        <w:rPr>
          <w:rFonts w:asciiTheme="majorBidi" w:hAnsiTheme="majorBidi" w:cstheme="majorBidi"/>
          <w:sz w:val="24"/>
          <w:szCs w:val="24"/>
          <w:lang w:val="da-DK"/>
        </w:rPr>
        <w:t>IAEVG Magazine, August 2025, p. 29.</w:t>
      </w:r>
    </w:p>
    <w:p w14:paraId="28D3F97F" w14:textId="77777777" w:rsidR="009B4CEB" w:rsidRPr="00D86CCD" w:rsidRDefault="00000000" w:rsidP="009B4CEB">
      <w:pPr>
        <w:rPr>
          <w:rFonts w:asciiTheme="majorBidi" w:hAnsiTheme="majorBidi" w:cstheme="majorBidi"/>
          <w:sz w:val="24"/>
          <w:szCs w:val="24"/>
          <w:lang w:val="da-DK"/>
        </w:rPr>
      </w:pPr>
      <w:r w:rsidRPr="00D86CCD">
        <w:rPr>
          <w:rFonts w:asciiTheme="majorBidi" w:hAnsiTheme="majorBidi" w:cstheme="majorBidi"/>
          <w:sz w:val="24"/>
          <w:szCs w:val="24"/>
          <w:lang w:val="da-DK"/>
        </w:rPr>
        <w:t xml:space="preserve">Okabe, A. (2025). Nagano-ken no kōkō saihen keikaku: Teiji-sei kōkō no yakuwari to </w:t>
      </w:r>
    </w:p>
    <w:p w14:paraId="756D93E8" w14:textId="48DEDD13" w:rsidR="00FE13B9" w:rsidRPr="009B4CEB" w:rsidRDefault="00000000" w:rsidP="009B4CEB">
      <w:pPr>
        <w:ind w:left="840"/>
        <w:rPr>
          <w:rFonts w:asciiTheme="majorBidi" w:hAnsiTheme="majorBidi" w:cstheme="majorBidi"/>
          <w:sz w:val="24"/>
          <w:szCs w:val="24"/>
        </w:rPr>
      </w:pPr>
      <w:r w:rsidRPr="009B4CEB">
        <w:rPr>
          <w:rFonts w:asciiTheme="majorBidi" w:hAnsiTheme="majorBidi" w:cstheme="majorBidi"/>
          <w:sz w:val="24"/>
          <w:szCs w:val="24"/>
        </w:rPr>
        <w:t>kanōsei [The high school reorganisation plan in Nagano Prefecture: The role and potential of part-time high schools]. Seisen University Faculty of Human Studies Research Bulletin, 22, 155–166.</w:t>
      </w:r>
    </w:p>
    <w:p w14:paraId="07D00ECA" w14:textId="77777777" w:rsidR="00FE13B9" w:rsidRPr="009B4CEB" w:rsidRDefault="00000000" w:rsidP="009B4CEB">
      <w:pPr>
        <w:rPr>
          <w:rFonts w:asciiTheme="majorBidi" w:hAnsiTheme="majorBidi" w:cstheme="majorBidi"/>
          <w:sz w:val="24"/>
          <w:szCs w:val="24"/>
        </w:rPr>
      </w:pPr>
      <w:r w:rsidRPr="009B4CEB">
        <w:rPr>
          <w:rFonts w:asciiTheme="majorBidi" w:hAnsiTheme="majorBidi" w:cstheme="majorBidi"/>
          <w:sz w:val="24"/>
          <w:szCs w:val="24"/>
        </w:rPr>
        <w:t>Sen, A. (1992). Inequality reexamined. Oxford University Press.</w:t>
      </w:r>
    </w:p>
    <w:p w14:paraId="53D41740" w14:textId="67173D93" w:rsidR="00FE13B9" w:rsidRPr="009B4CEB" w:rsidRDefault="00000000" w:rsidP="009B4CEB">
      <w:pPr>
        <w:ind w:left="840"/>
        <w:rPr>
          <w:rFonts w:asciiTheme="majorBidi" w:hAnsiTheme="majorBidi" w:cstheme="majorBidi"/>
          <w:sz w:val="24"/>
          <w:szCs w:val="24"/>
        </w:rPr>
      </w:pPr>
      <w:r w:rsidRPr="009B4CEB">
        <w:rPr>
          <w:rFonts w:asciiTheme="majorBidi" w:hAnsiTheme="majorBidi" w:cstheme="majorBidi"/>
          <w:sz w:val="24"/>
          <w:szCs w:val="24"/>
          <w:lang w:val="fi-FI"/>
        </w:rPr>
        <w:t xml:space="preserve">Toiviainen, H., Hyytia, J., &amp; Kuusipalo, P. (2020). </w:t>
      </w:r>
      <w:r w:rsidRPr="009B4CEB">
        <w:rPr>
          <w:rFonts w:asciiTheme="majorBidi" w:hAnsiTheme="majorBidi" w:cstheme="majorBidi"/>
          <w:sz w:val="24"/>
          <w:szCs w:val="24"/>
        </w:rPr>
        <w:t>Inclusion and marginalization of youth (Finland). In Bloomsbury Education and Childhood Studies. Bloomsbury Publishing. https://doi.org/10.5040/9781350996526.020</w:t>
      </w:r>
    </w:p>
    <w:sectPr w:rsidR="00FE13B9" w:rsidRPr="009B4CE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3240D4"/>
    <w:multiLevelType w:val="hybridMultilevel"/>
    <w:tmpl w:val="6F44EB54"/>
    <w:lvl w:ilvl="0" w:tplc="9A6473F4">
      <w:start w:val="1"/>
      <w:numFmt w:val="bullet"/>
      <w:lvlText w:val="●"/>
      <w:lvlJc w:val="left"/>
      <w:pPr>
        <w:ind w:left="720" w:hanging="360"/>
      </w:pPr>
    </w:lvl>
    <w:lvl w:ilvl="1" w:tplc="B8CC125C">
      <w:start w:val="1"/>
      <w:numFmt w:val="bullet"/>
      <w:lvlText w:val="○"/>
      <w:lvlJc w:val="left"/>
      <w:pPr>
        <w:ind w:left="1440" w:hanging="360"/>
      </w:pPr>
    </w:lvl>
    <w:lvl w:ilvl="2" w:tplc="ACCC81B6">
      <w:start w:val="1"/>
      <w:numFmt w:val="bullet"/>
      <w:lvlText w:val="■"/>
      <w:lvlJc w:val="left"/>
      <w:pPr>
        <w:ind w:left="2160" w:hanging="360"/>
      </w:pPr>
    </w:lvl>
    <w:lvl w:ilvl="3" w:tplc="CB2CEE12">
      <w:start w:val="1"/>
      <w:numFmt w:val="bullet"/>
      <w:lvlText w:val="●"/>
      <w:lvlJc w:val="left"/>
      <w:pPr>
        <w:ind w:left="2880" w:hanging="360"/>
      </w:pPr>
    </w:lvl>
    <w:lvl w:ilvl="4" w:tplc="A6A0F058">
      <w:start w:val="1"/>
      <w:numFmt w:val="bullet"/>
      <w:lvlText w:val="○"/>
      <w:lvlJc w:val="left"/>
      <w:pPr>
        <w:ind w:left="3600" w:hanging="360"/>
      </w:pPr>
    </w:lvl>
    <w:lvl w:ilvl="5" w:tplc="FD9E396C">
      <w:start w:val="1"/>
      <w:numFmt w:val="bullet"/>
      <w:lvlText w:val="■"/>
      <w:lvlJc w:val="left"/>
      <w:pPr>
        <w:ind w:left="4320" w:hanging="360"/>
      </w:pPr>
    </w:lvl>
    <w:lvl w:ilvl="6" w:tplc="760E8B04">
      <w:start w:val="1"/>
      <w:numFmt w:val="bullet"/>
      <w:lvlText w:val="●"/>
      <w:lvlJc w:val="left"/>
      <w:pPr>
        <w:ind w:left="5040" w:hanging="360"/>
      </w:pPr>
    </w:lvl>
    <w:lvl w:ilvl="7" w:tplc="B3983EB6">
      <w:start w:val="1"/>
      <w:numFmt w:val="bullet"/>
      <w:lvlText w:val="●"/>
      <w:lvlJc w:val="left"/>
      <w:pPr>
        <w:ind w:left="5760" w:hanging="360"/>
      </w:pPr>
    </w:lvl>
    <w:lvl w:ilvl="8" w:tplc="3BE64AC8">
      <w:start w:val="1"/>
      <w:numFmt w:val="bullet"/>
      <w:lvlText w:val="●"/>
      <w:lvlJc w:val="left"/>
      <w:pPr>
        <w:ind w:left="6480" w:hanging="360"/>
      </w:pPr>
    </w:lvl>
  </w:abstractNum>
  <w:num w:numId="1" w16cid:durableId="18854835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isplayBackgroundShape/>
  <w:bordersDoNotSurroundHeader/>
  <w:bordersDoNotSurroundFooter/>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3B9"/>
    <w:rsid w:val="00096C87"/>
    <w:rsid w:val="005C6B9A"/>
    <w:rsid w:val="00645C98"/>
    <w:rsid w:val="00732C91"/>
    <w:rsid w:val="009B4CEB"/>
    <w:rsid w:val="00D86CCD"/>
    <w:rsid w:val="00FE13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24D2DA3"/>
  <w15:docId w15:val="{CC229EB7-CAE7-D44A-9E95-AAF464EC2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character" w:styleId="ac">
    <w:name w:val="Unresolved Mention"/>
    <w:basedOn w:val="a0"/>
    <w:uiPriority w:val="99"/>
    <w:semiHidden/>
    <w:unhideWhenUsed/>
    <w:rsid w:val="009B4C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3271</Words>
  <Characters>20680</Characters>
  <Application>Microsoft Office Word</Application>
  <DocSecurity>0</DocSecurity>
  <Lines>313</Lines>
  <Paragraphs>64</Paragraphs>
  <ScaleCrop>false</ScaleCrop>
  <Company/>
  <LinksUpToDate>false</LinksUpToDate>
  <CharactersWithSpaces>23887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敦 岡部</cp:lastModifiedBy>
  <cp:revision>6</cp:revision>
  <dcterms:created xsi:type="dcterms:W3CDTF">2026-04-12T12:36:00Z</dcterms:created>
  <dcterms:modified xsi:type="dcterms:W3CDTF">2026-04-12T12:55:00Z</dcterms:modified>
</cp:coreProperties>
</file>