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03466F" w14:textId="34D237AF" w:rsidR="00A21434" w:rsidRPr="001D7494" w:rsidRDefault="005B2724">
      <w:pPr>
        <w:spacing w:after="80"/>
        <w:rPr>
          <w:rFonts w:ascii="Times New Roman" w:hAnsi="Times New Roman" w:cs="Times New Roman"/>
          <w:b/>
        </w:rPr>
      </w:pPr>
      <w:r w:rsidRPr="001D7494">
        <w:rPr>
          <w:rFonts w:ascii="Times New Roman" w:hAnsi="Times New Roman" w:cs="Times New Roman"/>
          <w:b/>
          <w:color w:val="555555"/>
          <w:sz w:val="22"/>
          <w:szCs w:val="22"/>
        </w:rPr>
        <w:t xml:space="preserve">IAEVG World Conference </w:t>
      </w:r>
      <w:r w:rsidR="001D7494" w:rsidRPr="001D7494">
        <w:rPr>
          <w:rFonts w:ascii="Times New Roman" w:hAnsi="Times New Roman" w:cs="Times New Roman"/>
          <w:b/>
          <w:color w:val="555555"/>
          <w:sz w:val="22"/>
          <w:szCs w:val="22"/>
        </w:rPr>
        <w:t>2026 | New</w:t>
      </w:r>
      <w:r w:rsidRPr="001D7494">
        <w:rPr>
          <w:rFonts w:ascii="Times New Roman" w:hAnsi="Times New Roman" w:cs="Times New Roman"/>
          <w:b/>
          <w:color w:val="555555"/>
          <w:sz w:val="22"/>
          <w:szCs w:val="22"/>
        </w:rPr>
        <w:t xml:space="preserve"> Zealand</w:t>
      </w:r>
    </w:p>
    <w:p w14:paraId="16B1CB98" w14:textId="77777777" w:rsidR="00A21434" w:rsidRPr="001D7494" w:rsidRDefault="005B2724">
      <w:pPr>
        <w:spacing w:after="80"/>
        <w:rPr>
          <w:rFonts w:ascii="Times New Roman" w:hAnsi="Times New Roman" w:cs="Times New Roman"/>
        </w:rPr>
      </w:pPr>
      <w:r w:rsidRPr="001D7494">
        <w:rPr>
          <w:rFonts w:ascii="Times New Roman" w:hAnsi="Times New Roman" w:cs="Times New Roman"/>
          <w:color w:val="555555"/>
          <w:sz w:val="22"/>
          <w:szCs w:val="22"/>
        </w:rPr>
        <w:t>Workshop of Practices (60 minutes, Experiential and Interactive)</w:t>
      </w:r>
    </w:p>
    <w:p w14:paraId="3DDC53B2" w14:textId="77777777" w:rsidR="00A21434" w:rsidRPr="001D7494" w:rsidRDefault="005B2724">
      <w:pPr>
        <w:spacing w:after="80"/>
        <w:rPr>
          <w:rFonts w:ascii="Times New Roman" w:hAnsi="Times New Roman" w:cs="Times New Roman"/>
        </w:rPr>
      </w:pPr>
      <w:r w:rsidRPr="001D7494">
        <w:rPr>
          <w:rFonts w:ascii="Times New Roman" w:hAnsi="Times New Roman" w:cs="Times New Roman"/>
          <w:i/>
          <w:iCs/>
          <w:color w:val="555555"/>
          <w:sz w:val="22"/>
          <w:szCs w:val="22"/>
        </w:rPr>
        <w:t xml:space="preserve">Subtheme: </w:t>
      </w:r>
      <w:proofErr w:type="spellStart"/>
      <w:r w:rsidRPr="001D7494">
        <w:rPr>
          <w:rFonts w:ascii="Times New Roman" w:hAnsi="Times New Roman" w:cs="Times New Roman"/>
          <w:i/>
          <w:iCs/>
          <w:color w:val="555555"/>
          <w:sz w:val="22"/>
          <w:szCs w:val="22"/>
        </w:rPr>
        <w:t>Tupuānuku</w:t>
      </w:r>
      <w:proofErr w:type="spellEnd"/>
      <w:r w:rsidRPr="001D7494">
        <w:rPr>
          <w:rFonts w:ascii="Times New Roman" w:hAnsi="Times New Roman" w:cs="Times New Roman"/>
          <w:i/>
          <w:iCs/>
          <w:color w:val="555555"/>
          <w:sz w:val="22"/>
          <w:szCs w:val="22"/>
        </w:rPr>
        <w:t xml:space="preserve"> — Nurturing Best Practices from the Ground Up</w:t>
      </w:r>
    </w:p>
    <w:p w14:paraId="4883A676" w14:textId="77777777" w:rsidR="00A21434" w:rsidRPr="001D7494" w:rsidRDefault="005B2724" w:rsidP="001D7494">
      <w:pPr>
        <w:rPr>
          <w:rFonts w:ascii="Times New Roman" w:hAnsi="Times New Roman" w:cs="Times New Roman"/>
        </w:rPr>
      </w:pPr>
      <w:r w:rsidRPr="001D7494">
        <w:rPr>
          <w:rFonts w:ascii="Times New Roman" w:hAnsi="Times New Roman" w:cs="Times New Roman"/>
        </w:rPr>
        <w:t>Authors: Dr Mercy Maina &amp; Margaret Waithaka, Career Guidance Institute, Nairobi, Kenya</w:t>
      </w:r>
    </w:p>
    <w:p w14:paraId="1FBC27EA" w14:textId="77777777" w:rsidR="001D7494" w:rsidRPr="001D7494" w:rsidRDefault="001D7494" w:rsidP="001D7494">
      <w:pPr>
        <w:rPr>
          <w:rFonts w:ascii="Times New Roman" w:hAnsi="Times New Roman" w:cs="Times New Roman"/>
          <w:i/>
          <w:iCs/>
        </w:rPr>
      </w:pPr>
    </w:p>
    <w:p w14:paraId="47C6DBAF" w14:textId="77777777" w:rsidR="001D7494" w:rsidRPr="001D7494" w:rsidRDefault="001D7494" w:rsidP="001D7494">
      <w:pPr>
        <w:rPr>
          <w:rFonts w:ascii="Times New Roman" w:hAnsi="Times New Roman" w:cs="Times New Roman"/>
          <w:i/>
          <w:iCs/>
        </w:rPr>
      </w:pPr>
    </w:p>
    <w:p w14:paraId="76B4226F" w14:textId="1053F51B" w:rsidR="00A21434" w:rsidRPr="001D7494" w:rsidRDefault="005B2724" w:rsidP="001D7494">
      <w:pPr>
        <w:rPr>
          <w:rFonts w:ascii="Times New Roman" w:hAnsi="Times New Roman" w:cs="Times New Roman"/>
          <w:b/>
        </w:rPr>
      </w:pPr>
      <w:r w:rsidRPr="001D7494">
        <w:rPr>
          <w:rFonts w:ascii="Times New Roman" w:hAnsi="Times New Roman" w:cs="Times New Roman"/>
          <w:b/>
        </w:rPr>
        <w:t>Career Guidance in Fragile Contexts: Institutional Embedding, Inclusion, and Scalability — A Kenya Case Study</w:t>
      </w:r>
    </w:p>
    <w:p w14:paraId="7FEED004" w14:textId="77777777" w:rsidR="001D7494" w:rsidRPr="001D7494" w:rsidRDefault="001D7494" w:rsidP="001D7494">
      <w:pPr>
        <w:rPr>
          <w:rFonts w:ascii="Times New Roman" w:hAnsi="Times New Roman" w:cs="Times New Roman"/>
          <w:b/>
        </w:rPr>
      </w:pPr>
    </w:p>
    <w:p w14:paraId="54F63814" w14:textId="77777777" w:rsidR="00BB2502" w:rsidRDefault="001D7494">
      <w:pPr>
        <w:spacing w:after="240"/>
        <w:jc w:val="both"/>
        <w:rPr>
          <w:rFonts w:ascii="Times New Roman" w:hAnsi="Times New Roman" w:cs="Times New Roman"/>
        </w:rPr>
      </w:pPr>
      <w:r w:rsidRPr="001D7494">
        <w:rPr>
          <w:rFonts w:ascii="Times New Roman" w:hAnsi="Times New Roman" w:cs="Times New Roman"/>
        </w:rPr>
        <w:t>In Kenya’s fragile counties of Turkana and Garissa, youth unemployment is not merely an economic statistic; it is a structural challenge shaped by displacement, geographic isolation, limited economic opportunities, and decades of underinvestment.</w:t>
      </w:r>
      <w:r>
        <w:rPr>
          <w:rFonts w:ascii="Times New Roman" w:hAnsi="Times New Roman" w:cs="Times New Roman"/>
        </w:rPr>
        <w:t xml:space="preserve"> </w:t>
      </w:r>
      <w:r w:rsidR="005B2724" w:rsidRPr="001D7494">
        <w:rPr>
          <w:rFonts w:ascii="Times New Roman" w:hAnsi="Times New Roman" w:cs="Times New Roman"/>
        </w:rPr>
        <w:t xml:space="preserve">Young people in these settings face compounding barriers: gender inequality, lack of documentation, limited digital access, and a near-total absence of career guidance infrastructure. With national youth unemployment persistently above 35% and far higher in fragile and refugee-hosting counties, conventional employment service models designed for stable urban contexts consistently fail to reach those who need them most. </w:t>
      </w:r>
      <w:r w:rsidR="00BB2502" w:rsidRPr="00BB2502">
        <w:rPr>
          <w:rFonts w:ascii="Times New Roman" w:hAnsi="Times New Roman" w:cs="Times New Roman"/>
        </w:rPr>
        <w:t>Yet career guidance gaps in fragile settings are not unavoidable; they can be addressed through evidence-based solutions.</w:t>
      </w:r>
    </w:p>
    <w:p w14:paraId="6837A746" w14:textId="2C6656C6" w:rsidR="00A21434" w:rsidRPr="001D7494" w:rsidRDefault="00BB2502">
      <w:pPr>
        <w:spacing w:after="240"/>
        <w:jc w:val="both"/>
        <w:rPr>
          <w:rFonts w:ascii="Times New Roman" w:hAnsi="Times New Roman" w:cs="Times New Roman"/>
        </w:rPr>
      </w:pPr>
      <w:r w:rsidRPr="00BB2502">
        <w:rPr>
          <w:rFonts w:ascii="Times New Roman" w:hAnsi="Times New Roman" w:cs="Times New Roman"/>
        </w:rPr>
        <w:t xml:space="preserve">This workshop presents a practitioner-researcher case study of the Rural Employment Services (RES) </w:t>
      </w:r>
      <w:proofErr w:type="spellStart"/>
      <w:r w:rsidRPr="00BB2502">
        <w:rPr>
          <w:rFonts w:ascii="Times New Roman" w:hAnsi="Times New Roman" w:cs="Times New Roman"/>
        </w:rPr>
        <w:t>programme</w:t>
      </w:r>
      <w:proofErr w:type="spellEnd"/>
      <w:r w:rsidRPr="00BB2502">
        <w:rPr>
          <w:rFonts w:ascii="Times New Roman" w:hAnsi="Times New Roman" w:cs="Times New Roman"/>
        </w:rPr>
        <w:t xml:space="preserve">, implemented by the Career Guidance Institute (CGI) under the ILO PROSPECTS Kenya </w:t>
      </w:r>
      <w:proofErr w:type="spellStart"/>
      <w:r w:rsidRPr="00BB2502">
        <w:rPr>
          <w:rFonts w:ascii="Times New Roman" w:hAnsi="Times New Roman" w:cs="Times New Roman"/>
        </w:rPr>
        <w:t>Programme</w:t>
      </w:r>
      <w:proofErr w:type="spellEnd"/>
      <w:r w:rsidRPr="00BB2502">
        <w:rPr>
          <w:rFonts w:ascii="Times New Roman" w:hAnsi="Times New Roman" w:cs="Times New Roman"/>
        </w:rPr>
        <w:t xml:space="preserve"> (2024–2025). Drawing on the ILO Job Search Club (JSC) methodology, for which CGI holds the sole Master Trainer certification in Kenya, the </w:t>
      </w:r>
      <w:proofErr w:type="spellStart"/>
      <w:r w:rsidRPr="00BB2502">
        <w:rPr>
          <w:rFonts w:ascii="Times New Roman" w:hAnsi="Times New Roman" w:cs="Times New Roman"/>
        </w:rPr>
        <w:t>programme</w:t>
      </w:r>
      <w:proofErr w:type="spellEnd"/>
      <w:r w:rsidRPr="00BB2502">
        <w:rPr>
          <w:rFonts w:ascii="Times New Roman" w:hAnsi="Times New Roman" w:cs="Times New Roman"/>
        </w:rPr>
        <w:t xml:space="preserve"> provided career guidance and transition support across four pathways: formal employment, digital work, entrepreneurship, and non-formal apprenticeships</w:t>
      </w:r>
      <w:r w:rsidR="005B2724" w:rsidRPr="001D7494">
        <w:rPr>
          <w:rFonts w:ascii="Times New Roman" w:hAnsi="Times New Roman" w:cs="Times New Roman"/>
        </w:rPr>
        <w:t>. A cascade model trained implementing partners and community ambassadors to extend reach beyond the funded team, embedding sustainability from the outset. Deliberate inclusion strategies wove women-only sessions, refugee-targeted outreach, and disability-responsive design throughout every stage of delivery.</w:t>
      </w:r>
    </w:p>
    <w:p w14:paraId="3A190A10" w14:textId="020558BC" w:rsidR="00A21434" w:rsidRPr="001D7494" w:rsidRDefault="00BB2502">
      <w:pPr>
        <w:spacing w:after="240"/>
        <w:jc w:val="both"/>
        <w:rPr>
          <w:rFonts w:ascii="Times New Roman" w:hAnsi="Times New Roman" w:cs="Times New Roman"/>
        </w:rPr>
      </w:pPr>
      <w:r w:rsidRPr="00BB2502">
        <w:rPr>
          <w:rFonts w:ascii="Times New Roman" w:hAnsi="Times New Roman" w:cs="Times New Roman"/>
        </w:rPr>
        <w:t xml:space="preserve">The </w:t>
      </w:r>
      <w:proofErr w:type="spellStart"/>
      <w:r w:rsidRPr="00BB2502">
        <w:rPr>
          <w:rFonts w:ascii="Times New Roman" w:hAnsi="Times New Roman" w:cs="Times New Roman"/>
        </w:rPr>
        <w:t>programme</w:t>
      </w:r>
      <w:proofErr w:type="spellEnd"/>
      <w:r w:rsidRPr="00BB2502">
        <w:rPr>
          <w:rFonts w:ascii="Times New Roman" w:hAnsi="Times New Roman" w:cs="Times New Roman"/>
        </w:rPr>
        <w:t xml:space="preserve"> reached 6,189 registered job seekers, comprising 51% females, 60% refugees, and 2% persons with disabilities, and achieved an overall transition rate of 62%, generating 2,122 improved livelihood outcomes and 433 non-formal apprenticeship opportunities.</w:t>
      </w:r>
      <w:r>
        <w:rPr>
          <w:rFonts w:ascii="Times New Roman" w:hAnsi="Times New Roman" w:cs="Times New Roman"/>
        </w:rPr>
        <w:t xml:space="preserve"> </w:t>
      </w:r>
      <w:r w:rsidR="005B2724" w:rsidRPr="001D7494">
        <w:rPr>
          <w:rFonts w:ascii="Times New Roman" w:hAnsi="Times New Roman" w:cs="Times New Roman"/>
        </w:rPr>
        <w:t>Two hundred</w:t>
      </w:r>
      <w:r w:rsidR="00044486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="005B2724" w:rsidRPr="001D7494">
        <w:rPr>
          <w:rFonts w:ascii="Times New Roman" w:hAnsi="Times New Roman" w:cs="Times New Roman"/>
        </w:rPr>
        <w:t>implementers were trained, 271 employers' capacity built, and permanent coordination offices established in both counties. In Garissa, the systemic impact extended beyond the funded period: Refugee-Led Organizations subsequently attracted independent funding and embedded RES activities into their own programming, creating a sustainability multiplier that demonstrates what institutionally embedded career guidance looks like when it works. This outcome is consistent with the core proposition of the Systems Theory Framework</w:t>
      </w:r>
      <w:r>
        <w:rPr>
          <w:rFonts w:ascii="Times New Roman" w:hAnsi="Times New Roman" w:cs="Times New Roman"/>
        </w:rPr>
        <w:t xml:space="preserve">, </w:t>
      </w:r>
      <w:r w:rsidR="005B2724" w:rsidRPr="001D7494">
        <w:rPr>
          <w:rFonts w:ascii="Times New Roman" w:hAnsi="Times New Roman" w:cs="Times New Roman"/>
        </w:rPr>
        <w:t>that practitioners who design for systems, not just individuals, generate impact that outlasts their direct involvement (McMahon &amp; Patton, 2006).</w:t>
      </w:r>
    </w:p>
    <w:p w14:paraId="6DA3D549" w14:textId="77777777" w:rsidR="00A21434" w:rsidRPr="001D7494" w:rsidRDefault="005B2724">
      <w:pPr>
        <w:spacing w:after="240"/>
        <w:jc w:val="both"/>
        <w:rPr>
          <w:rFonts w:ascii="Times New Roman" w:hAnsi="Times New Roman" w:cs="Times New Roman"/>
        </w:rPr>
      </w:pPr>
      <w:r w:rsidRPr="001D7494">
        <w:rPr>
          <w:rFonts w:ascii="Times New Roman" w:hAnsi="Times New Roman" w:cs="Times New Roman"/>
        </w:rPr>
        <w:t xml:space="preserve">The workshop is grounded in three frameworks: the Systems Theory Framework (McMahon &amp; Patton, 2006), which positions practitioners as systems influencers operating across interconnected community, </w:t>
      </w:r>
      <w:proofErr w:type="spellStart"/>
      <w:r w:rsidRPr="001D7494">
        <w:rPr>
          <w:rFonts w:ascii="Times New Roman" w:hAnsi="Times New Roman" w:cs="Times New Roman"/>
        </w:rPr>
        <w:t>labour</w:t>
      </w:r>
      <w:proofErr w:type="spellEnd"/>
      <w:r w:rsidRPr="001D7494">
        <w:rPr>
          <w:rFonts w:ascii="Times New Roman" w:hAnsi="Times New Roman" w:cs="Times New Roman"/>
        </w:rPr>
        <w:t xml:space="preserve"> market, and policy contexts; the Life Design paradigm (Savickas et al., 2009), which informs a person-</w:t>
      </w:r>
      <w:proofErr w:type="spellStart"/>
      <w:r w:rsidRPr="001D7494">
        <w:rPr>
          <w:rFonts w:ascii="Times New Roman" w:hAnsi="Times New Roman" w:cs="Times New Roman"/>
        </w:rPr>
        <w:t>centred</w:t>
      </w:r>
      <w:proofErr w:type="spellEnd"/>
      <w:r w:rsidRPr="001D7494">
        <w:rPr>
          <w:rFonts w:ascii="Times New Roman" w:hAnsi="Times New Roman" w:cs="Times New Roman"/>
        </w:rPr>
        <w:t xml:space="preserve">, meaning-making approach to employability for displaced and </w:t>
      </w:r>
      <w:proofErr w:type="spellStart"/>
      <w:r w:rsidRPr="001D7494">
        <w:rPr>
          <w:rFonts w:ascii="Times New Roman" w:hAnsi="Times New Roman" w:cs="Times New Roman"/>
        </w:rPr>
        <w:t>marginalised</w:t>
      </w:r>
      <w:proofErr w:type="spellEnd"/>
      <w:r w:rsidRPr="001D7494">
        <w:rPr>
          <w:rFonts w:ascii="Times New Roman" w:hAnsi="Times New Roman" w:cs="Times New Roman"/>
        </w:rPr>
        <w:t xml:space="preserve"> youth; and the IAEVG International Competencies for Guidance Practitioners (2003), which provided the professional benchmarks against which practitioner training and </w:t>
      </w:r>
      <w:proofErr w:type="spellStart"/>
      <w:r w:rsidRPr="001D7494">
        <w:rPr>
          <w:rFonts w:ascii="Times New Roman" w:hAnsi="Times New Roman" w:cs="Times New Roman"/>
        </w:rPr>
        <w:t>programme</w:t>
      </w:r>
      <w:proofErr w:type="spellEnd"/>
      <w:r w:rsidRPr="001D7494">
        <w:rPr>
          <w:rFonts w:ascii="Times New Roman" w:hAnsi="Times New Roman" w:cs="Times New Roman"/>
        </w:rPr>
        <w:t xml:space="preserve"> quality were measured.</w:t>
      </w:r>
    </w:p>
    <w:p w14:paraId="5C6D0F9E" w14:textId="77777777" w:rsidR="00BB2502" w:rsidRDefault="005B2724" w:rsidP="00BB2502">
      <w:pPr>
        <w:spacing w:after="240"/>
        <w:jc w:val="both"/>
        <w:rPr>
          <w:rFonts w:ascii="Times New Roman" w:hAnsi="Times New Roman" w:cs="Times New Roman"/>
        </w:rPr>
      </w:pPr>
      <w:r w:rsidRPr="001D7494">
        <w:rPr>
          <w:rFonts w:ascii="Times New Roman" w:hAnsi="Times New Roman" w:cs="Times New Roman"/>
        </w:rPr>
        <w:lastRenderedPageBreak/>
        <w:t xml:space="preserve">Aligned with the conference's </w:t>
      </w:r>
      <w:proofErr w:type="spellStart"/>
      <w:r w:rsidRPr="001D7494">
        <w:rPr>
          <w:rFonts w:ascii="Times New Roman" w:hAnsi="Times New Roman" w:cs="Times New Roman"/>
        </w:rPr>
        <w:t>Tupuānuku</w:t>
      </w:r>
      <w:proofErr w:type="spellEnd"/>
      <w:r w:rsidRPr="001D7494">
        <w:rPr>
          <w:rFonts w:ascii="Times New Roman" w:hAnsi="Times New Roman" w:cs="Times New Roman"/>
        </w:rPr>
        <w:t xml:space="preserve"> spirit of nurturing best practices from the ground up, this workshop is experiential and participatory.</w:t>
      </w:r>
      <w:r w:rsidR="00BB2502" w:rsidRPr="00BB2502">
        <w:t xml:space="preserve"> </w:t>
      </w:r>
      <w:r w:rsidR="00BB2502" w:rsidRPr="00BB2502">
        <w:rPr>
          <w:rFonts w:ascii="Times New Roman" w:hAnsi="Times New Roman" w:cs="Times New Roman"/>
        </w:rPr>
        <w:t xml:space="preserve">Following a case presentation based on an individual participant’s journey and </w:t>
      </w:r>
      <w:proofErr w:type="spellStart"/>
      <w:r w:rsidR="00BB2502" w:rsidRPr="00BB2502">
        <w:rPr>
          <w:rFonts w:ascii="Times New Roman" w:hAnsi="Times New Roman" w:cs="Times New Roman"/>
        </w:rPr>
        <w:t>programme</w:t>
      </w:r>
      <w:proofErr w:type="spellEnd"/>
      <w:r w:rsidR="00BB2502" w:rsidRPr="00BB2502">
        <w:rPr>
          <w:rFonts w:ascii="Times New Roman" w:hAnsi="Times New Roman" w:cs="Times New Roman"/>
        </w:rPr>
        <w:t>-wide results, attendees will work in small, internationally mixed groups to apply the four-pathway JSC framework to fragile-context scenarios from their own regions, including the Pacific, South Asia, and European refugee integration contexts. This collaborative approach is designed to generate shared insight rather than simply disseminate information.</w:t>
      </w:r>
      <w:r w:rsidR="00BB2502">
        <w:rPr>
          <w:rFonts w:ascii="Times New Roman" w:hAnsi="Times New Roman" w:cs="Times New Roman"/>
        </w:rPr>
        <w:t xml:space="preserve"> </w:t>
      </w:r>
      <w:r w:rsidRPr="001D7494">
        <w:rPr>
          <w:rFonts w:ascii="Times New Roman" w:hAnsi="Times New Roman" w:cs="Times New Roman"/>
        </w:rPr>
        <w:t>A facilitated plenary harvests cross-context threads, and each participant leaves with a transferable framework card and a personal commitment prompt: one concrete action they will take in their own setting. No prior knowledge of Kenya or the JSC methodology is required.</w:t>
      </w:r>
    </w:p>
    <w:p w14:paraId="5D91DA50" w14:textId="66DD8CBD" w:rsidR="00BB2502" w:rsidRPr="00BB2502" w:rsidRDefault="00BB2502" w:rsidP="00BB2502">
      <w:pPr>
        <w:jc w:val="both"/>
        <w:rPr>
          <w:rFonts w:ascii="Times New Roman" w:hAnsi="Times New Roman" w:cs="Times New Roman"/>
        </w:rPr>
      </w:pPr>
      <w:r w:rsidRPr="001D7494">
        <w:rPr>
          <w:rFonts w:ascii="Times New Roman" w:hAnsi="Times New Roman" w:cs="Times New Roman"/>
          <w:i/>
          <w:iCs/>
        </w:rPr>
        <w:t xml:space="preserve">Keywords: career guidance; fragile contexts; institutional embedding; inclusion; rural employment </w:t>
      </w:r>
    </w:p>
    <w:p w14:paraId="2AE2E5AD" w14:textId="77777777" w:rsidR="00BB2502" w:rsidRPr="001D7494" w:rsidRDefault="00BB2502">
      <w:pPr>
        <w:spacing w:after="480"/>
        <w:jc w:val="both"/>
        <w:rPr>
          <w:rFonts w:ascii="Times New Roman" w:hAnsi="Times New Roman" w:cs="Times New Roman"/>
        </w:rPr>
      </w:pPr>
    </w:p>
    <w:p w14:paraId="0A2FBF97" w14:textId="354B1CA8" w:rsidR="00A21434" w:rsidRPr="001D7494" w:rsidRDefault="00A21434">
      <w:pPr>
        <w:spacing w:after="120"/>
        <w:ind w:left="720" w:hanging="720"/>
        <w:rPr>
          <w:rFonts w:ascii="Times New Roman" w:hAnsi="Times New Roman" w:cs="Times New Roman"/>
        </w:rPr>
      </w:pPr>
    </w:p>
    <w:sectPr w:rsidR="00A21434" w:rsidRPr="001D7494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C2F8F"/>
    <w:multiLevelType w:val="hybridMultilevel"/>
    <w:tmpl w:val="80444EF6"/>
    <w:lvl w:ilvl="0" w:tplc="C49C1EA0">
      <w:start w:val="1"/>
      <w:numFmt w:val="bullet"/>
      <w:lvlText w:val="●"/>
      <w:lvlJc w:val="left"/>
      <w:pPr>
        <w:ind w:left="720" w:hanging="360"/>
      </w:pPr>
    </w:lvl>
    <w:lvl w:ilvl="1" w:tplc="34286B9E">
      <w:start w:val="1"/>
      <w:numFmt w:val="bullet"/>
      <w:lvlText w:val="○"/>
      <w:lvlJc w:val="left"/>
      <w:pPr>
        <w:ind w:left="1440" w:hanging="360"/>
      </w:pPr>
    </w:lvl>
    <w:lvl w:ilvl="2" w:tplc="28C20D34">
      <w:start w:val="1"/>
      <w:numFmt w:val="bullet"/>
      <w:lvlText w:val="■"/>
      <w:lvlJc w:val="left"/>
      <w:pPr>
        <w:ind w:left="2160" w:hanging="360"/>
      </w:pPr>
    </w:lvl>
    <w:lvl w:ilvl="3" w:tplc="D2A466E4">
      <w:start w:val="1"/>
      <w:numFmt w:val="bullet"/>
      <w:lvlText w:val="●"/>
      <w:lvlJc w:val="left"/>
      <w:pPr>
        <w:ind w:left="2880" w:hanging="360"/>
      </w:pPr>
    </w:lvl>
    <w:lvl w:ilvl="4" w:tplc="9D02FEE8">
      <w:start w:val="1"/>
      <w:numFmt w:val="bullet"/>
      <w:lvlText w:val="○"/>
      <w:lvlJc w:val="left"/>
      <w:pPr>
        <w:ind w:left="3600" w:hanging="360"/>
      </w:pPr>
    </w:lvl>
    <w:lvl w:ilvl="5" w:tplc="9EA46F76">
      <w:start w:val="1"/>
      <w:numFmt w:val="bullet"/>
      <w:lvlText w:val="■"/>
      <w:lvlJc w:val="left"/>
      <w:pPr>
        <w:ind w:left="4320" w:hanging="360"/>
      </w:pPr>
    </w:lvl>
    <w:lvl w:ilvl="6" w:tplc="7E82C40E">
      <w:start w:val="1"/>
      <w:numFmt w:val="bullet"/>
      <w:lvlText w:val="●"/>
      <w:lvlJc w:val="left"/>
      <w:pPr>
        <w:ind w:left="5040" w:hanging="360"/>
      </w:pPr>
    </w:lvl>
    <w:lvl w:ilvl="7" w:tplc="F6420030">
      <w:start w:val="1"/>
      <w:numFmt w:val="bullet"/>
      <w:lvlText w:val="●"/>
      <w:lvlJc w:val="left"/>
      <w:pPr>
        <w:ind w:left="5760" w:hanging="360"/>
      </w:pPr>
    </w:lvl>
    <w:lvl w:ilvl="8" w:tplc="A0602F7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434"/>
    <w:rsid w:val="00044486"/>
    <w:rsid w:val="001D7494"/>
    <w:rsid w:val="005B2724"/>
    <w:rsid w:val="008F786D"/>
    <w:rsid w:val="00A21434"/>
    <w:rsid w:val="00BB2502"/>
    <w:rsid w:val="00E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10DBE"/>
  <w15:docId w15:val="{421CF7BE-E23B-40F8-8EEA-3C2C5F983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after="200"/>
      <w:outlineLvl w:val="0"/>
    </w:pPr>
    <w:rPr>
      <w:b/>
      <w:bCs/>
      <w:color w:val="1F3864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4a8cc37-44a9-4887-93c7-9851d95fe25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04C11B64A39B4A932B1E0490CA2340" ma:contentTypeVersion="17" ma:contentTypeDescription="Create a new document." ma:contentTypeScope="" ma:versionID="8b08f348bd3037dc20f2ac58d343c91f">
  <xsd:schema xmlns:xsd="http://www.w3.org/2001/XMLSchema" xmlns:xs="http://www.w3.org/2001/XMLSchema" xmlns:p="http://schemas.microsoft.com/office/2006/metadata/properties" xmlns:ns3="64a8cc37-44a9-4887-93c7-9851d95fe25d" xmlns:ns4="d4261e88-d60e-4f99-9160-6e7da110828e" targetNamespace="http://schemas.microsoft.com/office/2006/metadata/properties" ma:root="true" ma:fieldsID="51a2abaa15f66db01102a5bdde99b432" ns3:_="" ns4:_="">
    <xsd:import namespace="64a8cc37-44a9-4887-93c7-9851d95fe25d"/>
    <xsd:import namespace="d4261e88-d60e-4f99-9160-6e7da11082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SearchProperties" minOccurs="0"/>
                <xsd:element ref="ns3:MediaServiceOCR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a8cc37-44a9-4887-93c7-9851d95fe2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261e88-d60e-4f99-9160-6e7da110828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397678-4A19-4501-8A21-4952D57A04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0B7A24-544E-492A-924F-10FF3966A4AE}">
  <ds:schemaRefs>
    <ds:schemaRef ds:uri="http://purl.org/dc/elements/1.1/"/>
    <ds:schemaRef ds:uri="http://schemas.microsoft.com/office/2006/metadata/properties"/>
    <ds:schemaRef ds:uri="http://purl.org/dc/terms/"/>
    <ds:schemaRef ds:uri="http://purl.org/dc/dcmitype/"/>
    <ds:schemaRef ds:uri="http://www.w3.org/XML/1998/namespace"/>
    <ds:schemaRef ds:uri="http://schemas.microsoft.com/office/infopath/2007/PartnerControls"/>
    <ds:schemaRef ds:uri="d4261e88-d60e-4f99-9160-6e7da110828e"/>
    <ds:schemaRef ds:uri="http://schemas.microsoft.com/office/2006/documentManagement/types"/>
    <ds:schemaRef ds:uri="http://schemas.openxmlformats.org/package/2006/metadata/core-properties"/>
    <ds:schemaRef ds:uri="64a8cc37-44a9-4887-93c7-9851d95fe25d"/>
  </ds:schemaRefs>
</ds:datastoreItem>
</file>

<file path=customXml/itemProps3.xml><?xml version="1.0" encoding="utf-8"?>
<ds:datastoreItem xmlns:ds="http://schemas.openxmlformats.org/officeDocument/2006/customXml" ds:itemID="{B1BACBF7-7239-4611-9594-531A7C1648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a8cc37-44a9-4887-93c7-9851d95fe25d"/>
    <ds:schemaRef ds:uri="d4261e88-d60e-4f99-9160-6e7da11082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668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Mercy  Maina</cp:lastModifiedBy>
  <cp:revision>5</cp:revision>
  <dcterms:created xsi:type="dcterms:W3CDTF">2026-06-10T12:01:00Z</dcterms:created>
  <dcterms:modified xsi:type="dcterms:W3CDTF">2026-06-20T07:50:00Z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0x0101007604C11B64A39B4A932B1E0490CA2340</vt:lpwstr>
  </property>
</Properties>
</file>