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sz w:val="22"/>
          <w:szCs w:val="22"/>
        </w:rPr>
        <w:t xml:space="preserve">Navigating the Future from the Ground Up: Workforce Education and Development in a Jamaican Garbage Dump Community</w:t>
      </w:r>
    </w:p>
    <w:p>
      <w:pPr>
        <w:spacing w:after="60"/>
        <w:jc w:val="center"/>
      </w:pPr>
      <w:r>
        <w:rPr>
          <w:rFonts w:ascii="Calibri" w:cs="Calibri" w:eastAsia="Calibri" w:hAnsi="Calibri"/>
          <w:sz w:val="22"/>
          <w:szCs w:val="22"/>
        </w:rPr>
        <w:t xml:space="preserve">Dr. Sonja Michelle Robinson</w:t>
      </w:r>
    </w:p>
    <w:p>
      <w:pPr>
        <w:spacing w:after="60"/>
        <w:jc w:val="center"/>
      </w:pPr>
      <w:r>
        <w:rPr>
          <w:rFonts w:ascii="Calibri" w:cs="Calibri" w:eastAsia="Calibri" w:hAnsi="Calibri"/>
          <w:sz w:val="22"/>
          <w:szCs w:val="22"/>
        </w:rPr>
        <w:t xml:space="preserve">Country and Programme Director, International Samaritan Jamaica</w:t>
      </w:r>
    </w:p>
    <w:p>
      <w:pPr>
        <w:spacing w:after="60"/>
        <w:jc w:val="center"/>
      </w:pPr>
      <w:r>
        <w:rPr>
          <w:rFonts w:ascii="Calibri" w:cs="Calibri" w:eastAsia="Calibri" w:hAnsi="Calibri"/>
          <w:sz w:val="22"/>
          <w:szCs w:val="22"/>
        </w:rPr>
        <w:t xml:space="preserve">Independent International Workforce Education and Development Consultant</w:t>
      </w:r>
    </w:p>
    <w:p>
      <w:pPr>
        <w:spacing w:after="60"/>
        <w:jc w:val="center"/>
      </w:pPr>
      <w:r>
        <w:rPr>
          <w:rFonts w:ascii="Calibri" w:cs="Calibri" w:eastAsia="Calibri" w:hAnsi="Calibri"/>
          <w:sz w:val="22"/>
          <w:szCs w:val="22"/>
        </w:rPr>
        <w:t xml:space="preserve">Chair, Global Connections Committee, National Career Development Association (NCDA)</w:t>
      </w:r>
    </w:p>
    <w:p>
      <w:pPr>
        <w:spacing w:after="360"/>
        <w:jc w:val="center"/>
      </w:pPr>
      <w:r>
        <w:rPr>
          <w:rFonts w:ascii="Calibri" w:cs="Calibri" w:eastAsia="Calibri" w:hAnsi="Calibri"/>
          <w:sz w:val="22"/>
          <w:szCs w:val="22"/>
        </w:rPr>
        <w:t xml:space="preserve">Ad Hoc International Member, NCDA Credentialing Committee</w:t>
      </w:r>
    </w:p>
    <w:p>
      <w:pPr>
        <w:spacing w:after="120"/>
      </w:pPr>
      <w:r>
        <w:rPr>
          <w:rFonts w:ascii="Calibri" w:cs="Calibri" w:eastAsia="Calibri" w:hAnsi="Calibri"/>
          <w:b/>
          <w:bCs/>
          <w:sz w:val="22"/>
          <w:szCs w:val="22"/>
        </w:rPr>
        <w:t xml:space="preserve">Conference Subtheme: </w:t>
      </w:r>
      <w:r>
        <w:rPr>
          <w:rFonts w:ascii="Calibri" w:cs="Calibri" w:eastAsia="Calibri" w:hAnsi="Calibri"/>
          <w:sz w:val="22"/>
          <w:szCs w:val="22"/>
        </w:rPr>
        <w:t xml:space="preserve">Tupūaānuku — Best Practice: Nurturing Best Practices from the Ground Up</w:t>
      </w:r>
    </w:p>
    <w:p>
      <w:pPr>
        <w:spacing w:after="120"/>
      </w:pPr>
      <w:r>
        <w:rPr>
          <w:rFonts w:ascii="Calibri" w:cs="Calibri" w:eastAsia="Calibri" w:hAnsi="Calibri"/>
          <w:b/>
          <w:bCs/>
          <w:sz w:val="22"/>
          <w:szCs w:val="22"/>
        </w:rPr>
        <w:t xml:space="preserve">Presentation Format: </w:t>
      </w:r>
      <w:r>
        <w:rPr>
          <w:rFonts w:ascii="Calibri" w:cs="Calibri" w:eastAsia="Calibri" w:hAnsi="Calibri"/>
          <w:sz w:val="22"/>
          <w:szCs w:val="22"/>
        </w:rPr>
        <w:t xml:space="preserve">Professional Practices Session (20-minute oral presentation)</w:t>
      </w:r>
    </w:p>
    <w:p>
      <w:pPr>
        <w:spacing w:after="360"/>
      </w:pPr>
      <w:r>
        <w:rPr>
          <w:rFonts w:ascii="Calibri" w:cs="Calibri" w:eastAsia="Calibri" w:hAnsi="Calibri"/>
          <w:b/>
          <w:bCs/>
          <w:sz w:val="22"/>
          <w:szCs w:val="22"/>
        </w:rPr>
        <w:t xml:space="preserve">Presentation Language: </w:t>
      </w:r>
      <w:r>
        <w:rPr>
          <w:rFonts w:ascii="Calibri" w:cs="Calibri" w:eastAsia="Calibri" w:hAnsi="Calibri"/>
          <w:sz w:val="22"/>
          <w:szCs w:val="22"/>
        </w:rPr>
        <w:t xml:space="preserve">English</w:t>
      </w:r>
    </w:p>
    <w:p>
      <w:pPr>
        <w:spacing w:after="180"/>
      </w:pPr>
      <w:r>
        <w:rPr>
          <w:rFonts w:ascii="Calibri" w:cs="Calibri" w:eastAsia="Calibri" w:hAnsi="Calibri"/>
          <w:b/>
          <w:bCs/>
          <w:sz w:val="22"/>
          <w:szCs w:val="22"/>
        </w:rPr>
        <w:t xml:space="preserve">Abstract</w:t>
      </w:r>
    </w:p>
    <w:p>
      <w:pPr>
        <w:spacing w:after="240" w:line="360"/>
        <w:jc w:val="both"/>
      </w:pPr>
      <w:r>
        <w:rPr>
          <w:rFonts w:ascii="Calibri" w:cs="Calibri" w:eastAsia="Calibri" w:hAnsi="Calibri"/>
          <w:sz w:val="22"/>
          <w:szCs w:val="22"/>
        </w:rPr>
        <w:t xml:space="preserve">Globally, career guidance theory and practice have increasingly engaged with the disruptive realities of the Fourth Industrial Revolution (4IR), yet this conversation has largely unfolded within contexts of relative economic stability and institutional infrastructure. This paper asks: what does it mean to navigate the future when you live and work at the margins of the formal economy, in a community built on and around a garbage dump? Drawing on practitioner-led programme development at International Samaritan Jamaica (IntSam JA), a values-driven nonprofit serving families in garbage dump communities, this paper presents the organisation’s Workforce Education and Development (WED) Programme as a practice-grounded, theoretically informed model of community-embedded career guidance responsive to 4IR realities.</w:t>
      </w:r>
    </w:p>
    <w:p>
      <w:pPr>
        <w:spacing w:after="240" w:line="360"/>
        <w:jc w:val="both"/>
      </w:pPr>
      <w:r>
        <w:rPr>
          <w:rFonts w:ascii="Calibri" w:cs="Calibri" w:eastAsia="Calibri" w:hAnsi="Calibri"/>
          <w:sz w:val="22"/>
          <w:szCs w:val="22"/>
        </w:rPr>
        <w:t xml:space="preserve">IntSam JA operates in one of the Caribbean’s most economically and socially marginalised community contexts. Residents face compounding barriers to workforce participation: limited formal education, social stigma, restricted access to digital infrastructure, and the near-total absence of career guidance services. Against this backdrop, the IntSam JA WED Programme was designed not as a remedial intervention but as a transformative framework, one that integrates skills development, digital literacy, social enterprise, and values-based career exploration to equip community members for meaningful participation in an evolving labour market. This paper reflects on the process of designing, piloting, and refining the programme, examining what works, what required adaptation, and why, offering a practitioner’s honest account of innovation in a resource-constrained setting.</w:t>
      </w:r>
    </w:p>
    <w:p>
      <w:pPr>
        <w:spacing w:after="240" w:line="360"/>
        <w:jc w:val="both"/>
      </w:pPr>
      <w:r>
        <w:rPr>
          <w:rFonts w:ascii="Calibri" w:cs="Calibri" w:eastAsia="Calibri" w:hAnsi="Calibri"/>
          <w:sz w:val="22"/>
          <w:szCs w:val="22"/>
        </w:rPr>
        <w:t xml:space="preserve">The programme design is grounded in two theoretical frameworks that bridge scientific rigour and practice utility. Hope-Action Theory (Niles et al., 2020a; Amundson, Niles &amp; Yoon, 2020b) informs the programme’s emphasis on self-reflection, self-clarity, and hopeful visioning as prerequisites for purposeful career action, particularly salient in contexts where structural barriers can suppress aspiration. Social Cognitive Career Theory (Lent, Brown &amp; Hackett, 1994; Wang et al., 2022) provides a lens for examining how self-efficacy beliefs, outcome expectations, and contextual supports and barriers shape career development trajectories among marginalised youth and adults. The paper also draws on recent scholarship on 4IR workforce education in less developed country contexts (Chowdhury, Dey &amp; Cross, 2024) and on the World Economic Forum’s (2025) Future of Jobs Report to situate the programme within current global skill demand projections. The paper demonstrates how these frameworks were applied in practice: translated from theory into programme activities, facilitation approaches, and community engagement strategies.</w:t>
      </w:r>
    </w:p>
    <w:p>
      <w:pPr>
        <w:spacing w:after="240" w:line="360"/>
        <w:jc w:val="both"/>
      </w:pPr>
      <w:r>
        <w:rPr>
          <w:rFonts w:ascii="Calibri" w:cs="Calibri" w:eastAsia="Calibri" w:hAnsi="Calibri"/>
          <w:sz w:val="22"/>
          <w:szCs w:val="22"/>
        </w:rPr>
        <w:t xml:space="preserve">Drawing on programme design documentation, community needs assessment data, and reflective practitioner inquiry, the paper presents the WED Programme’s key components: a competency framework aligned to 4IR skill demands; a social enterprise strand linking income generation to skill development; a creative arts and digital learning pathway; and a parent and community engagement dimension that recognises the family as a unit of career development. Particular attention is given to the programme’s HERE values framework (Humility, Empathy, Reverence, Excellence) as an organising principle that bridges organisational mission and career guidance ethics, and to the practical challenges of sustaining high scientific standards of programme design in low-resource community contexts.</w:t>
      </w:r>
    </w:p>
    <w:p>
      <w:pPr>
        <w:spacing w:after="360" w:line="360"/>
        <w:jc w:val="both"/>
      </w:pPr>
      <w:r>
        <w:rPr>
          <w:rFonts w:ascii="Calibri" w:cs="Calibri" w:eastAsia="Calibri" w:hAnsi="Calibri"/>
          <w:sz w:val="22"/>
          <w:szCs w:val="22"/>
        </w:rPr>
        <w:t xml:space="preserve">The paper concludes by identifying transferable insights for career guidance practitioners and policymakers working in under-resourced contexts globally, including marginalised and vulnerable communities, indigenous communities, and populations experiencing entrenched disadvantage. It argues that community-embedded, values-driven WED models, developed through rigorous practitioner inquiry, offer not a peripheral footnote to the global career guidance conversation, but a necessary corrective to frameworks that assume institutional access, digital infrastructure, and economic stability as baseline conditions. Participants will leave with concrete practice principles applicable across diverse community contexts.</w:t>
      </w:r>
    </w:p>
    <w:p>
      <w:pPr>
        <w:spacing w:after="360"/>
      </w:pPr>
      <w:r>
        <w:rPr>
          <w:rFonts w:ascii="Calibri" w:cs="Calibri" w:eastAsia="Calibri" w:hAnsi="Calibri"/>
          <w:b/>
          <w:bCs/>
          <w:sz w:val="22"/>
          <w:szCs w:val="22"/>
        </w:rPr>
        <w:t xml:space="preserve">Keywords: </w:t>
      </w:r>
      <w:r>
        <w:rPr>
          <w:rFonts w:ascii="Calibri" w:cs="Calibri" w:eastAsia="Calibri" w:hAnsi="Calibri"/>
          <w:sz w:val="22"/>
          <w:szCs w:val="22"/>
        </w:rPr>
        <w:t xml:space="preserve">workforce education and development, Fourth Industrial Revolution, garbage dump communities, community-embedded career guidance, Hope Action Theory</w:t>
      </w:r>
    </w:p>
    <w:p>
      <w:pPr>
        <w:spacing w:after="180"/>
      </w:pPr>
      <w:r>
        <w:rPr>
          <w:rFonts w:ascii="Calibri" w:cs="Calibri" w:eastAsia="Calibri" w:hAnsi="Calibri"/>
          <w:b/>
          <w:bCs/>
          <w:sz w:val="22"/>
          <w:szCs w:val="22"/>
        </w:rPr>
        <w:t xml:space="preserve">References</w:t>
      </w:r>
    </w:p>
    <w:p>
      <w:pPr>
        <w:spacing w:after="180" w:line="360"/>
        <w:ind w:left="720" w:hanging="720"/>
        <w:jc w:val="both"/>
      </w:pPr>
      <w:r>
        <w:rPr>
          <w:rFonts w:ascii="Calibri" w:cs="Calibri" w:eastAsia="Calibri" w:hAnsi="Calibri"/>
          <w:sz w:val="22"/>
          <w:szCs w:val="22"/>
        </w:rPr>
        <w:t xml:space="preserve">Amundson, N. E., Niles, S. G., &amp; Yoon, H. J. (2020b). Hope-action theory and practice. </w:t>
      </w:r>
      <w:r>
        <w:rPr>
          <w:rFonts w:ascii="Calibri" w:cs="Calibri" w:eastAsia="Calibri" w:hAnsi="Calibri"/>
          <w:i/>
          <w:iCs/>
          <w:sz w:val="22"/>
          <w:szCs w:val="22"/>
        </w:rPr>
        <w:t xml:space="preserve">Psychologia Wychowawcza, 60</w:t>
      </w:r>
      <w:r>
        <w:rPr>
          <w:rFonts w:ascii="Calibri" w:cs="Calibri" w:eastAsia="Calibri" w:hAnsi="Calibri"/>
          <w:sz w:val="22"/>
          <w:szCs w:val="22"/>
        </w:rPr>
        <w:t xml:space="preserve">(18), 91–102. https://doi.org/10.5604/01.3001.0014.6227</w:t>
      </w:r>
    </w:p>
    <w:p>
      <w:pPr>
        <w:spacing w:after="180" w:line="360"/>
        <w:ind w:left="720" w:hanging="720"/>
        <w:jc w:val="both"/>
      </w:pPr>
      <w:r>
        <w:rPr>
          <w:rFonts w:ascii="Calibri" w:cs="Calibri" w:eastAsia="Calibri" w:hAnsi="Calibri"/>
          <w:sz w:val="22"/>
          <w:szCs w:val="22"/>
        </w:rPr>
        <w:t xml:space="preserve">Chowdhury, S. A., Dey, M., &amp; Cross, B. (2024). Rethinking education in the era of Fourth Industrial Revolution (4IR): Perspective of less developed countries. In </w:t>
      </w:r>
      <w:r>
        <w:rPr>
          <w:rFonts w:ascii="Calibri" w:cs="Calibri" w:eastAsia="Calibri" w:hAnsi="Calibri"/>
          <w:i/>
          <w:iCs/>
          <w:sz w:val="22"/>
          <w:szCs w:val="22"/>
        </w:rPr>
        <w:t xml:space="preserve">Proceedings of the International Conference on Educational Research</w:t>
      </w:r>
      <w:r>
        <w:rPr>
          <w:rFonts w:ascii="Calibri" w:cs="Calibri" w:eastAsia="Calibri" w:hAnsi="Calibri"/>
          <w:sz w:val="22"/>
          <w:szCs w:val="22"/>
        </w:rPr>
        <w:t xml:space="preserve">. Springer. https://doi.org/10.1007/978-981-97-8584-1_3</w:t>
      </w:r>
    </w:p>
    <w:p>
      <w:pPr>
        <w:spacing w:after="180" w:line="360"/>
        <w:ind w:left="720" w:hanging="720"/>
        <w:jc w:val="both"/>
      </w:pPr>
      <w:r>
        <w:rPr>
          <w:rFonts w:ascii="Calibri" w:cs="Calibri" w:eastAsia="Calibri" w:hAnsi="Calibri"/>
          <w:sz w:val="22"/>
          <w:szCs w:val="22"/>
        </w:rPr>
        <w:t xml:space="preserve">Lent, R. W., Brown, S. D., &amp; Hackett, G. (1994). Toward a unifying social cognitive theory of career and academic interest, choice, and performance. </w:t>
      </w:r>
      <w:r>
        <w:rPr>
          <w:rFonts w:ascii="Calibri" w:cs="Calibri" w:eastAsia="Calibri" w:hAnsi="Calibri"/>
          <w:i/>
          <w:iCs/>
          <w:sz w:val="22"/>
          <w:szCs w:val="22"/>
        </w:rPr>
        <w:t xml:space="preserve">Journal of Vocational Behavior, 45</w:t>
      </w:r>
      <w:r>
        <w:rPr>
          <w:rFonts w:ascii="Calibri" w:cs="Calibri" w:eastAsia="Calibri" w:hAnsi="Calibri"/>
          <w:sz w:val="22"/>
          <w:szCs w:val="22"/>
        </w:rPr>
        <w:t xml:space="preserve">(1), 79–122. https://doi.org/10.1006/jvbe.1994.1027</w:t>
      </w:r>
    </w:p>
    <w:p>
      <w:pPr>
        <w:spacing w:after="180" w:line="360"/>
        <w:ind w:left="720" w:hanging="720"/>
        <w:jc w:val="both"/>
      </w:pPr>
      <w:r>
        <w:rPr>
          <w:rFonts w:ascii="Calibri" w:cs="Calibri" w:eastAsia="Calibri" w:hAnsi="Calibri"/>
          <w:sz w:val="22"/>
          <w:szCs w:val="22"/>
        </w:rPr>
        <w:t xml:space="preserve">Niles, S. G., Amundson, N. E., Neault, R. A., &amp; Yoon, H. J. (2020a). </w:t>
      </w:r>
      <w:r>
        <w:rPr>
          <w:rFonts w:ascii="Calibri" w:cs="Calibri" w:eastAsia="Calibri" w:hAnsi="Calibri"/>
          <w:i/>
          <w:iCs/>
          <w:sz w:val="22"/>
          <w:szCs w:val="22"/>
        </w:rPr>
        <w:t xml:space="preserve">Career flow and development: Hope in action</w:t>
      </w:r>
      <w:r>
        <w:rPr>
          <w:rFonts w:ascii="Calibri" w:cs="Calibri" w:eastAsia="Calibri" w:hAnsi="Calibri"/>
          <w:sz w:val="22"/>
          <w:szCs w:val="22"/>
        </w:rPr>
        <w:t xml:space="preserve"> (2nd ed.). Cognella Academic Publishing.</w:t>
      </w:r>
    </w:p>
    <w:p>
      <w:pPr>
        <w:spacing w:after="180" w:line="360"/>
        <w:ind w:left="720" w:hanging="720"/>
        <w:jc w:val="both"/>
      </w:pPr>
      <w:r>
        <w:rPr>
          <w:rFonts w:ascii="Calibri" w:cs="Calibri" w:eastAsia="Calibri" w:hAnsi="Calibri"/>
          <w:sz w:val="22"/>
          <w:szCs w:val="22"/>
        </w:rPr>
        <w:t xml:space="preserve">Wang, D., Jia, Y., Chen, S., Wang, W., &amp; Liu, T. (2022). The perspectives of social cognitive career theory approach in current times. </w:t>
      </w:r>
      <w:r>
        <w:rPr>
          <w:rFonts w:ascii="Calibri" w:cs="Calibri" w:eastAsia="Calibri" w:hAnsi="Calibri"/>
          <w:i/>
          <w:iCs/>
          <w:sz w:val="22"/>
          <w:szCs w:val="22"/>
        </w:rPr>
        <w:t xml:space="preserve">Frontiers in Psychology, 13</w:t>
      </w:r>
      <w:r>
        <w:rPr>
          <w:rFonts w:ascii="Calibri" w:cs="Calibri" w:eastAsia="Calibri" w:hAnsi="Calibri"/>
          <w:sz w:val="22"/>
          <w:szCs w:val="22"/>
        </w:rPr>
        <w:t xml:space="preserve">, Article 1023994. https://doi.org/10.3389/fpsyg.2022.1023994</w:t>
      </w:r>
    </w:p>
    <w:p>
      <w:pPr>
        <w:spacing w:after="180" w:line="360"/>
        <w:ind w:left="720" w:hanging="720"/>
        <w:jc w:val="both"/>
      </w:pPr>
      <w:r>
        <w:rPr>
          <w:rFonts w:ascii="Calibri" w:cs="Calibri" w:eastAsia="Calibri" w:hAnsi="Calibri"/>
          <w:sz w:val="22"/>
          <w:szCs w:val="22"/>
        </w:rPr>
        <w:t xml:space="preserve">World Economic Forum. (2025). </w:t>
      </w:r>
      <w:r>
        <w:rPr>
          <w:rFonts w:ascii="Calibri" w:cs="Calibri" w:eastAsia="Calibri" w:hAnsi="Calibri"/>
          <w:i/>
          <w:iCs/>
          <w:sz w:val="22"/>
          <w:szCs w:val="22"/>
        </w:rPr>
        <w:t xml:space="preserve">Future of jobs report 2025.</w:t>
      </w:r>
      <w:r>
        <w:rPr>
          <w:rFonts w:ascii="Calibri" w:cs="Calibri" w:eastAsia="Calibri" w:hAnsi="Calibri"/>
          <w:sz w:val="22"/>
          <w:szCs w:val="22"/>
        </w:rPr>
        <w:t xml:space="preserve"> World Economic Forum. https://www.weforum.org/publications/the-future-of-jobs-report-2025/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2026-04-03T18:26:01.630Z</dcterms:created>
  <dcterms:modified xsi:type="dcterms:W3CDTF">2026-04-03T18:26:01.631Z</dcterms:modified>
</cp:coreProperties>
</file>

<file path=docProps/custom.xml><?xml version="1.0" encoding="utf-8"?>
<Properties xmlns="http://schemas.openxmlformats.org/officeDocument/2006/custom-properties" xmlns:vt="http://schemas.openxmlformats.org/officeDocument/2006/docPropsVTypes"/>
</file>