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CF6E2" w14:textId="77777777" w:rsidR="003C0E63" w:rsidRPr="005D173A" w:rsidRDefault="003C0E63" w:rsidP="005D173A">
      <w:pPr>
        <w:pStyle w:val="Heading1"/>
      </w:pPr>
      <w:r w:rsidRPr="005D173A">
        <w:t>Engineering re-meets design: Design education for disciplines designing technology with artificial intelligence</w:t>
      </w:r>
    </w:p>
    <w:p w14:paraId="59681B56" w14:textId="599DF960" w:rsidR="003C0E63" w:rsidRPr="005D173A" w:rsidRDefault="005D173A" w:rsidP="005D173A">
      <w:pPr>
        <w:spacing w:after="0" w:line="360" w:lineRule="auto"/>
        <w:ind w:left="360"/>
        <w:jc w:val="both"/>
        <w:rPr>
          <w:rFonts w:ascii="Calibri" w:hAnsi="Calibri" w:cs="Calibri"/>
          <w:sz w:val="22"/>
          <w:szCs w:val="22"/>
        </w:rPr>
      </w:pPr>
      <w:r>
        <w:rPr>
          <w:rFonts w:ascii="Calibri" w:hAnsi="Calibri" w:cs="Calibri"/>
          <w:sz w:val="22"/>
          <w:szCs w:val="22"/>
        </w:rPr>
        <w:t xml:space="preserve">Author:  </w:t>
      </w:r>
      <w:r w:rsidR="003C0E63" w:rsidRPr="005D173A">
        <w:rPr>
          <w:rFonts w:ascii="Calibri" w:hAnsi="Calibri" w:cs="Calibri"/>
          <w:sz w:val="22"/>
          <w:szCs w:val="22"/>
        </w:rPr>
        <w:t>Dr. A</w:t>
      </w:r>
      <w:r w:rsidR="00CA0636" w:rsidRPr="005D173A">
        <w:rPr>
          <w:rFonts w:ascii="Calibri" w:hAnsi="Calibri" w:cs="Calibri"/>
          <w:sz w:val="22"/>
          <w:szCs w:val="22"/>
        </w:rPr>
        <w:t>slihan</w:t>
      </w:r>
      <w:r w:rsidR="003C0E63" w:rsidRPr="005D173A">
        <w:rPr>
          <w:rFonts w:ascii="Calibri" w:hAnsi="Calibri" w:cs="Calibri"/>
          <w:sz w:val="22"/>
          <w:szCs w:val="22"/>
        </w:rPr>
        <w:t xml:space="preserve"> Tece Bayrak</w:t>
      </w:r>
    </w:p>
    <w:p w14:paraId="785D7C39" w14:textId="54438AA4" w:rsidR="003C0E63" w:rsidRDefault="005D173A" w:rsidP="005D173A">
      <w:pPr>
        <w:spacing w:after="0" w:line="360" w:lineRule="auto"/>
        <w:ind w:left="360"/>
        <w:jc w:val="both"/>
        <w:rPr>
          <w:rFonts w:ascii="Calibri" w:hAnsi="Calibri" w:cs="Calibri"/>
          <w:sz w:val="22"/>
          <w:szCs w:val="22"/>
        </w:rPr>
      </w:pPr>
      <w:r>
        <w:rPr>
          <w:rFonts w:ascii="Calibri" w:hAnsi="Calibri" w:cs="Calibri"/>
          <w:sz w:val="22"/>
          <w:szCs w:val="22"/>
        </w:rPr>
        <w:t xml:space="preserve">Programme Director, </w:t>
      </w:r>
      <w:hyperlink r:id="rId5" w:history="1">
        <w:r w:rsidRPr="00B504FB">
          <w:rPr>
            <w:rStyle w:val="Hyperlink"/>
            <w:rFonts w:ascii="Calibri" w:hAnsi="Calibri" w:cs="Calibri"/>
            <w:sz w:val="22"/>
            <w:szCs w:val="22"/>
          </w:rPr>
          <w:t>tece.bayrak@mediadesignschool.com</w:t>
        </w:r>
      </w:hyperlink>
    </w:p>
    <w:p w14:paraId="6BDA3B8B" w14:textId="77777777" w:rsidR="005D173A" w:rsidRPr="005D173A" w:rsidRDefault="005D173A" w:rsidP="005D173A">
      <w:pPr>
        <w:spacing w:after="0" w:line="360" w:lineRule="auto"/>
        <w:ind w:left="360"/>
        <w:jc w:val="both"/>
        <w:rPr>
          <w:rFonts w:ascii="Calibri" w:hAnsi="Calibri" w:cs="Calibri"/>
          <w:sz w:val="22"/>
          <w:szCs w:val="22"/>
        </w:rPr>
      </w:pPr>
      <w:r w:rsidRPr="005D173A">
        <w:rPr>
          <w:rFonts w:ascii="Calibri" w:hAnsi="Calibri" w:cs="Calibri"/>
          <w:sz w:val="22"/>
          <w:szCs w:val="22"/>
        </w:rPr>
        <w:t>Media Design School at Strayer</w:t>
      </w:r>
    </w:p>
    <w:p w14:paraId="4A27BA80" w14:textId="2EF85086" w:rsidR="005D173A" w:rsidRDefault="005D173A" w:rsidP="005D173A">
      <w:pPr>
        <w:spacing w:line="360" w:lineRule="auto"/>
        <w:jc w:val="both"/>
        <w:rPr>
          <w:rFonts w:ascii="Calibri" w:hAnsi="Calibri" w:cs="Calibri"/>
          <w:sz w:val="22"/>
          <w:szCs w:val="22"/>
        </w:rPr>
      </w:pPr>
      <w:r w:rsidRPr="005D764F">
        <w:rPr>
          <w:rFonts w:ascii="Calibri" w:hAnsi="Calibri" w:cs="Calibri"/>
          <w:b/>
          <w:bCs/>
          <w:sz w:val="22"/>
          <w:szCs w:val="22"/>
        </w:rPr>
        <w:t>Keywords</w:t>
      </w:r>
      <w:r>
        <w:rPr>
          <w:rFonts w:ascii="Calibri" w:hAnsi="Calibri" w:cs="Calibri"/>
          <w:sz w:val="22"/>
          <w:szCs w:val="22"/>
        </w:rPr>
        <w:t>: Software engineering education, agentic AI, human-centred design, design education</w:t>
      </w:r>
    </w:p>
    <w:p w14:paraId="64876824" w14:textId="2E2B31F1" w:rsidR="00DF2180" w:rsidRPr="005D173A" w:rsidRDefault="00DF2180" w:rsidP="005D173A">
      <w:pPr>
        <w:spacing w:line="360" w:lineRule="auto"/>
        <w:jc w:val="both"/>
        <w:rPr>
          <w:rFonts w:ascii="Calibri" w:hAnsi="Calibri" w:cs="Calibri"/>
          <w:sz w:val="22"/>
          <w:szCs w:val="22"/>
        </w:rPr>
      </w:pPr>
      <w:r w:rsidRPr="005D173A">
        <w:rPr>
          <w:rFonts w:ascii="Calibri" w:hAnsi="Calibri" w:cs="Calibri"/>
          <w:sz w:val="22"/>
          <w:szCs w:val="22"/>
        </w:rPr>
        <w:t>Software engineering education capitalises on technical skills that would allow a graduate to partake in the software development lifecycle, take on roles and responsibilities in the software development ecosystem</w:t>
      </w:r>
      <w:r w:rsidR="00AC6731" w:rsidRPr="005D173A">
        <w:rPr>
          <w:rFonts w:ascii="Calibri" w:hAnsi="Calibri" w:cs="Calibri"/>
          <w:sz w:val="22"/>
          <w:szCs w:val="22"/>
        </w:rPr>
        <w:t xml:space="preserve"> </w:t>
      </w:r>
      <w:r w:rsidR="00AC6731" w:rsidRPr="005D173A">
        <w:rPr>
          <w:rFonts w:ascii="Calibri" w:hAnsi="Calibri" w:cs="Calibri"/>
          <w:sz w:val="22"/>
          <w:szCs w:val="22"/>
          <w:lang w:val="en-US"/>
        </w:rPr>
        <w:t>(Samarah et al., 2024)</w:t>
      </w:r>
      <w:r w:rsidRPr="005D173A">
        <w:rPr>
          <w:rFonts w:ascii="Calibri" w:hAnsi="Calibri" w:cs="Calibri"/>
          <w:sz w:val="22"/>
          <w:szCs w:val="22"/>
        </w:rPr>
        <w:t>, and develop a software product individually or in teams</w:t>
      </w:r>
      <w:r w:rsidR="00AC6731" w:rsidRPr="005D173A">
        <w:rPr>
          <w:rFonts w:ascii="Calibri" w:hAnsi="Calibri" w:cs="Calibri"/>
          <w:sz w:val="22"/>
          <w:szCs w:val="22"/>
        </w:rPr>
        <w:t xml:space="preserve"> since the curricula mostly focuses on technical proficiency (</w:t>
      </w:r>
      <w:proofErr w:type="spellStart"/>
      <w:r w:rsidR="00AC6731" w:rsidRPr="005D173A">
        <w:rPr>
          <w:rFonts w:ascii="Calibri" w:hAnsi="Calibri" w:cs="Calibri"/>
          <w:sz w:val="22"/>
          <w:szCs w:val="22"/>
          <w:lang w:val="en-US"/>
        </w:rPr>
        <w:t>Krusche</w:t>
      </w:r>
      <w:proofErr w:type="spellEnd"/>
      <w:r w:rsidR="00AC6731" w:rsidRPr="005D173A">
        <w:rPr>
          <w:rFonts w:ascii="Calibri" w:hAnsi="Calibri" w:cs="Calibri"/>
          <w:sz w:val="22"/>
          <w:szCs w:val="22"/>
          <w:lang w:val="en-US"/>
        </w:rPr>
        <w:t xml:space="preserve"> et al., 2023; Gupta and Gupta, 2024</w:t>
      </w:r>
      <w:r w:rsidR="00AC6731" w:rsidRPr="005D173A">
        <w:rPr>
          <w:rFonts w:ascii="Calibri" w:hAnsi="Calibri" w:cs="Calibri"/>
          <w:sz w:val="22"/>
          <w:szCs w:val="22"/>
        </w:rPr>
        <w:t>)</w:t>
      </w:r>
      <w:r w:rsidRPr="005D173A">
        <w:rPr>
          <w:rFonts w:ascii="Calibri" w:hAnsi="Calibri" w:cs="Calibri"/>
          <w:sz w:val="22"/>
          <w:szCs w:val="22"/>
        </w:rPr>
        <w:t>. Aligned with this, undergraduate degrees for computer science, information technology, or software engineering mostly focus on the skills of the trade</w:t>
      </w:r>
      <w:r w:rsidR="00AC6731" w:rsidRPr="005D173A">
        <w:rPr>
          <w:rFonts w:ascii="Calibri" w:hAnsi="Calibri" w:cs="Calibri"/>
          <w:sz w:val="22"/>
          <w:szCs w:val="22"/>
        </w:rPr>
        <w:t xml:space="preserve"> </w:t>
      </w:r>
      <w:r w:rsidR="00AC6731" w:rsidRPr="005D173A">
        <w:rPr>
          <w:rFonts w:ascii="Calibri" w:hAnsi="Calibri" w:cs="Calibri"/>
          <w:sz w:val="22"/>
          <w:szCs w:val="22"/>
          <w:lang w:val="en-US"/>
        </w:rPr>
        <w:t>(</w:t>
      </w:r>
      <w:proofErr w:type="spellStart"/>
      <w:r w:rsidR="00AC6731" w:rsidRPr="005D173A">
        <w:rPr>
          <w:rFonts w:ascii="Calibri" w:hAnsi="Calibri" w:cs="Calibri"/>
          <w:sz w:val="22"/>
          <w:szCs w:val="22"/>
          <w:lang w:val="en-US"/>
        </w:rPr>
        <w:t>Akdur</w:t>
      </w:r>
      <w:proofErr w:type="spellEnd"/>
      <w:r w:rsidR="00AC6731" w:rsidRPr="005D173A">
        <w:rPr>
          <w:rFonts w:ascii="Calibri" w:hAnsi="Calibri" w:cs="Calibri"/>
          <w:sz w:val="22"/>
          <w:szCs w:val="22"/>
          <w:lang w:val="en-US"/>
        </w:rPr>
        <w:t>, 2022; Gupta and Gupta, 2024)</w:t>
      </w:r>
      <w:r w:rsidRPr="005D173A">
        <w:rPr>
          <w:rFonts w:ascii="Calibri" w:hAnsi="Calibri" w:cs="Calibri"/>
          <w:sz w:val="22"/>
          <w:szCs w:val="22"/>
        </w:rPr>
        <w:t>, rarely considering design practices or human factors as a contributing skill for developing software products or services. While human computer interaction (HCI) can be a studied subject in some of those programmes, the aspects of human-centred design (HCD) or design research are rarely seen fitting under the topic list for HCI classes. From requirements engineering to information systems, human-centred approaches can cultivate the development of applications that better address the needs of their target audience. This is especially important with the increasing integration of AI technology and services and forces us to reconsider human-AI interaction for developing human-centred services relating to AI-based technologies</w:t>
      </w:r>
      <w:r w:rsidR="005D173A" w:rsidRPr="005D173A">
        <w:rPr>
          <w:rFonts w:ascii="Calibri" w:hAnsi="Calibri" w:cs="Calibri"/>
          <w:sz w:val="22"/>
          <w:szCs w:val="22"/>
        </w:rPr>
        <w:t xml:space="preserve"> </w:t>
      </w:r>
      <w:r w:rsidR="005D173A" w:rsidRPr="005D173A">
        <w:rPr>
          <w:rFonts w:ascii="Calibri" w:hAnsi="Calibri" w:cs="Calibri"/>
          <w:sz w:val="22"/>
          <w:szCs w:val="22"/>
          <w:lang w:val="en-US"/>
        </w:rPr>
        <w:t>(Raja et al., 2025)</w:t>
      </w:r>
      <w:r w:rsidRPr="005D173A">
        <w:rPr>
          <w:rFonts w:ascii="Calibri" w:hAnsi="Calibri" w:cs="Calibri"/>
          <w:sz w:val="22"/>
          <w:szCs w:val="22"/>
        </w:rPr>
        <w:t xml:space="preserve">. </w:t>
      </w:r>
    </w:p>
    <w:p w14:paraId="7C27FBA3" w14:textId="1B839CB5" w:rsidR="003C0E63" w:rsidRPr="005D173A" w:rsidRDefault="00DF2180" w:rsidP="005D173A">
      <w:pPr>
        <w:spacing w:line="360" w:lineRule="auto"/>
        <w:jc w:val="both"/>
        <w:rPr>
          <w:rFonts w:ascii="Calibri" w:hAnsi="Calibri" w:cs="Calibri"/>
          <w:sz w:val="22"/>
          <w:szCs w:val="22"/>
        </w:rPr>
      </w:pPr>
      <w:r w:rsidRPr="005D173A">
        <w:rPr>
          <w:rFonts w:ascii="Calibri" w:hAnsi="Calibri" w:cs="Calibri"/>
          <w:sz w:val="22"/>
          <w:szCs w:val="22"/>
        </w:rPr>
        <w:t>Current technology ecosystem signals for a technology future with more agentic applications that connect complex IT systems for diverse use cases, as such represented with a recently emerging role referred to as AI orchestration. Those use cases can be in the form of an application or interface used by less technology-savvy people but allowing them to reach a highly specialised technology solution for condensed and refined information or automation</w:t>
      </w:r>
      <w:r w:rsidR="005D173A">
        <w:rPr>
          <w:rFonts w:ascii="Calibri" w:hAnsi="Calibri" w:cs="Calibri"/>
          <w:sz w:val="22"/>
          <w:szCs w:val="22"/>
        </w:rPr>
        <w:t xml:space="preserve"> (</w:t>
      </w:r>
      <w:r w:rsidR="005D173A" w:rsidRPr="005D173A">
        <w:rPr>
          <w:rFonts w:ascii="Calibri" w:hAnsi="Calibri" w:cs="Calibri"/>
          <w:sz w:val="22"/>
          <w:szCs w:val="22"/>
          <w:lang w:val="en-US"/>
        </w:rPr>
        <w:t>Tzimourta</w:t>
      </w:r>
      <w:r w:rsidR="005D173A">
        <w:rPr>
          <w:rFonts w:ascii="Calibri" w:hAnsi="Calibri" w:cs="Calibri"/>
          <w:sz w:val="22"/>
          <w:szCs w:val="22"/>
          <w:lang w:val="en-US"/>
        </w:rPr>
        <w:t>, 2025</w:t>
      </w:r>
      <w:r w:rsidR="005D173A">
        <w:rPr>
          <w:rFonts w:ascii="Calibri" w:hAnsi="Calibri" w:cs="Calibri"/>
          <w:sz w:val="22"/>
          <w:szCs w:val="22"/>
        </w:rPr>
        <w:t>)</w:t>
      </w:r>
      <w:r w:rsidRPr="005D173A">
        <w:rPr>
          <w:rFonts w:ascii="Calibri" w:hAnsi="Calibri" w:cs="Calibri"/>
          <w:sz w:val="22"/>
          <w:szCs w:val="22"/>
        </w:rPr>
        <w:t xml:space="preserve">. </w:t>
      </w:r>
      <w:r w:rsidR="003C0E63" w:rsidRPr="005D173A">
        <w:rPr>
          <w:rFonts w:ascii="Calibri" w:hAnsi="Calibri" w:cs="Calibri"/>
          <w:sz w:val="22"/>
          <w:szCs w:val="22"/>
        </w:rPr>
        <w:t>The problems to be solved and the human user in this ecosystem need to be understood well for the technology to be made accessible and usable. Therefore, the software engineers of future need better understanding of human condition and how to approach integrating AI technology into technology solutions</w:t>
      </w:r>
      <w:r w:rsidR="005D173A">
        <w:rPr>
          <w:rFonts w:ascii="Calibri" w:hAnsi="Calibri" w:cs="Calibri"/>
          <w:sz w:val="22"/>
          <w:szCs w:val="22"/>
        </w:rPr>
        <w:t xml:space="preserve"> </w:t>
      </w:r>
      <w:r w:rsidR="005D173A" w:rsidRPr="005D173A">
        <w:rPr>
          <w:rFonts w:ascii="Calibri" w:hAnsi="Calibri" w:cs="Calibri"/>
          <w:sz w:val="22"/>
          <w:szCs w:val="22"/>
        </w:rPr>
        <w:t>(Matteo et al., 2025; Raja et al., 2025)</w:t>
      </w:r>
      <w:r w:rsidR="003C0E63" w:rsidRPr="005D173A">
        <w:rPr>
          <w:rFonts w:ascii="Calibri" w:hAnsi="Calibri" w:cs="Calibri"/>
          <w:sz w:val="22"/>
          <w:szCs w:val="22"/>
        </w:rPr>
        <w:t xml:space="preserve">. Employing HCD practices during software development lifecycle has proven contributions for addressing the needs to develop the right solution and developing it right. This maps </w:t>
      </w:r>
      <w:r w:rsidR="003C0E63" w:rsidRPr="005D173A">
        <w:rPr>
          <w:rFonts w:ascii="Calibri" w:hAnsi="Calibri" w:cs="Calibri"/>
          <w:sz w:val="22"/>
          <w:szCs w:val="22"/>
        </w:rPr>
        <w:lastRenderedPageBreak/>
        <w:t xml:space="preserve">well with the verification and validation approach and instils a quality mindset starting with the earlier stages of the software development </w:t>
      </w:r>
      <w:proofErr w:type="gramStart"/>
      <w:r w:rsidR="003C0E63" w:rsidRPr="005D173A">
        <w:rPr>
          <w:rFonts w:ascii="Calibri" w:hAnsi="Calibri" w:cs="Calibri"/>
          <w:sz w:val="22"/>
          <w:szCs w:val="22"/>
        </w:rPr>
        <w:t>life-cycle</w:t>
      </w:r>
      <w:proofErr w:type="gramEnd"/>
      <w:r w:rsidR="003C0E63" w:rsidRPr="005D173A">
        <w:rPr>
          <w:rFonts w:ascii="Calibri" w:hAnsi="Calibri" w:cs="Calibri"/>
          <w:sz w:val="22"/>
          <w:szCs w:val="22"/>
        </w:rPr>
        <w:t>.</w:t>
      </w:r>
    </w:p>
    <w:p w14:paraId="39B32929" w14:textId="40DD48D3" w:rsidR="00DF2180" w:rsidRPr="005D173A" w:rsidRDefault="00DF2180" w:rsidP="005D173A">
      <w:pPr>
        <w:spacing w:line="360" w:lineRule="auto"/>
        <w:jc w:val="both"/>
        <w:rPr>
          <w:rFonts w:ascii="Calibri" w:hAnsi="Calibri" w:cs="Calibri"/>
          <w:sz w:val="22"/>
          <w:szCs w:val="22"/>
        </w:rPr>
      </w:pPr>
      <w:r w:rsidRPr="005D173A">
        <w:rPr>
          <w:rFonts w:ascii="Calibri" w:hAnsi="Calibri" w:cs="Calibri"/>
          <w:sz w:val="22"/>
          <w:szCs w:val="22"/>
        </w:rPr>
        <w:t xml:space="preserve">This </w:t>
      </w:r>
      <w:r w:rsidR="003C0E63" w:rsidRPr="005D173A">
        <w:rPr>
          <w:rFonts w:ascii="Calibri" w:hAnsi="Calibri" w:cs="Calibri"/>
          <w:sz w:val="22"/>
          <w:szCs w:val="22"/>
        </w:rPr>
        <w:t>work</w:t>
      </w:r>
      <w:r w:rsidRPr="005D173A">
        <w:rPr>
          <w:rFonts w:ascii="Calibri" w:hAnsi="Calibri" w:cs="Calibri"/>
          <w:sz w:val="22"/>
          <w:szCs w:val="22"/>
        </w:rPr>
        <w:t xml:space="preserve"> advocates for the role and contribution of HCD practices in software engineering education so that software engineers of future can create accessible, reliable, safe, ethical, and effective technology products for public use.</w:t>
      </w:r>
      <w:r w:rsidR="003C0E63" w:rsidRPr="005D173A">
        <w:rPr>
          <w:rFonts w:ascii="Calibri" w:hAnsi="Calibri" w:cs="Calibri"/>
          <w:sz w:val="22"/>
          <w:szCs w:val="22"/>
        </w:rPr>
        <w:t xml:space="preserve"> </w:t>
      </w:r>
      <w:r w:rsidR="00F006DE" w:rsidRPr="005D173A">
        <w:rPr>
          <w:rFonts w:ascii="Calibri" w:hAnsi="Calibri" w:cs="Calibri"/>
          <w:sz w:val="22"/>
          <w:szCs w:val="22"/>
        </w:rPr>
        <w:t xml:space="preserve">Via action research during teaching practice, we observed student development, students’ ability to work through complex projects in presented contexts, and the compounding impact on their future professional engagement. </w:t>
      </w:r>
      <w:r w:rsidR="005542C5" w:rsidRPr="005D173A">
        <w:rPr>
          <w:rFonts w:ascii="Calibri" w:hAnsi="Calibri" w:cs="Calibri"/>
          <w:sz w:val="22"/>
          <w:szCs w:val="22"/>
        </w:rPr>
        <w:t>T</w:t>
      </w:r>
      <w:r w:rsidR="00F006DE" w:rsidRPr="005D173A">
        <w:rPr>
          <w:rFonts w:ascii="Calibri" w:hAnsi="Calibri" w:cs="Calibri"/>
          <w:sz w:val="22"/>
          <w:szCs w:val="22"/>
        </w:rPr>
        <w:t>his contribution presents key approaches for integrating HCD practice</w:t>
      </w:r>
      <w:r w:rsidR="005542C5" w:rsidRPr="005D173A">
        <w:rPr>
          <w:rFonts w:ascii="Calibri" w:hAnsi="Calibri" w:cs="Calibri"/>
          <w:sz w:val="22"/>
          <w:szCs w:val="22"/>
        </w:rPr>
        <w:t>s</w:t>
      </w:r>
      <w:r w:rsidR="00F006DE" w:rsidRPr="005D173A">
        <w:rPr>
          <w:rFonts w:ascii="Calibri" w:hAnsi="Calibri" w:cs="Calibri"/>
          <w:sz w:val="22"/>
          <w:szCs w:val="22"/>
        </w:rPr>
        <w:t xml:space="preserve"> into software engineering education, merits of this practice, and how this practice serves positively for elevating the graduate profile.</w:t>
      </w:r>
    </w:p>
    <w:p w14:paraId="1D0D3D4C" w14:textId="0BECC70D" w:rsidR="00CA0636" w:rsidRPr="00D83C8B" w:rsidRDefault="00CA0636" w:rsidP="005D173A">
      <w:pPr>
        <w:spacing w:line="360" w:lineRule="auto"/>
        <w:jc w:val="both"/>
        <w:rPr>
          <w:rFonts w:ascii="Calibri" w:hAnsi="Calibri" w:cs="Calibri"/>
          <w:b/>
          <w:bCs/>
          <w:sz w:val="22"/>
          <w:szCs w:val="22"/>
        </w:rPr>
      </w:pPr>
      <w:r w:rsidRPr="00D83C8B">
        <w:rPr>
          <w:rFonts w:ascii="Calibri" w:hAnsi="Calibri" w:cs="Calibri"/>
          <w:b/>
          <w:bCs/>
          <w:sz w:val="22"/>
          <w:szCs w:val="22"/>
        </w:rPr>
        <w:t xml:space="preserve">References: </w:t>
      </w:r>
    </w:p>
    <w:p w14:paraId="506AE029" w14:textId="77777777" w:rsidR="00B04E8F" w:rsidRPr="005D173A" w:rsidRDefault="00B04E8F" w:rsidP="005D173A">
      <w:pPr>
        <w:spacing w:line="240" w:lineRule="auto"/>
        <w:jc w:val="both"/>
        <w:rPr>
          <w:rFonts w:ascii="Calibri" w:hAnsi="Calibri" w:cs="Calibri"/>
          <w:sz w:val="22"/>
          <w:szCs w:val="22"/>
        </w:rPr>
      </w:pPr>
      <w:proofErr w:type="spellStart"/>
      <w:r w:rsidRPr="005D173A">
        <w:rPr>
          <w:rFonts w:ascii="Calibri" w:hAnsi="Calibri" w:cs="Calibri"/>
          <w:sz w:val="22"/>
          <w:szCs w:val="22"/>
          <w:lang w:val="en-US"/>
        </w:rPr>
        <w:t>Akdur</w:t>
      </w:r>
      <w:proofErr w:type="spellEnd"/>
      <w:r w:rsidRPr="005D173A">
        <w:rPr>
          <w:rFonts w:ascii="Calibri" w:hAnsi="Calibri" w:cs="Calibri"/>
          <w:sz w:val="22"/>
          <w:szCs w:val="22"/>
          <w:lang w:val="en-US"/>
        </w:rPr>
        <w:t xml:space="preserve">, D. 2022. Analysis of Software Engineering Skills Gap in the Industry. ACM Trans. </w:t>
      </w:r>
      <w:proofErr w:type="spellStart"/>
      <w:r w:rsidRPr="005D173A">
        <w:rPr>
          <w:rFonts w:ascii="Calibri" w:hAnsi="Calibri" w:cs="Calibri"/>
          <w:sz w:val="22"/>
          <w:szCs w:val="22"/>
          <w:lang w:val="en-US"/>
        </w:rPr>
        <w:t>Comput</w:t>
      </w:r>
      <w:proofErr w:type="spellEnd"/>
      <w:r w:rsidRPr="005D173A">
        <w:rPr>
          <w:rFonts w:ascii="Calibri" w:hAnsi="Calibri" w:cs="Calibri"/>
          <w:sz w:val="22"/>
          <w:szCs w:val="22"/>
          <w:lang w:val="en-US"/>
        </w:rPr>
        <w:t xml:space="preserve">. Educ. 23, 1, Article 16 (March 2023), 28 pages. </w:t>
      </w:r>
    </w:p>
    <w:p w14:paraId="2F26549F" w14:textId="77777777" w:rsidR="00B04E8F" w:rsidRPr="005D173A" w:rsidRDefault="00B04E8F" w:rsidP="005D173A">
      <w:pPr>
        <w:spacing w:line="240" w:lineRule="auto"/>
        <w:jc w:val="both"/>
        <w:rPr>
          <w:rFonts w:ascii="Calibri" w:hAnsi="Calibri" w:cs="Calibri"/>
          <w:sz w:val="22"/>
          <w:szCs w:val="22"/>
          <w:lang w:val="en-US"/>
        </w:rPr>
      </w:pPr>
      <w:r w:rsidRPr="005D173A">
        <w:rPr>
          <w:rFonts w:ascii="Calibri" w:hAnsi="Calibri" w:cs="Calibri"/>
          <w:sz w:val="22"/>
          <w:szCs w:val="22"/>
          <w:lang w:val="en-US"/>
        </w:rPr>
        <w:t xml:space="preserve">Gupta, C., Gupta, V. (2024). C4 Skills in the Engineering Graduate: A Study to Align Software Engineering Education </w:t>
      </w:r>
      <w:proofErr w:type="gramStart"/>
      <w:r w:rsidRPr="005D173A">
        <w:rPr>
          <w:rFonts w:ascii="Calibri" w:hAnsi="Calibri" w:cs="Calibri"/>
          <w:sz w:val="22"/>
          <w:szCs w:val="22"/>
          <w:lang w:val="en-US"/>
        </w:rPr>
        <w:t>With</w:t>
      </w:r>
      <w:proofErr w:type="gramEnd"/>
      <w:r w:rsidRPr="005D173A">
        <w:rPr>
          <w:rFonts w:ascii="Calibri" w:hAnsi="Calibri" w:cs="Calibri"/>
          <w:sz w:val="22"/>
          <w:szCs w:val="22"/>
          <w:lang w:val="en-US"/>
        </w:rPr>
        <w:t xml:space="preserve"> Market-Driven Software Industry Needs. in IEEE Transactions on Education, vol. 67, no. 1, pp. 31-43.</w:t>
      </w:r>
    </w:p>
    <w:p w14:paraId="15AF0E34" w14:textId="77777777" w:rsidR="00B04E8F" w:rsidRPr="005D173A" w:rsidRDefault="00B04E8F" w:rsidP="005D173A">
      <w:pPr>
        <w:spacing w:line="240" w:lineRule="auto"/>
        <w:jc w:val="both"/>
        <w:rPr>
          <w:rFonts w:ascii="Calibri" w:hAnsi="Calibri" w:cs="Calibri"/>
          <w:sz w:val="22"/>
          <w:szCs w:val="22"/>
          <w:lang w:val="en-US"/>
        </w:rPr>
      </w:pPr>
      <w:proofErr w:type="spellStart"/>
      <w:r w:rsidRPr="005D173A">
        <w:rPr>
          <w:rFonts w:ascii="Calibri" w:hAnsi="Calibri" w:cs="Calibri"/>
          <w:sz w:val="22"/>
          <w:szCs w:val="22"/>
          <w:lang w:val="en-US"/>
        </w:rPr>
        <w:t>Krusche</w:t>
      </w:r>
      <w:proofErr w:type="spellEnd"/>
      <w:r w:rsidRPr="005D173A">
        <w:rPr>
          <w:rFonts w:ascii="Calibri" w:hAnsi="Calibri" w:cs="Calibri"/>
          <w:sz w:val="22"/>
          <w:szCs w:val="22"/>
          <w:lang w:val="en-US"/>
        </w:rPr>
        <w:t xml:space="preserve">, S., Bell, J., &amp; </w:t>
      </w:r>
      <w:proofErr w:type="spellStart"/>
      <w:r w:rsidRPr="005D173A">
        <w:rPr>
          <w:rFonts w:ascii="Calibri" w:hAnsi="Calibri" w:cs="Calibri"/>
          <w:sz w:val="22"/>
          <w:szCs w:val="22"/>
          <w:lang w:val="en-US"/>
        </w:rPr>
        <w:t>Tenbergen</w:t>
      </w:r>
      <w:proofErr w:type="spellEnd"/>
      <w:r w:rsidRPr="005D173A">
        <w:rPr>
          <w:rFonts w:ascii="Calibri" w:hAnsi="Calibri" w:cs="Calibri"/>
          <w:sz w:val="22"/>
          <w:szCs w:val="22"/>
          <w:lang w:val="en-US"/>
        </w:rPr>
        <w:t>, B. (2023). Software Engineering Education for the Next Generation: SEENG 2023 Workshop Report. ACM SIGSOFT Software Engineering Notes, 48(4), 66-69.</w:t>
      </w:r>
    </w:p>
    <w:p w14:paraId="02DB5AFD" w14:textId="77777777" w:rsidR="00B04E8F" w:rsidRPr="005D173A" w:rsidRDefault="00B04E8F" w:rsidP="005D173A">
      <w:pPr>
        <w:spacing w:line="240" w:lineRule="auto"/>
        <w:jc w:val="both"/>
        <w:rPr>
          <w:rFonts w:ascii="Calibri" w:hAnsi="Calibri" w:cs="Calibri"/>
          <w:sz w:val="22"/>
          <w:szCs w:val="22"/>
          <w:lang w:val="en-US"/>
        </w:rPr>
      </w:pPr>
      <w:r w:rsidRPr="005D173A">
        <w:rPr>
          <w:rFonts w:ascii="Calibri" w:hAnsi="Calibri" w:cs="Calibri"/>
          <w:sz w:val="22"/>
          <w:szCs w:val="22"/>
          <w:lang w:val="en-US"/>
        </w:rPr>
        <w:t xml:space="preserve">Matteo, Z., Ike, C. B., &amp; </w:t>
      </w:r>
      <w:proofErr w:type="spellStart"/>
      <w:r w:rsidRPr="005D173A">
        <w:rPr>
          <w:rFonts w:ascii="Calibri" w:hAnsi="Calibri" w:cs="Calibri"/>
          <w:sz w:val="22"/>
          <w:szCs w:val="22"/>
          <w:lang w:val="en-US"/>
        </w:rPr>
        <w:t>Chivăran</w:t>
      </w:r>
      <w:proofErr w:type="spellEnd"/>
      <w:r w:rsidRPr="005D173A">
        <w:rPr>
          <w:rFonts w:ascii="Calibri" w:hAnsi="Calibri" w:cs="Calibri"/>
          <w:sz w:val="22"/>
          <w:szCs w:val="22"/>
          <w:lang w:val="en-US"/>
        </w:rPr>
        <w:t xml:space="preserve"> Camelia. (2025). Designing Artificial Intelligence: Exploring Inclusion, Diversity, Equity, Accessibility, and Safety in Human-Centric Emerging Technologies. Ai, 6(7), 143. https://doi.org/10.3390/ai6070143 </w:t>
      </w:r>
    </w:p>
    <w:p w14:paraId="0AB69EB2" w14:textId="77777777" w:rsidR="00B04E8F" w:rsidRPr="005D173A" w:rsidRDefault="00B04E8F" w:rsidP="005D173A">
      <w:pPr>
        <w:spacing w:line="240" w:lineRule="auto"/>
        <w:jc w:val="both"/>
        <w:rPr>
          <w:rFonts w:ascii="Calibri" w:hAnsi="Calibri" w:cs="Calibri"/>
          <w:sz w:val="22"/>
          <w:szCs w:val="22"/>
        </w:rPr>
      </w:pPr>
      <w:r w:rsidRPr="005D173A">
        <w:rPr>
          <w:rFonts w:ascii="Calibri" w:hAnsi="Calibri" w:cs="Calibri"/>
          <w:sz w:val="22"/>
          <w:szCs w:val="22"/>
          <w:lang w:val="en-US"/>
        </w:rPr>
        <w:t xml:space="preserve">Raja, M. K., Thaker, H., Katragadda, S., &amp; Supriya, A. K. (2025). A Review of Human-Centric AI in Industry 5.0: Integrating Data Science with Mechanical Automation. Journal of Economics, Finance, and Accounting Studies, 7(4), 42-53. https://doi.org/10.32996/jefas.2025.7.4.4 </w:t>
      </w:r>
    </w:p>
    <w:p w14:paraId="1AF2DBB9" w14:textId="77777777" w:rsidR="00B04E8F" w:rsidRPr="005D173A" w:rsidRDefault="00B04E8F" w:rsidP="005D173A">
      <w:pPr>
        <w:spacing w:line="240" w:lineRule="auto"/>
        <w:jc w:val="both"/>
        <w:rPr>
          <w:rFonts w:ascii="Calibri" w:hAnsi="Calibri" w:cs="Calibri"/>
          <w:sz w:val="22"/>
          <w:szCs w:val="22"/>
          <w:lang w:val="en-US"/>
        </w:rPr>
      </w:pPr>
      <w:r w:rsidRPr="005D173A">
        <w:rPr>
          <w:rFonts w:ascii="Calibri" w:hAnsi="Calibri" w:cs="Calibri"/>
          <w:sz w:val="22"/>
          <w:szCs w:val="22"/>
          <w:lang w:val="en-US"/>
        </w:rPr>
        <w:t xml:space="preserve">Samarah, M., </w:t>
      </w:r>
      <w:proofErr w:type="spellStart"/>
      <w:r w:rsidRPr="005D173A">
        <w:rPr>
          <w:rFonts w:ascii="Calibri" w:hAnsi="Calibri" w:cs="Calibri"/>
          <w:sz w:val="22"/>
          <w:szCs w:val="22"/>
          <w:lang w:val="en-US"/>
        </w:rPr>
        <w:t>Inuganti</w:t>
      </w:r>
      <w:proofErr w:type="spellEnd"/>
      <w:r w:rsidRPr="005D173A">
        <w:rPr>
          <w:rFonts w:ascii="Calibri" w:hAnsi="Calibri" w:cs="Calibri"/>
          <w:sz w:val="22"/>
          <w:szCs w:val="22"/>
          <w:lang w:val="en-US"/>
        </w:rPr>
        <w:t>, A., &amp; Goyal, M. (2024). Software engineering education: Towards ethical, reliable, and beautiful software. In Proceedings of the 1st International Workshop on Designing Software (pp. 40-45).</w:t>
      </w:r>
    </w:p>
    <w:p w14:paraId="79B5B83A" w14:textId="77777777" w:rsidR="00B04E8F" w:rsidRPr="005D173A" w:rsidRDefault="00B04E8F" w:rsidP="005D173A">
      <w:pPr>
        <w:spacing w:line="240" w:lineRule="auto"/>
        <w:jc w:val="both"/>
        <w:rPr>
          <w:rFonts w:ascii="Calibri" w:hAnsi="Calibri" w:cs="Calibri"/>
          <w:sz w:val="22"/>
          <w:szCs w:val="22"/>
        </w:rPr>
      </w:pPr>
      <w:r w:rsidRPr="005D173A">
        <w:rPr>
          <w:rFonts w:ascii="Calibri" w:hAnsi="Calibri" w:cs="Calibri"/>
          <w:sz w:val="22"/>
          <w:szCs w:val="22"/>
          <w:lang w:val="en-US"/>
        </w:rPr>
        <w:t xml:space="preserve">Tzimourta, K. D. (2025). Human-Centered Design and Development in Digital Health: Approaches, Challenges, and Emerging Trends. Cureus, 17(6), 17. https://doi.org/10.7759/cureus.85897 </w:t>
      </w:r>
    </w:p>
    <w:p w14:paraId="3D3D74C7" w14:textId="77777777" w:rsidR="00B04E8F" w:rsidRPr="005D173A" w:rsidRDefault="00B04E8F" w:rsidP="005D173A">
      <w:pPr>
        <w:spacing w:line="360" w:lineRule="auto"/>
        <w:ind w:left="360"/>
        <w:jc w:val="both"/>
        <w:rPr>
          <w:rFonts w:ascii="Calibri" w:hAnsi="Calibri" w:cs="Calibri"/>
          <w:sz w:val="22"/>
          <w:szCs w:val="22"/>
        </w:rPr>
      </w:pPr>
    </w:p>
    <w:p w14:paraId="260E393D" w14:textId="77777777" w:rsidR="00B04E8F" w:rsidRPr="005D173A" w:rsidRDefault="00B04E8F" w:rsidP="005D173A">
      <w:pPr>
        <w:spacing w:line="360" w:lineRule="auto"/>
        <w:ind w:left="360"/>
        <w:jc w:val="both"/>
        <w:rPr>
          <w:rFonts w:ascii="Calibri" w:hAnsi="Calibri" w:cs="Calibri"/>
          <w:sz w:val="22"/>
          <w:szCs w:val="22"/>
        </w:rPr>
      </w:pPr>
    </w:p>
    <w:p w14:paraId="5DD30107" w14:textId="77777777" w:rsidR="00B04E8F" w:rsidRPr="005D173A" w:rsidRDefault="00B04E8F" w:rsidP="005D173A">
      <w:pPr>
        <w:spacing w:line="360" w:lineRule="auto"/>
        <w:ind w:left="360"/>
        <w:jc w:val="both"/>
        <w:rPr>
          <w:rFonts w:ascii="Calibri" w:hAnsi="Calibri" w:cs="Calibri"/>
          <w:sz w:val="22"/>
          <w:szCs w:val="22"/>
        </w:rPr>
      </w:pPr>
    </w:p>
    <w:p w14:paraId="6F75CFBA" w14:textId="77777777" w:rsidR="00B04E8F" w:rsidRPr="005D173A" w:rsidRDefault="00B04E8F" w:rsidP="005D173A">
      <w:pPr>
        <w:spacing w:line="360" w:lineRule="auto"/>
        <w:ind w:left="360"/>
        <w:jc w:val="both"/>
        <w:rPr>
          <w:rFonts w:ascii="Calibri" w:hAnsi="Calibri" w:cs="Calibri"/>
          <w:sz w:val="22"/>
          <w:szCs w:val="22"/>
        </w:rPr>
      </w:pPr>
    </w:p>
    <w:p w14:paraId="668A590E" w14:textId="77777777" w:rsidR="00DF2180" w:rsidRPr="005D173A" w:rsidRDefault="00DF2180" w:rsidP="005D173A">
      <w:pPr>
        <w:spacing w:line="360" w:lineRule="auto"/>
        <w:jc w:val="both"/>
        <w:rPr>
          <w:rFonts w:ascii="Calibri" w:hAnsi="Calibri" w:cs="Calibri"/>
          <w:sz w:val="22"/>
          <w:szCs w:val="22"/>
        </w:rPr>
      </w:pPr>
    </w:p>
    <w:sectPr w:rsidR="00DF2180" w:rsidRPr="005D17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04791"/>
    <w:multiLevelType w:val="hybridMultilevel"/>
    <w:tmpl w:val="B91E4900"/>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70E9632F"/>
    <w:multiLevelType w:val="hybridMultilevel"/>
    <w:tmpl w:val="7A5A315E"/>
    <w:lvl w:ilvl="0" w:tplc="31B2CD44">
      <w:start w:val="1"/>
      <w:numFmt w:val="bullet"/>
      <w:lvlText w:val="•"/>
      <w:lvlJc w:val="left"/>
      <w:pPr>
        <w:tabs>
          <w:tab w:val="num" w:pos="720"/>
        </w:tabs>
        <w:ind w:left="720" w:hanging="360"/>
      </w:pPr>
      <w:rPr>
        <w:rFonts w:ascii="Arial" w:hAnsi="Arial" w:hint="default"/>
      </w:rPr>
    </w:lvl>
    <w:lvl w:ilvl="1" w:tplc="5778EE42" w:tentative="1">
      <w:start w:val="1"/>
      <w:numFmt w:val="bullet"/>
      <w:lvlText w:val="•"/>
      <w:lvlJc w:val="left"/>
      <w:pPr>
        <w:tabs>
          <w:tab w:val="num" w:pos="1440"/>
        </w:tabs>
        <w:ind w:left="1440" w:hanging="360"/>
      </w:pPr>
      <w:rPr>
        <w:rFonts w:ascii="Arial" w:hAnsi="Arial" w:hint="default"/>
      </w:rPr>
    </w:lvl>
    <w:lvl w:ilvl="2" w:tplc="193677FA" w:tentative="1">
      <w:start w:val="1"/>
      <w:numFmt w:val="bullet"/>
      <w:lvlText w:val="•"/>
      <w:lvlJc w:val="left"/>
      <w:pPr>
        <w:tabs>
          <w:tab w:val="num" w:pos="2160"/>
        </w:tabs>
        <w:ind w:left="2160" w:hanging="360"/>
      </w:pPr>
      <w:rPr>
        <w:rFonts w:ascii="Arial" w:hAnsi="Arial" w:hint="default"/>
      </w:rPr>
    </w:lvl>
    <w:lvl w:ilvl="3" w:tplc="0D72316E" w:tentative="1">
      <w:start w:val="1"/>
      <w:numFmt w:val="bullet"/>
      <w:lvlText w:val="•"/>
      <w:lvlJc w:val="left"/>
      <w:pPr>
        <w:tabs>
          <w:tab w:val="num" w:pos="2880"/>
        </w:tabs>
        <w:ind w:left="2880" w:hanging="360"/>
      </w:pPr>
      <w:rPr>
        <w:rFonts w:ascii="Arial" w:hAnsi="Arial" w:hint="default"/>
      </w:rPr>
    </w:lvl>
    <w:lvl w:ilvl="4" w:tplc="A71A1094" w:tentative="1">
      <w:start w:val="1"/>
      <w:numFmt w:val="bullet"/>
      <w:lvlText w:val="•"/>
      <w:lvlJc w:val="left"/>
      <w:pPr>
        <w:tabs>
          <w:tab w:val="num" w:pos="3600"/>
        </w:tabs>
        <w:ind w:left="3600" w:hanging="360"/>
      </w:pPr>
      <w:rPr>
        <w:rFonts w:ascii="Arial" w:hAnsi="Arial" w:hint="default"/>
      </w:rPr>
    </w:lvl>
    <w:lvl w:ilvl="5" w:tplc="74CC555A" w:tentative="1">
      <w:start w:val="1"/>
      <w:numFmt w:val="bullet"/>
      <w:lvlText w:val="•"/>
      <w:lvlJc w:val="left"/>
      <w:pPr>
        <w:tabs>
          <w:tab w:val="num" w:pos="4320"/>
        </w:tabs>
        <w:ind w:left="4320" w:hanging="360"/>
      </w:pPr>
      <w:rPr>
        <w:rFonts w:ascii="Arial" w:hAnsi="Arial" w:hint="default"/>
      </w:rPr>
    </w:lvl>
    <w:lvl w:ilvl="6" w:tplc="D6F62A3A" w:tentative="1">
      <w:start w:val="1"/>
      <w:numFmt w:val="bullet"/>
      <w:lvlText w:val="•"/>
      <w:lvlJc w:val="left"/>
      <w:pPr>
        <w:tabs>
          <w:tab w:val="num" w:pos="5040"/>
        </w:tabs>
        <w:ind w:left="5040" w:hanging="360"/>
      </w:pPr>
      <w:rPr>
        <w:rFonts w:ascii="Arial" w:hAnsi="Arial" w:hint="default"/>
      </w:rPr>
    </w:lvl>
    <w:lvl w:ilvl="7" w:tplc="44BEBFF4" w:tentative="1">
      <w:start w:val="1"/>
      <w:numFmt w:val="bullet"/>
      <w:lvlText w:val="•"/>
      <w:lvlJc w:val="left"/>
      <w:pPr>
        <w:tabs>
          <w:tab w:val="num" w:pos="5760"/>
        </w:tabs>
        <w:ind w:left="5760" w:hanging="360"/>
      </w:pPr>
      <w:rPr>
        <w:rFonts w:ascii="Arial" w:hAnsi="Arial" w:hint="default"/>
      </w:rPr>
    </w:lvl>
    <w:lvl w:ilvl="8" w:tplc="88A6AAA2" w:tentative="1">
      <w:start w:val="1"/>
      <w:numFmt w:val="bullet"/>
      <w:lvlText w:val="•"/>
      <w:lvlJc w:val="left"/>
      <w:pPr>
        <w:tabs>
          <w:tab w:val="num" w:pos="6480"/>
        </w:tabs>
        <w:ind w:left="6480" w:hanging="360"/>
      </w:pPr>
      <w:rPr>
        <w:rFonts w:ascii="Arial" w:hAnsi="Arial" w:hint="default"/>
      </w:rPr>
    </w:lvl>
  </w:abstractNum>
  <w:num w:numId="1" w16cid:durableId="2102874005">
    <w:abstractNumId w:val="0"/>
  </w:num>
  <w:num w:numId="2" w16cid:durableId="995837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C75"/>
    <w:rsid w:val="000F7BF8"/>
    <w:rsid w:val="00112C75"/>
    <w:rsid w:val="00121F00"/>
    <w:rsid w:val="00124EA3"/>
    <w:rsid w:val="001A3829"/>
    <w:rsid w:val="00231D3B"/>
    <w:rsid w:val="00380548"/>
    <w:rsid w:val="003C0E63"/>
    <w:rsid w:val="003C51A5"/>
    <w:rsid w:val="004C002C"/>
    <w:rsid w:val="004E6F8D"/>
    <w:rsid w:val="00501B51"/>
    <w:rsid w:val="00527126"/>
    <w:rsid w:val="005531C2"/>
    <w:rsid w:val="005542C5"/>
    <w:rsid w:val="00573F24"/>
    <w:rsid w:val="005D173A"/>
    <w:rsid w:val="005D764F"/>
    <w:rsid w:val="0075062C"/>
    <w:rsid w:val="007A27BB"/>
    <w:rsid w:val="007F1B13"/>
    <w:rsid w:val="00883765"/>
    <w:rsid w:val="008E133C"/>
    <w:rsid w:val="008E1D80"/>
    <w:rsid w:val="009163BD"/>
    <w:rsid w:val="00934002"/>
    <w:rsid w:val="009E15CA"/>
    <w:rsid w:val="00AB662E"/>
    <w:rsid w:val="00AC6731"/>
    <w:rsid w:val="00AD1B2B"/>
    <w:rsid w:val="00B04E8F"/>
    <w:rsid w:val="00CA0636"/>
    <w:rsid w:val="00CF0A88"/>
    <w:rsid w:val="00D51053"/>
    <w:rsid w:val="00D83C8B"/>
    <w:rsid w:val="00DF2180"/>
    <w:rsid w:val="00F006D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DFD73"/>
  <w15:chartTrackingRefBased/>
  <w15:docId w15:val="{F533AC20-D30F-4335-80F8-7C9F986E5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2C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12C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2C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2C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2C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2C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2C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2C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2C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C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12C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2C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2C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C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C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C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C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C75"/>
    <w:rPr>
      <w:rFonts w:eastAsiaTheme="majorEastAsia" w:cstheme="majorBidi"/>
      <w:color w:val="272727" w:themeColor="text1" w:themeTint="D8"/>
    </w:rPr>
  </w:style>
  <w:style w:type="paragraph" w:styleId="Title">
    <w:name w:val="Title"/>
    <w:basedOn w:val="Normal"/>
    <w:next w:val="Normal"/>
    <w:link w:val="TitleChar"/>
    <w:uiPriority w:val="10"/>
    <w:qFormat/>
    <w:rsid w:val="00112C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2C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C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2C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C75"/>
    <w:pPr>
      <w:spacing w:before="160"/>
      <w:jc w:val="center"/>
    </w:pPr>
    <w:rPr>
      <w:i/>
      <w:iCs/>
      <w:color w:val="404040" w:themeColor="text1" w:themeTint="BF"/>
    </w:rPr>
  </w:style>
  <w:style w:type="character" w:customStyle="1" w:styleId="QuoteChar">
    <w:name w:val="Quote Char"/>
    <w:basedOn w:val="DefaultParagraphFont"/>
    <w:link w:val="Quote"/>
    <w:uiPriority w:val="29"/>
    <w:rsid w:val="00112C75"/>
    <w:rPr>
      <w:i/>
      <w:iCs/>
      <w:color w:val="404040" w:themeColor="text1" w:themeTint="BF"/>
    </w:rPr>
  </w:style>
  <w:style w:type="paragraph" w:styleId="ListParagraph">
    <w:name w:val="List Paragraph"/>
    <w:basedOn w:val="Normal"/>
    <w:uiPriority w:val="34"/>
    <w:qFormat/>
    <w:rsid w:val="00112C75"/>
    <w:pPr>
      <w:ind w:left="720"/>
      <w:contextualSpacing/>
    </w:pPr>
  </w:style>
  <w:style w:type="character" w:styleId="IntenseEmphasis">
    <w:name w:val="Intense Emphasis"/>
    <w:basedOn w:val="DefaultParagraphFont"/>
    <w:uiPriority w:val="21"/>
    <w:qFormat/>
    <w:rsid w:val="00112C75"/>
    <w:rPr>
      <w:i/>
      <w:iCs/>
      <w:color w:val="0F4761" w:themeColor="accent1" w:themeShade="BF"/>
    </w:rPr>
  </w:style>
  <w:style w:type="paragraph" w:styleId="IntenseQuote">
    <w:name w:val="Intense Quote"/>
    <w:basedOn w:val="Normal"/>
    <w:next w:val="Normal"/>
    <w:link w:val="IntenseQuoteChar"/>
    <w:uiPriority w:val="30"/>
    <w:qFormat/>
    <w:rsid w:val="00112C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2C75"/>
    <w:rPr>
      <w:i/>
      <w:iCs/>
      <w:color w:val="0F4761" w:themeColor="accent1" w:themeShade="BF"/>
    </w:rPr>
  </w:style>
  <w:style w:type="character" w:styleId="IntenseReference">
    <w:name w:val="Intense Reference"/>
    <w:basedOn w:val="DefaultParagraphFont"/>
    <w:uiPriority w:val="32"/>
    <w:qFormat/>
    <w:rsid w:val="00112C75"/>
    <w:rPr>
      <w:b/>
      <w:bCs/>
      <w:smallCaps/>
      <w:color w:val="0F4761" w:themeColor="accent1" w:themeShade="BF"/>
      <w:spacing w:val="5"/>
    </w:rPr>
  </w:style>
  <w:style w:type="paragraph" w:styleId="NormalWeb">
    <w:name w:val="Normal (Web)"/>
    <w:basedOn w:val="Normal"/>
    <w:uiPriority w:val="99"/>
    <w:semiHidden/>
    <w:unhideWhenUsed/>
    <w:rsid w:val="00AC6731"/>
    <w:pPr>
      <w:spacing w:before="100" w:beforeAutospacing="1" w:after="100" w:afterAutospacing="1" w:line="240" w:lineRule="auto"/>
    </w:pPr>
    <w:rPr>
      <w:rFonts w:ascii="Times New Roman" w:eastAsia="Times New Roman" w:hAnsi="Times New Roman" w:cs="Times New Roman"/>
      <w:kern w:val="0"/>
      <w:lang w:eastAsia="en-NZ"/>
      <w14:ligatures w14:val="none"/>
    </w:rPr>
  </w:style>
  <w:style w:type="character" w:styleId="Hyperlink">
    <w:name w:val="Hyperlink"/>
    <w:basedOn w:val="DefaultParagraphFont"/>
    <w:uiPriority w:val="99"/>
    <w:unhideWhenUsed/>
    <w:rsid w:val="005D173A"/>
    <w:rPr>
      <w:color w:val="467886" w:themeColor="hyperlink"/>
      <w:u w:val="single"/>
    </w:rPr>
  </w:style>
  <w:style w:type="character" w:styleId="UnresolvedMention">
    <w:name w:val="Unresolved Mention"/>
    <w:basedOn w:val="DefaultParagraphFont"/>
    <w:uiPriority w:val="99"/>
    <w:semiHidden/>
    <w:unhideWhenUsed/>
    <w:rsid w:val="005D1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ece.bayrak@mediadesignschoo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714</Words>
  <Characters>4311</Characters>
  <Application>Microsoft Office Word</Application>
  <DocSecurity>0</DocSecurity>
  <Lines>84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Asli Tece Bayrak</dc:creator>
  <cp:keywords/>
  <dc:description/>
  <cp:lastModifiedBy>Asli Tece Bayrak</cp:lastModifiedBy>
  <cp:revision>5</cp:revision>
  <dcterms:created xsi:type="dcterms:W3CDTF">2026-04-17T02:05:00Z</dcterms:created>
  <dcterms:modified xsi:type="dcterms:W3CDTF">2026-04-17T02:05:00Z</dcterms:modified>
</cp:coreProperties>
</file>